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138F1B41">
      <w:pPr>
        <w:rPr>
          <w:rFonts w:eastAsiaTheme="minorEastAsia"/>
          <w:color w:val="auto"/>
          <w:sz w:val="36"/>
          <w:szCs w:val="36"/>
          <w:highlight w:val="none"/>
        </w:rPr>
      </w:pPr>
    </w:p>
    <w:p w14:paraId="6291C5C1">
      <w:pPr>
        <w:rPr>
          <w:rFonts w:eastAsiaTheme="minorEastAsia"/>
          <w:color w:val="auto"/>
          <w:sz w:val="36"/>
          <w:szCs w:val="36"/>
          <w:highlight w:val="none"/>
        </w:rPr>
      </w:pPr>
      <w:r>
        <w:rPr>
          <w:rFonts w:eastAsiaTheme="minorEastAsia"/>
          <w:color w:val="auto"/>
          <w:sz w:val="36"/>
          <w:szCs w:val="36"/>
          <w:highlight w:val="none"/>
        </w:rPr>
        <w:tab/>
      </w:r>
      <w:r>
        <w:rPr>
          <w:rFonts w:eastAsiaTheme="minorEastAsia"/>
          <w:color w:val="auto"/>
          <w:sz w:val="36"/>
          <w:szCs w:val="36"/>
          <w:highlight w:val="none"/>
        </w:rPr>
        <w:tab/>
      </w:r>
    </w:p>
    <w:p w14:paraId="532684C0">
      <w:pPr>
        <w:adjustRightInd w:val="0"/>
        <w:snapToGrid w:val="0"/>
        <w:jc w:val="center"/>
        <w:outlineLvl w:val="0"/>
        <w:rPr>
          <w:rFonts w:hint="eastAsia" w:ascii="华文中宋" w:hAnsi="华文中宋" w:eastAsia="华文中宋" w:cs="华文中宋"/>
          <w:b w:val="0"/>
          <w:bCs/>
          <w:color w:val="auto"/>
          <w:sz w:val="72"/>
          <w:szCs w:val="72"/>
          <w:highlight w:val="none"/>
        </w:rPr>
      </w:pPr>
      <w:bookmarkStart w:id="0" w:name="_Toc10522"/>
      <w:bookmarkStart w:id="1" w:name="_Toc69388160"/>
      <w:r>
        <w:rPr>
          <w:rFonts w:hint="eastAsia" w:ascii="华文中宋" w:hAnsi="华文中宋" w:eastAsia="华文中宋" w:cs="华文中宋"/>
          <w:b w:val="0"/>
          <w:bCs/>
          <w:color w:val="auto"/>
          <w:sz w:val="72"/>
          <w:szCs w:val="72"/>
          <w:highlight w:val="none"/>
        </w:rPr>
        <w:t>建设项目环境影响报告表</w:t>
      </w:r>
      <w:bookmarkEnd w:id="0"/>
      <w:bookmarkEnd w:id="1"/>
    </w:p>
    <w:p w14:paraId="2D002E74">
      <w:pPr>
        <w:adjustRightInd w:val="0"/>
        <w:snapToGrid w:val="0"/>
        <w:spacing w:before="192" w:beforeLines="80"/>
        <w:jc w:val="center"/>
        <w:rPr>
          <w:rFonts w:eastAsia="楷体_GB2312"/>
          <w:bCs/>
          <w:color w:val="auto"/>
          <w:sz w:val="48"/>
          <w:szCs w:val="48"/>
          <w:highlight w:val="none"/>
        </w:rPr>
      </w:pPr>
      <w:r>
        <w:rPr>
          <w:rFonts w:eastAsia="楷体_GB2312"/>
          <w:bCs/>
          <w:color w:val="auto"/>
          <w:sz w:val="48"/>
          <w:szCs w:val="48"/>
          <w:highlight w:val="none"/>
        </w:rPr>
        <w:t>（污染影响类）</w:t>
      </w:r>
    </w:p>
    <w:p w14:paraId="50493C67">
      <w:pPr>
        <w:adjustRightInd w:val="0"/>
        <w:snapToGrid w:val="0"/>
        <w:spacing w:before="192" w:beforeLines="80"/>
        <w:jc w:val="center"/>
        <w:rPr>
          <w:rFonts w:eastAsia="楷体_GB2312"/>
          <w:bCs/>
          <w:color w:val="auto"/>
          <w:sz w:val="48"/>
          <w:szCs w:val="48"/>
          <w:highlight w:val="none"/>
        </w:rPr>
      </w:pPr>
    </w:p>
    <w:p w14:paraId="7C9878A0">
      <w:pPr>
        <w:adjustRightInd w:val="0"/>
        <w:snapToGrid w:val="0"/>
        <w:spacing w:before="192" w:beforeLines="80"/>
        <w:jc w:val="center"/>
        <w:rPr>
          <w:rFonts w:eastAsia="楷体_GB2312"/>
          <w:bCs/>
          <w:color w:val="auto"/>
          <w:sz w:val="48"/>
          <w:szCs w:val="48"/>
          <w:highlight w:val="none"/>
        </w:rPr>
      </w:pPr>
    </w:p>
    <w:p w14:paraId="736C3C81">
      <w:pPr>
        <w:ind w:firstLine="1040"/>
        <w:rPr>
          <w:rFonts w:eastAsiaTheme="minorEastAsia"/>
          <w:color w:val="auto"/>
          <w:sz w:val="44"/>
          <w:szCs w:val="44"/>
          <w:highlight w:val="none"/>
        </w:rPr>
      </w:pPr>
    </w:p>
    <w:p w14:paraId="58D76C2E">
      <w:pPr>
        <w:ind w:firstLine="1040"/>
        <w:rPr>
          <w:rFonts w:eastAsiaTheme="minorEastAsia"/>
          <w:color w:val="auto"/>
          <w:sz w:val="44"/>
          <w:szCs w:val="44"/>
          <w:highlight w:val="none"/>
        </w:rPr>
      </w:pPr>
    </w:p>
    <w:p w14:paraId="4A6B1927">
      <w:pPr>
        <w:ind w:firstLine="1040"/>
        <w:rPr>
          <w:rFonts w:eastAsiaTheme="minorEastAsia"/>
          <w:color w:val="auto"/>
          <w:sz w:val="44"/>
          <w:szCs w:val="44"/>
          <w:highlight w:val="none"/>
        </w:rPr>
      </w:pPr>
    </w:p>
    <w:p w14:paraId="23BAE53E">
      <w:pPr>
        <w:ind w:firstLine="1040"/>
        <w:rPr>
          <w:rFonts w:eastAsiaTheme="minorEastAsia"/>
          <w:color w:val="auto"/>
          <w:sz w:val="44"/>
          <w:szCs w:val="44"/>
          <w:highlight w:val="none"/>
        </w:rPr>
      </w:pPr>
    </w:p>
    <w:p w14:paraId="5C7A5D15">
      <w:pPr>
        <w:adjustRightInd w:val="0"/>
        <w:snapToGrid w:val="0"/>
        <w:spacing w:line="360" w:lineRule="auto"/>
        <w:ind w:firstLine="900" w:firstLineChars="300"/>
        <w:jc w:val="both"/>
        <w:rPr>
          <w:rFonts w:hint="default" w:eastAsiaTheme="minorEastAsia"/>
          <w:color w:val="auto"/>
          <w:sz w:val="30"/>
          <w:szCs w:val="30"/>
          <w:highlight w:val="none"/>
          <w:u w:val="single"/>
          <w:lang w:val="en-US"/>
        </w:rPr>
      </w:pPr>
      <w:r>
        <w:rPr>
          <w:rFonts w:eastAsiaTheme="minorEastAsia"/>
          <w:color w:val="auto"/>
          <w:sz w:val="30"/>
          <w:szCs w:val="30"/>
          <w:highlight w:val="none"/>
        </w:rPr>
        <w:t>项目名称：</w:t>
      </w:r>
      <w:r>
        <w:rPr>
          <w:rFonts w:eastAsiaTheme="minorEastAsia"/>
          <w:color w:val="auto"/>
          <w:sz w:val="30"/>
          <w:szCs w:val="30"/>
          <w:highlight w:val="none"/>
          <w:u w:val="single"/>
        </w:rPr>
        <w:t xml:space="preserve">  </w:t>
      </w:r>
      <w:r>
        <w:rPr>
          <w:rFonts w:hint="eastAsia" w:eastAsiaTheme="minorEastAsia"/>
          <w:color w:val="auto"/>
          <w:sz w:val="30"/>
          <w:szCs w:val="30"/>
          <w:highlight w:val="none"/>
          <w:u w:val="single"/>
          <w:lang w:val="en-US" w:eastAsia="zh-CN"/>
        </w:rPr>
        <w:t xml:space="preserve">     </w:t>
      </w:r>
      <w:r>
        <w:rPr>
          <w:rFonts w:hint="eastAsia" w:eastAsiaTheme="minorEastAsia"/>
          <w:color w:val="auto"/>
          <w:sz w:val="30"/>
          <w:szCs w:val="30"/>
          <w:highlight w:val="none"/>
          <w:u w:val="single"/>
          <w:lang w:eastAsia="zh-CN"/>
        </w:rPr>
        <w:t>年产100万件光学玻璃项目</w:t>
      </w:r>
      <w:r>
        <w:rPr>
          <w:rFonts w:hint="eastAsia" w:eastAsiaTheme="minorEastAsia"/>
          <w:color w:val="auto"/>
          <w:sz w:val="30"/>
          <w:szCs w:val="30"/>
          <w:highlight w:val="none"/>
          <w:u w:val="single"/>
          <w:lang w:val="en-US" w:eastAsia="zh-CN"/>
        </w:rPr>
        <w:t xml:space="preserve">                </w:t>
      </w:r>
    </w:p>
    <w:p w14:paraId="43F4E0D7">
      <w:pPr>
        <w:adjustRightInd w:val="0"/>
        <w:snapToGrid w:val="0"/>
        <w:spacing w:line="360" w:lineRule="auto"/>
        <w:ind w:firstLine="900" w:firstLineChars="300"/>
        <w:jc w:val="both"/>
        <w:rPr>
          <w:rFonts w:hint="default" w:eastAsiaTheme="minorEastAsia"/>
          <w:color w:val="auto"/>
          <w:sz w:val="30"/>
          <w:szCs w:val="30"/>
          <w:highlight w:val="none"/>
          <w:u w:val="single"/>
          <w:lang w:val="en-US" w:eastAsia="zh-CN"/>
        </w:rPr>
      </w:pPr>
      <w:r>
        <w:rPr>
          <w:rFonts w:eastAsiaTheme="minorEastAsia"/>
          <w:color w:val="auto"/>
          <w:sz w:val="30"/>
          <w:szCs w:val="30"/>
          <w:highlight w:val="none"/>
        </w:rPr>
        <w:t>建设单位（盖章）：</w:t>
      </w:r>
      <w:r>
        <w:rPr>
          <w:rFonts w:eastAsiaTheme="minorEastAsia"/>
          <w:color w:val="auto"/>
          <w:sz w:val="30"/>
          <w:szCs w:val="30"/>
          <w:highlight w:val="none"/>
          <w:u w:val="single"/>
        </w:rPr>
        <w:t xml:space="preserve"> </w:t>
      </w:r>
      <w:r>
        <w:rPr>
          <w:rFonts w:hint="eastAsia" w:eastAsiaTheme="minorEastAsia"/>
          <w:color w:val="auto"/>
          <w:sz w:val="30"/>
          <w:szCs w:val="30"/>
          <w:highlight w:val="none"/>
          <w:u w:val="single"/>
          <w:lang w:val="en-US" w:eastAsia="zh-CN"/>
        </w:rPr>
        <w:t xml:space="preserve">句容透反光学科技有限公司            </w:t>
      </w:r>
    </w:p>
    <w:p w14:paraId="077C3B51">
      <w:pPr>
        <w:adjustRightInd w:val="0"/>
        <w:snapToGrid w:val="0"/>
        <w:spacing w:line="360" w:lineRule="auto"/>
        <w:ind w:firstLine="900" w:firstLineChars="300"/>
        <w:jc w:val="both"/>
        <w:rPr>
          <w:rFonts w:hint="default" w:eastAsiaTheme="minorEastAsia"/>
          <w:color w:val="auto"/>
          <w:sz w:val="30"/>
          <w:szCs w:val="30"/>
          <w:highlight w:val="none"/>
          <w:u w:val="single"/>
          <w:lang w:val="en-US" w:eastAsia="zh-CN"/>
        </w:rPr>
      </w:pPr>
      <w:r>
        <w:rPr>
          <w:rFonts w:eastAsiaTheme="minorEastAsia"/>
          <w:color w:val="auto"/>
          <w:sz w:val="30"/>
          <w:szCs w:val="30"/>
          <w:highlight w:val="none"/>
        </w:rPr>
        <w:t>编制日期：</w:t>
      </w:r>
      <w:r>
        <w:rPr>
          <w:rFonts w:eastAsiaTheme="minorEastAsia"/>
          <w:color w:val="auto"/>
          <w:sz w:val="30"/>
          <w:szCs w:val="30"/>
          <w:highlight w:val="none"/>
          <w:u w:val="single"/>
        </w:rPr>
        <w:t xml:space="preserve">               202</w:t>
      </w:r>
      <w:r>
        <w:rPr>
          <w:rFonts w:hint="eastAsia" w:eastAsiaTheme="minorEastAsia"/>
          <w:color w:val="auto"/>
          <w:sz w:val="30"/>
          <w:szCs w:val="30"/>
          <w:highlight w:val="none"/>
          <w:u w:val="single"/>
          <w:lang w:val="en-US" w:eastAsia="zh-CN"/>
        </w:rPr>
        <w:t>5</w:t>
      </w:r>
      <w:r>
        <w:rPr>
          <w:rFonts w:eastAsiaTheme="minorEastAsia"/>
          <w:color w:val="auto"/>
          <w:sz w:val="30"/>
          <w:szCs w:val="30"/>
          <w:highlight w:val="none"/>
          <w:u w:val="single"/>
        </w:rPr>
        <w:t>年</w:t>
      </w:r>
      <w:r>
        <w:rPr>
          <w:rFonts w:hint="eastAsia" w:eastAsiaTheme="minorEastAsia"/>
          <w:color w:val="auto"/>
          <w:sz w:val="30"/>
          <w:szCs w:val="30"/>
          <w:highlight w:val="none"/>
          <w:u w:val="single"/>
          <w:lang w:val="en-US" w:eastAsia="zh-CN"/>
        </w:rPr>
        <w:t>7</w:t>
      </w:r>
      <w:r>
        <w:rPr>
          <w:rFonts w:eastAsiaTheme="minorEastAsia"/>
          <w:color w:val="auto"/>
          <w:sz w:val="30"/>
          <w:szCs w:val="30"/>
          <w:highlight w:val="none"/>
          <w:u w:val="single"/>
        </w:rPr>
        <w:t>月</w:t>
      </w:r>
      <w:r>
        <w:rPr>
          <w:rFonts w:hint="eastAsia" w:eastAsiaTheme="minorEastAsia"/>
          <w:color w:val="auto"/>
          <w:sz w:val="30"/>
          <w:szCs w:val="30"/>
          <w:highlight w:val="none"/>
          <w:u w:val="single"/>
          <w:lang w:val="en-US" w:eastAsia="zh-CN"/>
        </w:rPr>
        <w:t xml:space="preserve">                </w:t>
      </w:r>
    </w:p>
    <w:p w14:paraId="2C61B471">
      <w:pPr>
        <w:adjustRightInd w:val="0"/>
        <w:snapToGrid w:val="0"/>
        <w:spacing w:line="288" w:lineRule="auto"/>
        <w:ind w:firstLine="1040"/>
        <w:rPr>
          <w:rFonts w:eastAsiaTheme="minorEastAsia"/>
          <w:color w:val="auto"/>
          <w:sz w:val="36"/>
          <w:szCs w:val="36"/>
          <w:highlight w:val="none"/>
          <w:u w:val="single"/>
        </w:rPr>
      </w:pPr>
      <w:bookmarkStart w:id="2" w:name="_Hlk57884087"/>
    </w:p>
    <w:p w14:paraId="55F808B6">
      <w:pPr>
        <w:adjustRightInd w:val="0"/>
        <w:snapToGrid w:val="0"/>
        <w:spacing w:line="288" w:lineRule="auto"/>
        <w:ind w:firstLine="1040"/>
        <w:rPr>
          <w:rFonts w:eastAsiaTheme="minorEastAsia"/>
          <w:color w:val="auto"/>
          <w:sz w:val="36"/>
          <w:szCs w:val="36"/>
          <w:highlight w:val="none"/>
        </w:rPr>
      </w:pPr>
    </w:p>
    <w:p w14:paraId="108B1FD6">
      <w:pPr>
        <w:ind w:firstLine="1040"/>
        <w:rPr>
          <w:rFonts w:eastAsiaTheme="minorEastAsia"/>
          <w:color w:val="auto"/>
          <w:sz w:val="44"/>
          <w:szCs w:val="44"/>
          <w:highlight w:val="none"/>
        </w:rPr>
      </w:pPr>
    </w:p>
    <w:p w14:paraId="65773320">
      <w:pPr>
        <w:ind w:firstLine="1040"/>
        <w:rPr>
          <w:rFonts w:eastAsiaTheme="minorEastAsia"/>
          <w:color w:val="auto"/>
          <w:sz w:val="44"/>
          <w:szCs w:val="44"/>
          <w:highlight w:val="none"/>
        </w:rPr>
      </w:pPr>
    </w:p>
    <w:p w14:paraId="38BF6E61">
      <w:pPr>
        <w:ind w:firstLine="1040"/>
        <w:rPr>
          <w:rFonts w:eastAsiaTheme="minorEastAsia"/>
          <w:color w:val="auto"/>
          <w:sz w:val="44"/>
          <w:szCs w:val="44"/>
          <w:highlight w:val="none"/>
        </w:rPr>
      </w:pPr>
    </w:p>
    <w:bookmarkEnd w:id="2"/>
    <w:p w14:paraId="10DEE8A4">
      <w:pPr>
        <w:adjustRightInd w:val="0"/>
        <w:snapToGrid w:val="0"/>
        <w:spacing w:line="288" w:lineRule="auto"/>
        <w:jc w:val="center"/>
        <w:rPr>
          <w:rFonts w:eastAsiaTheme="minorEastAsia"/>
          <w:color w:val="auto"/>
          <w:sz w:val="36"/>
          <w:szCs w:val="36"/>
          <w:highlight w:val="none"/>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eastAsia="楷体_GB2312"/>
          <w:color w:val="auto"/>
          <w:sz w:val="36"/>
          <w:szCs w:val="36"/>
          <w:highlight w:val="none"/>
        </w:rPr>
        <w:t>中华人民共和国生态环境部制</w:t>
      </w:r>
    </w:p>
    <w:p w14:paraId="5710FECF">
      <w:pPr>
        <w:pStyle w:val="33"/>
        <w:spacing w:before="0" w:beforeAutospacing="0" w:after="0" w:afterAutospacing="0"/>
        <w:jc w:val="center"/>
        <w:outlineLvl w:val="0"/>
        <w:rPr>
          <w:rFonts w:ascii="Times New Roman" w:hAnsi="Times New Roman" w:eastAsiaTheme="minorEastAsia"/>
          <w:b/>
          <w:snapToGrid w:val="0"/>
          <w:color w:val="auto"/>
          <w:sz w:val="30"/>
          <w:szCs w:val="30"/>
          <w:highlight w:val="none"/>
        </w:rPr>
      </w:pPr>
      <w:bookmarkStart w:id="3" w:name="_Toc1257"/>
      <w:r>
        <w:rPr>
          <w:rFonts w:ascii="Times New Roman" w:hAnsi="Times New Roman" w:eastAsiaTheme="minorEastAsia"/>
          <w:b/>
          <w:snapToGrid w:val="0"/>
          <w:color w:val="auto"/>
          <w:sz w:val="30"/>
          <w:szCs w:val="30"/>
          <w:highlight w:val="none"/>
        </w:rPr>
        <w:t>一、建设项目基本情况</w:t>
      </w:r>
      <w:bookmarkEnd w:id="3"/>
    </w:p>
    <w:tbl>
      <w:tblPr>
        <w:tblStyle w:val="37"/>
        <w:tblW w:w="87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953"/>
        <w:gridCol w:w="3038"/>
        <w:gridCol w:w="1560"/>
        <w:gridCol w:w="3225"/>
      </w:tblGrid>
      <w:tr w14:paraId="26AB08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31" w:hRule="atLeast"/>
          <w:jc w:val="center"/>
        </w:trPr>
        <w:tc>
          <w:tcPr>
            <w:tcW w:w="953" w:type="dxa"/>
            <w:tcMar>
              <w:top w:w="16" w:type="dxa"/>
              <w:left w:w="16" w:type="dxa"/>
              <w:right w:w="16" w:type="dxa"/>
            </w:tcMar>
            <w:vAlign w:val="center"/>
          </w:tcPr>
          <w:p w14:paraId="4F36034F">
            <w:pPr>
              <w:adjustRightInd w:val="0"/>
              <w:snapToGrid w:val="0"/>
              <w:jc w:val="center"/>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建设项目名称</w:t>
            </w:r>
          </w:p>
        </w:tc>
        <w:tc>
          <w:tcPr>
            <w:tcW w:w="7823" w:type="dxa"/>
            <w:gridSpan w:val="3"/>
            <w:vAlign w:val="center"/>
          </w:tcPr>
          <w:p w14:paraId="62ACAA56">
            <w:pPr>
              <w:adjustRightInd w:val="0"/>
              <w:snapToGrid w:val="0"/>
              <w:jc w:val="center"/>
              <w:rPr>
                <w:rFonts w:hint="default" w:ascii="Times New Roman" w:hAnsi="Times New Roman" w:cs="Times New Roman" w:eastAsiaTheme="minorEastAsia"/>
                <w:color w:val="auto"/>
                <w:sz w:val="24"/>
                <w:highlight w:val="none"/>
                <w:lang w:eastAsia="zh-CN"/>
              </w:rPr>
            </w:pPr>
            <w:r>
              <w:rPr>
                <w:rFonts w:hint="eastAsia" w:cs="Times New Roman" w:eastAsiaTheme="minorEastAsia"/>
                <w:color w:val="auto"/>
                <w:sz w:val="24"/>
                <w:highlight w:val="none"/>
                <w:lang w:eastAsia="zh-CN"/>
              </w:rPr>
              <w:t>年产100万件光学玻璃项目</w:t>
            </w:r>
          </w:p>
        </w:tc>
      </w:tr>
      <w:tr w14:paraId="41935C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53" w:type="dxa"/>
            <w:tcMar>
              <w:top w:w="16" w:type="dxa"/>
              <w:left w:w="16" w:type="dxa"/>
              <w:right w:w="16" w:type="dxa"/>
            </w:tcMar>
            <w:vAlign w:val="center"/>
          </w:tcPr>
          <w:p w14:paraId="5641D4D7">
            <w:pPr>
              <w:adjustRightInd w:val="0"/>
              <w:snapToGrid w:val="0"/>
              <w:jc w:val="center"/>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项目代码</w:t>
            </w:r>
          </w:p>
        </w:tc>
        <w:tc>
          <w:tcPr>
            <w:tcW w:w="7823" w:type="dxa"/>
            <w:gridSpan w:val="3"/>
            <w:vAlign w:val="center"/>
          </w:tcPr>
          <w:p w14:paraId="66BD6748">
            <w:pPr>
              <w:adjustRightInd w:val="0"/>
              <w:snapToGrid w:val="0"/>
              <w:jc w:val="center"/>
              <w:rPr>
                <w:rFonts w:hint="default" w:ascii="Times New Roman" w:hAnsi="Times New Roman"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2409-321183-89-01-106245</w:t>
            </w:r>
          </w:p>
        </w:tc>
      </w:tr>
      <w:tr w14:paraId="3AF46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53" w:type="dxa"/>
            <w:tcMar>
              <w:top w:w="16" w:type="dxa"/>
              <w:left w:w="16" w:type="dxa"/>
              <w:right w:w="16" w:type="dxa"/>
            </w:tcMar>
            <w:vAlign w:val="center"/>
          </w:tcPr>
          <w:p w14:paraId="7FDFB15B">
            <w:pPr>
              <w:adjustRightInd w:val="0"/>
              <w:snapToGrid w:val="0"/>
              <w:jc w:val="center"/>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建设单位联系人</w:t>
            </w:r>
          </w:p>
        </w:tc>
        <w:tc>
          <w:tcPr>
            <w:tcW w:w="3038" w:type="dxa"/>
            <w:vAlign w:val="center"/>
          </w:tcPr>
          <w:p w14:paraId="15B5F5C6">
            <w:pPr>
              <w:adjustRightInd w:val="0"/>
              <w:snapToGrid w:val="0"/>
              <w:jc w:val="center"/>
              <w:rPr>
                <w:rFonts w:hint="default" w:ascii="Times New Roman" w:hAnsi="Times New Roman"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马建华</w:t>
            </w:r>
          </w:p>
        </w:tc>
        <w:tc>
          <w:tcPr>
            <w:tcW w:w="1560" w:type="dxa"/>
            <w:vAlign w:val="center"/>
          </w:tcPr>
          <w:p w14:paraId="43C43EDC">
            <w:pPr>
              <w:adjustRightInd w:val="0"/>
              <w:snapToGrid w:val="0"/>
              <w:jc w:val="center"/>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b/>
                <w:bCs/>
                <w:color w:val="auto"/>
                <w:sz w:val="24"/>
                <w:highlight w:val="none"/>
              </w:rPr>
              <w:t>联系方式</w:t>
            </w:r>
          </w:p>
        </w:tc>
        <w:tc>
          <w:tcPr>
            <w:tcW w:w="3225" w:type="dxa"/>
            <w:vAlign w:val="center"/>
          </w:tcPr>
          <w:p w14:paraId="3DD1F141">
            <w:pPr>
              <w:adjustRightInd w:val="0"/>
              <w:snapToGrid w:val="0"/>
              <w:jc w:val="center"/>
              <w:rPr>
                <w:rFonts w:hint="default" w:ascii="Times New Roman" w:hAnsi="Times New Roman"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13914791840</w:t>
            </w:r>
          </w:p>
        </w:tc>
      </w:tr>
      <w:tr w14:paraId="3C3DA0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53" w:type="dxa"/>
            <w:tcMar>
              <w:top w:w="16" w:type="dxa"/>
              <w:left w:w="16" w:type="dxa"/>
              <w:right w:w="16" w:type="dxa"/>
            </w:tcMar>
            <w:vAlign w:val="center"/>
          </w:tcPr>
          <w:p w14:paraId="43F347B6">
            <w:pPr>
              <w:adjustRightInd w:val="0"/>
              <w:snapToGrid w:val="0"/>
              <w:jc w:val="center"/>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建设地点</w:t>
            </w:r>
          </w:p>
        </w:tc>
        <w:tc>
          <w:tcPr>
            <w:tcW w:w="7823" w:type="dxa"/>
            <w:gridSpan w:val="3"/>
            <w:vAlign w:val="center"/>
          </w:tcPr>
          <w:p w14:paraId="17131AB3">
            <w:pPr>
              <w:adjustRightInd w:val="0"/>
              <w:snapToGrid w:val="0"/>
              <w:jc w:val="center"/>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u w:val="single"/>
              </w:rPr>
              <w:t>镇江市句容市郭庄镇空港大道9号</w:t>
            </w:r>
            <w:r>
              <w:rPr>
                <w:rFonts w:hint="eastAsia" w:cs="Times New Roman" w:eastAsiaTheme="minorEastAsia"/>
                <w:color w:val="auto"/>
                <w:sz w:val="24"/>
                <w:highlight w:val="none"/>
                <w:u w:val="single"/>
                <w:lang w:eastAsia="zh-CN"/>
              </w:rPr>
              <w:t>2幢</w:t>
            </w:r>
          </w:p>
        </w:tc>
      </w:tr>
      <w:tr w14:paraId="01DF3B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53" w:type="dxa"/>
            <w:tcMar>
              <w:top w:w="16" w:type="dxa"/>
              <w:left w:w="16" w:type="dxa"/>
              <w:right w:w="16" w:type="dxa"/>
            </w:tcMar>
            <w:vAlign w:val="center"/>
          </w:tcPr>
          <w:p w14:paraId="5E60C6DB">
            <w:pPr>
              <w:adjustRightInd w:val="0"/>
              <w:snapToGrid w:val="0"/>
              <w:jc w:val="center"/>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地理坐标</w:t>
            </w:r>
          </w:p>
        </w:tc>
        <w:tc>
          <w:tcPr>
            <w:tcW w:w="7823" w:type="dxa"/>
            <w:gridSpan w:val="3"/>
            <w:vAlign w:val="center"/>
          </w:tcPr>
          <w:p w14:paraId="795EB69C">
            <w:pPr>
              <w:adjustRightInd w:val="0"/>
              <w:snapToGrid w:val="0"/>
              <w:jc w:val="center"/>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w:t>
            </w:r>
            <w:r>
              <w:rPr>
                <w:rFonts w:hint="default" w:ascii="Times New Roman" w:hAnsi="Times New Roman" w:cs="Times New Roman" w:eastAsiaTheme="minorEastAsia"/>
                <w:color w:val="auto"/>
                <w:sz w:val="24"/>
                <w:highlight w:val="none"/>
                <w:u w:val="single"/>
              </w:rPr>
              <w:t xml:space="preserve"> </w:t>
            </w:r>
            <w:r>
              <w:rPr>
                <w:rFonts w:eastAsiaTheme="minorEastAsia"/>
                <w:color w:val="auto"/>
                <w:sz w:val="24"/>
                <w:highlight w:val="none"/>
                <w:u w:val="single"/>
              </w:rPr>
              <w:t xml:space="preserve"> 1</w:t>
            </w:r>
            <w:r>
              <w:rPr>
                <w:rFonts w:hint="eastAsia" w:eastAsiaTheme="minorEastAsia"/>
                <w:color w:val="auto"/>
                <w:sz w:val="24"/>
                <w:highlight w:val="none"/>
                <w:u w:val="single"/>
                <w:lang w:val="en-US" w:eastAsia="zh-CN"/>
              </w:rPr>
              <w:t>19</w:t>
            </w:r>
            <w:r>
              <w:rPr>
                <w:rFonts w:eastAsiaTheme="minorEastAsia"/>
                <w:color w:val="auto"/>
                <w:sz w:val="24"/>
                <w:highlight w:val="none"/>
                <w:u w:val="single"/>
              </w:rPr>
              <w:t xml:space="preserve"> </w:t>
            </w:r>
            <w:r>
              <w:rPr>
                <w:rFonts w:eastAsiaTheme="minorEastAsia"/>
                <w:color w:val="auto"/>
                <w:sz w:val="24"/>
                <w:highlight w:val="none"/>
              </w:rPr>
              <w:t>度</w:t>
            </w:r>
            <w:r>
              <w:rPr>
                <w:rFonts w:eastAsiaTheme="minorEastAsia"/>
                <w:color w:val="auto"/>
                <w:sz w:val="24"/>
                <w:highlight w:val="none"/>
                <w:u w:val="single"/>
              </w:rPr>
              <w:t xml:space="preserve"> </w:t>
            </w:r>
            <w:r>
              <w:rPr>
                <w:rFonts w:hint="eastAsia" w:eastAsiaTheme="minorEastAsia"/>
                <w:color w:val="auto"/>
                <w:sz w:val="24"/>
                <w:highlight w:val="none"/>
                <w:u w:val="single"/>
                <w:lang w:val="en-US" w:eastAsia="zh-CN"/>
              </w:rPr>
              <w:t>0</w:t>
            </w:r>
            <w:r>
              <w:rPr>
                <w:rFonts w:eastAsiaTheme="minorEastAsia"/>
                <w:color w:val="auto"/>
                <w:sz w:val="24"/>
                <w:highlight w:val="none"/>
              </w:rPr>
              <w:t>分</w:t>
            </w:r>
            <w:r>
              <w:rPr>
                <w:rFonts w:hint="eastAsia" w:eastAsiaTheme="minorEastAsia"/>
                <w:color w:val="auto"/>
                <w:sz w:val="24"/>
                <w:highlight w:val="none"/>
                <w:u w:val="single"/>
                <w:lang w:val="en-US" w:eastAsia="zh-CN"/>
              </w:rPr>
              <w:t>35.125</w:t>
            </w:r>
            <w:r>
              <w:rPr>
                <w:rFonts w:eastAsiaTheme="minorEastAsia"/>
                <w:color w:val="auto"/>
                <w:sz w:val="24"/>
                <w:highlight w:val="none"/>
              </w:rPr>
              <w:t>秒，</w:t>
            </w:r>
            <w:r>
              <w:rPr>
                <w:rFonts w:eastAsiaTheme="minorEastAsia"/>
                <w:color w:val="auto"/>
                <w:sz w:val="24"/>
                <w:highlight w:val="none"/>
                <w:u w:val="single"/>
              </w:rPr>
              <w:t xml:space="preserve"> 31 </w:t>
            </w:r>
            <w:r>
              <w:rPr>
                <w:rFonts w:eastAsiaTheme="minorEastAsia"/>
                <w:color w:val="auto"/>
                <w:sz w:val="24"/>
                <w:highlight w:val="none"/>
              </w:rPr>
              <w:t>度</w:t>
            </w:r>
            <w:r>
              <w:rPr>
                <w:rFonts w:hint="eastAsia" w:eastAsiaTheme="minorEastAsia"/>
                <w:color w:val="auto"/>
                <w:sz w:val="24"/>
                <w:highlight w:val="none"/>
                <w:u w:val="single"/>
                <w:lang w:val="en-US" w:eastAsia="zh-CN"/>
              </w:rPr>
              <w:t>49</w:t>
            </w:r>
            <w:r>
              <w:rPr>
                <w:rFonts w:eastAsiaTheme="minorEastAsia"/>
                <w:color w:val="auto"/>
                <w:sz w:val="24"/>
                <w:highlight w:val="none"/>
              </w:rPr>
              <w:t>分</w:t>
            </w:r>
            <w:r>
              <w:rPr>
                <w:rFonts w:eastAsiaTheme="minorEastAsia"/>
                <w:color w:val="auto"/>
                <w:sz w:val="24"/>
                <w:highlight w:val="none"/>
                <w:u w:val="single"/>
              </w:rPr>
              <w:t xml:space="preserve"> </w:t>
            </w:r>
            <w:r>
              <w:rPr>
                <w:rFonts w:hint="eastAsia" w:eastAsiaTheme="minorEastAsia"/>
                <w:color w:val="auto"/>
                <w:sz w:val="24"/>
                <w:highlight w:val="none"/>
                <w:u w:val="single"/>
                <w:lang w:val="en-US" w:eastAsia="zh-CN"/>
              </w:rPr>
              <w:t>57.431秒</w:t>
            </w:r>
            <w:r>
              <w:rPr>
                <w:rFonts w:hint="default" w:ascii="Times New Roman" w:hAnsi="Times New Roman" w:cs="Times New Roman" w:eastAsiaTheme="minorEastAsia"/>
                <w:color w:val="auto"/>
                <w:sz w:val="24"/>
                <w:highlight w:val="none"/>
              </w:rPr>
              <w:t>）</w:t>
            </w:r>
          </w:p>
        </w:tc>
      </w:tr>
      <w:tr w14:paraId="52D38A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53" w:type="dxa"/>
            <w:tcMar>
              <w:top w:w="16" w:type="dxa"/>
              <w:left w:w="16" w:type="dxa"/>
              <w:right w:w="16" w:type="dxa"/>
            </w:tcMar>
            <w:vAlign w:val="center"/>
          </w:tcPr>
          <w:p w14:paraId="721A83ED">
            <w:pPr>
              <w:adjustRightInd w:val="0"/>
              <w:snapToGrid w:val="0"/>
              <w:jc w:val="center"/>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国民经济</w:t>
            </w:r>
          </w:p>
          <w:p w14:paraId="56D74115">
            <w:pPr>
              <w:adjustRightInd w:val="0"/>
              <w:snapToGrid w:val="0"/>
              <w:jc w:val="center"/>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行业类别</w:t>
            </w:r>
          </w:p>
        </w:tc>
        <w:tc>
          <w:tcPr>
            <w:tcW w:w="3038" w:type="dxa"/>
            <w:vAlign w:val="center"/>
          </w:tcPr>
          <w:p w14:paraId="129D6AF6">
            <w:pPr>
              <w:adjustRightInd w:val="0"/>
              <w:snapToGrid w:val="0"/>
              <w:jc w:val="center"/>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eastAsia="zh-CN"/>
              </w:rPr>
              <w:t>C3052光学玻璃制造</w:t>
            </w:r>
          </w:p>
        </w:tc>
        <w:tc>
          <w:tcPr>
            <w:tcW w:w="1560" w:type="dxa"/>
            <w:vAlign w:val="center"/>
          </w:tcPr>
          <w:p w14:paraId="44976D11">
            <w:pPr>
              <w:adjustRightInd w:val="0"/>
              <w:snapToGrid w:val="0"/>
              <w:jc w:val="center"/>
              <w:rPr>
                <w:rFonts w:hint="default" w:ascii="Times New Roman" w:hAnsi="Times New Roman" w:cs="Times New Roman" w:eastAsiaTheme="minorEastAsia"/>
                <w:b/>
                <w:bCs/>
                <w:color w:val="auto"/>
                <w:sz w:val="24"/>
                <w:szCs w:val="24"/>
                <w:highlight w:val="none"/>
              </w:rPr>
            </w:pPr>
            <w:bookmarkStart w:id="4" w:name="_Hlk49843745"/>
            <w:r>
              <w:rPr>
                <w:rFonts w:hint="default" w:ascii="Times New Roman" w:hAnsi="Times New Roman" w:cs="Times New Roman" w:eastAsiaTheme="minorEastAsia"/>
                <w:b/>
                <w:bCs/>
                <w:color w:val="auto"/>
                <w:sz w:val="24"/>
                <w:szCs w:val="24"/>
                <w:highlight w:val="none"/>
              </w:rPr>
              <w:t>建设项目</w:t>
            </w:r>
          </w:p>
          <w:p w14:paraId="656A82CC">
            <w:pPr>
              <w:adjustRightInd w:val="0"/>
              <w:snapToGrid w:val="0"/>
              <w:jc w:val="center"/>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rPr>
              <w:t>行业类别</w:t>
            </w:r>
            <w:bookmarkEnd w:id="4"/>
          </w:p>
        </w:tc>
        <w:tc>
          <w:tcPr>
            <w:tcW w:w="3225" w:type="dxa"/>
            <w:vAlign w:val="center"/>
          </w:tcPr>
          <w:p w14:paraId="27784E26">
            <w:pPr>
              <w:adjustRightInd w:val="0"/>
              <w:snapToGrid w:val="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二十七、非金属矿物制品业30玻璃制品制造305中玻璃制品制造（电加热的除外；仅切割、打磨、成型的除外）</w:t>
            </w:r>
          </w:p>
        </w:tc>
      </w:tr>
      <w:tr w14:paraId="32CA55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53" w:type="dxa"/>
            <w:tcMar>
              <w:top w:w="16" w:type="dxa"/>
              <w:left w:w="16" w:type="dxa"/>
              <w:right w:w="16" w:type="dxa"/>
            </w:tcMar>
            <w:vAlign w:val="center"/>
          </w:tcPr>
          <w:p w14:paraId="27CD21EE">
            <w:pPr>
              <w:adjustRightInd w:val="0"/>
              <w:snapToGrid w:val="0"/>
              <w:jc w:val="center"/>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建设性质</w:t>
            </w:r>
          </w:p>
        </w:tc>
        <w:tc>
          <w:tcPr>
            <w:tcW w:w="3038" w:type="dxa"/>
            <w:vAlign w:val="center"/>
          </w:tcPr>
          <w:p w14:paraId="7FE7169A">
            <w:pPr>
              <w:adjustRightInd w:val="0"/>
              <w:snapToGrid w:val="0"/>
              <w:jc w:val="left"/>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新建（迁建）</w:t>
            </w:r>
          </w:p>
          <w:p w14:paraId="046129FA">
            <w:pPr>
              <w:adjustRightInd w:val="0"/>
              <w:snapToGrid w:val="0"/>
              <w:jc w:val="left"/>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改建</w:t>
            </w:r>
          </w:p>
          <w:p w14:paraId="1418911B">
            <w:pPr>
              <w:adjustRightInd w:val="0"/>
              <w:snapToGrid w:val="0"/>
              <w:jc w:val="left"/>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扩建</w:t>
            </w:r>
          </w:p>
          <w:p w14:paraId="085AA09E">
            <w:pPr>
              <w:adjustRightInd w:val="0"/>
              <w:snapToGrid w:val="0"/>
              <w:jc w:val="left"/>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sz w:val="24"/>
                <w:highlight w:val="none"/>
                <w:lang w:eastAsia="zh-CN"/>
              </w:rPr>
              <w:sym w:font="Wingdings 2" w:char="00A3"/>
            </w:r>
            <w:r>
              <w:rPr>
                <w:rFonts w:hint="default" w:ascii="Times New Roman" w:hAnsi="Times New Roman" w:cs="Times New Roman" w:eastAsiaTheme="minorEastAsia"/>
                <w:color w:val="auto"/>
                <w:sz w:val="24"/>
                <w:highlight w:val="none"/>
              </w:rPr>
              <w:t>技术改造</w:t>
            </w:r>
          </w:p>
        </w:tc>
        <w:tc>
          <w:tcPr>
            <w:tcW w:w="1560" w:type="dxa"/>
            <w:vAlign w:val="center"/>
          </w:tcPr>
          <w:p w14:paraId="453DCA7D">
            <w:pPr>
              <w:adjustRightInd w:val="0"/>
              <w:snapToGrid w:val="0"/>
              <w:jc w:val="center"/>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建设项目</w:t>
            </w:r>
          </w:p>
          <w:p w14:paraId="05528A0E">
            <w:pPr>
              <w:adjustRightInd w:val="0"/>
              <w:snapToGrid w:val="0"/>
              <w:jc w:val="center"/>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申报情形</w:t>
            </w:r>
          </w:p>
        </w:tc>
        <w:tc>
          <w:tcPr>
            <w:tcW w:w="3225" w:type="dxa"/>
            <w:vAlign w:val="center"/>
          </w:tcPr>
          <w:p w14:paraId="3A386EEB">
            <w:pPr>
              <w:adjustRightInd w:val="0"/>
              <w:snapToGrid w:val="0"/>
              <w:jc w:val="left"/>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首次申报项目</w:t>
            </w:r>
          </w:p>
          <w:p w14:paraId="3F46CBF1">
            <w:pPr>
              <w:adjustRightInd w:val="0"/>
              <w:snapToGrid w:val="0"/>
              <w:jc w:val="left"/>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不予批准后再次申报项目</w:t>
            </w:r>
          </w:p>
          <w:p w14:paraId="5A019B46">
            <w:pPr>
              <w:adjustRightInd w:val="0"/>
              <w:snapToGrid w:val="0"/>
              <w:jc w:val="left"/>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超五年重新审核项目</w:t>
            </w:r>
          </w:p>
          <w:p w14:paraId="150E27EF">
            <w:pPr>
              <w:adjustRightInd w:val="0"/>
              <w:snapToGrid w:val="0"/>
              <w:jc w:val="left"/>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重大变动技改项目</w:t>
            </w:r>
          </w:p>
        </w:tc>
      </w:tr>
      <w:tr w14:paraId="16227F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53" w:type="dxa"/>
            <w:tcMar>
              <w:top w:w="16" w:type="dxa"/>
              <w:left w:w="16" w:type="dxa"/>
              <w:right w:w="16" w:type="dxa"/>
            </w:tcMar>
            <w:vAlign w:val="center"/>
          </w:tcPr>
          <w:p w14:paraId="0026F97F">
            <w:pPr>
              <w:adjustRightInd w:val="0"/>
              <w:snapToGrid w:val="0"/>
              <w:jc w:val="center"/>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项目审批（核准/备案）部门</w:t>
            </w:r>
          </w:p>
          <w:p w14:paraId="65FBC210">
            <w:pPr>
              <w:adjustRightInd w:val="0"/>
              <w:snapToGrid w:val="0"/>
              <w:jc w:val="center"/>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（选填）</w:t>
            </w:r>
          </w:p>
        </w:tc>
        <w:tc>
          <w:tcPr>
            <w:tcW w:w="3038" w:type="dxa"/>
            <w:vAlign w:val="center"/>
          </w:tcPr>
          <w:p w14:paraId="572F62E2">
            <w:pPr>
              <w:adjustRightInd w:val="0"/>
              <w:snapToGrid w:val="0"/>
              <w:jc w:val="center"/>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句容市政务服务管理办公室</w:t>
            </w:r>
          </w:p>
        </w:tc>
        <w:tc>
          <w:tcPr>
            <w:tcW w:w="1560" w:type="dxa"/>
            <w:vAlign w:val="center"/>
          </w:tcPr>
          <w:p w14:paraId="2AA6AAB7">
            <w:pPr>
              <w:adjustRightInd w:val="0"/>
              <w:snapToGrid w:val="0"/>
              <w:jc w:val="center"/>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项目审批（核准/备案）文号</w:t>
            </w:r>
          </w:p>
          <w:p w14:paraId="445576D6">
            <w:pPr>
              <w:adjustRightInd w:val="0"/>
              <w:snapToGrid w:val="0"/>
              <w:jc w:val="center"/>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（选填）</w:t>
            </w:r>
          </w:p>
        </w:tc>
        <w:tc>
          <w:tcPr>
            <w:tcW w:w="3225" w:type="dxa"/>
            <w:vAlign w:val="center"/>
          </w:tcPr>
          <w:p w14:paraId="6D4EB449">
            <w:pPr>
              <w:adjustRightInd w:val="0"/>
              <w:snapToGrid w:val="0"/>
              <w:jc w:val="center"/>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lang w:val="en-US" w:eastAsia="zh-CN"/>
              </w:rPr>
              <w:t>句政务备〔2024〕</w:t>
            </w:r>
            <w:r>
              <w:rPr>
                <w:rFonts w:hint="eastAsia" w:cs="Times New Roman" w:eastAsiaTheme="minorEastAsia"/>
                <w:color w:val="auto"/>
                <w:sz w:val="24"/>
                <w:highlight w:val="none"/>
                <w:lang w:val="en-US" w:eastAsia="zh-CN"/>
              </w:rPr>
              <w:t>135</w:t>
            </w:r>
            <w:r>
              <w:rPr>
                <w:rFonts w:hint="default" w:ascii="Times New Roman" w:hAnsi="Times New Roman" w:cs="Times New Roman" w:eastAsiaTheme="minorEastAsia"/>
                <w:color w:val="auto"/>
                <w:sz w:val="24"/>
                <w:highlight w:val="none"/>
                <w:lang w:val="en-US" w:eastAsia="zh-CN"/>
              </w:rPr>
              <w:t>号</w:t>
            </w:r>
          </w:p>
        </w:tc>
      </w:tr>
      <w:tr w14:paraId="537895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53" w:type="dxa"/>
            <w:tcMar>
              <w:top w:w="16" w:type="dxa"/>
              <w:left w:w="16" w:type="dxa"/>
              <w:right w:w="16" w:type="dxa"/>
            </w:tcMar>
            <w:vAlign w:val="center"/>
          </w:tcPr>
          <w:p w14:paraId="304E08ED">
            <w:pPr>
              <w:adjustRightInd w:val="0"/>
              <w:snapToGrid w:val="0"/>
              <w:jc w:val="center"/>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总投资</w:t>
            </w:r>
          </w:p>
          <w:p w14:paraId="37D61383">
            <w:pPr>
              <w:adjustRightInd w:val="0"/>
              <w:snapToGrid w:val="0"/>
              <w:jc w:val="center"/>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（万元）</w:t>
            </w:r>
          </w:p>
        </w:tc>
        <w:tc>
          <w:tcPr>
            <w:tcW w:w="3038" w:type="dxa"/>
            <w:vAlign w:val="center"/>
          </w:tcPr>
          <w:p w14:paraId="287DBAAC">
            <w:pPr>
              <w:adjustRightInd w:val="0"/>
              <w:snapToGrid w:val="0"/>
              <w:jc w:val="center"/>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1000</w:t>
            </w:r>
          </w:p>
        </w:tc>
        <w:tc>
          <w:tcPr>
            <w:tcW w:w="1560" w:type="dxa"/>
            <w:tcMar>
              <w:top w:w="16" w:type="dxa"/>
              <w:left w:w="16" w:type="dxa"/>
              <w:right w:w="16" w:type="dxa"/>
            </w:tcMar>
            <w:vAlign w:val="center"/>
          </w:tcPr>
          <w:p w14:paraId="3240ECFE">
            <w:pPr>
              <w:adjustRightInd w:val="0"/>
              <w:snapToGrid w:val="0"/>
              <w:jc w:val="center"/>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环保投资</w:t>
            </w:r>
          </w:p>
          <w:p w14:paraId="27328F06">
            <w:pPr>
              <w:adjustRightInd w:val="0"/>
              <w:snapToGrid w:val="0"/>
              <w:jc w:val="center"/>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（万元）</w:t>
            </w:r>
          </w:p>
        </w:tc>
        <w:tc>
          <w:tcPr>
            <w:tcW w:w="3225" w:type="dxa"/>
            <w:vAlign w:val="center"/>
          </w:tcPr>
          <w:p w14:paraId="7E7441B9">
            <w:pPr>
              <w:adjustRightInd w:val="0"/>
              <w:snapToGrid w:val="0"/>
              <w:jc w:val="center"/>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30</w:t>
            </w:r>
          </w:p>
        </w:tc>
      </w:tr>
      <w:tr w14:paraId="28439F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53" w:type="dxa"/>
            <w:tcMar>
              <w:top w:w="16" w:type="dxa"/>
              <w:left w:w="16" w:type="dxa"/>
              <w:right w:w="16" w:type="dxa"/>
            </w:tcMar>
            <w:vAlign w:val="center"/>
          </w:tcPr>
          <w:p w14:paraId="16572CEB">
            <w:pPr>
              <w:adjustRightInd w:val="0"/>
              <w:snapToGrid w:val="0"/>
              <w:jc w:val="center"/>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环保投资占比（%）</w:t>
            </w:r>
          </w:p>
        </w:tc>
        <w:tc>
          <w:tcPr>
            <w:tcW w:w="3038" w:type="dxa"/>
            <w:vAlign w:val="center"/>
          </w:tcPr>
          <w:p w14:paraId="439844FB">
            <w:pPr>
              <w:adjustRightInd w:val="0"/>
              <w:snapToGrid w:val="0"/>
              <w:jc w:val="center"/>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3</w:t>
            </w:r>
          </w:p>
        </w:tc>
        <w:tc>
          <w:tcPr>
            <w:tcW w:w="1560" w:type="dxa"/>
            <w:tcMar>
              <w:top w:w="16" w:type="dxa"/>
              <w:left w:w="16" w:type="dxa"/>
              <w:right w:w="16" w:type="dxa"/>
            </w:tcMar>
            <w:vAlign w:val="center"/>
          </w:tcPr>
          <w:p w14:paraId="0F941C0C">
            <w:pPr>
              <w:adjustRightInd w:val="0"/>
              <w:snapToGrid w:val="0"/>
              <w:jc w:val="center"/>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z w:val="24"/>
                <w:highlight w:val="none"/>
              </w:rPr>
              <w:t>施工工期</w:t>
            </w:r>
          </w:p>
        </w:tc>
        <w:tc>
          <w:tcPr>
            <w:tcW w:w="3225" w:type="dxa"/>
            <w:vAlign w:val="center"/>
          </w:tcPr>
          <w:p w14:paraId="0A484D3F">
            <w:pPr>
              <w:adjustRightInd w:val="0"/>
              <w:snapToGrid w:val="0"/>
              <w:jc w:val="center"/>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lang w:val="en-US" w:eastAsia="zh-CN"/>
              </w:rPr>
              <w:t>2个</w:t>
            </w:r>
            <w:r>
              <w:rPr>
                <w:rFonts w:hint="default" w:ascii="Times New Roman" w:hAnsi="Times New Roman" w:cs="Times New Roman" w:eastAsiaTheme="minorEastAsia"/>
                <w:color w:val="auto"/>
                <w:sz w:val="24"/>
                <w:highlight w:val="none"/>
              </w:rPr>
              <w:t>月</w:t>
            </w:r>
          </w:p>
        </w:tc>
      </w:tr>
      <w:tr w14:paraId="4F91E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53" w:type="dxa"/>
            <w:shd w:val="clear" w:color="auto" w:fill="auto"/>
            <w:tcMar>
              <w:top w:w="16" w:type="dxa"/>
              <w:left w:w="16" w:type="dxa"/>
              <w:right w:w="16" w:type="dxa"/>
            </w:tcMar>
            <w:vAlign w:val="center"/>
          </w:tcPr>
          <w:p w14:paraId="663CA56B">
            <w:pPr>
              <w:adjustRightInd w:val="0"/>
              <w:snapToGrid w:val="0"/>
              <w:jc w:val="center"/>
              <w:rPr>
                <w:rFonts w:hint="default" w:ascii="Times New Roman" w:hAnsi="Times New Roman" w:cs="Times New Roman" w:eastAsiaTheme="minorEastAsia"/>
                <w:b/>
                <w:bCs/>
                <w:color w:val="0070C0"/>
                <w:kern w:val="2"/>
                <w:sz w:val="24"/>
                <w:szCs w:val="24"/>
                <w:lang w:val="en-US" w:eastAsia="zh-CN" w:bidi="ar-SA"/>
              </w:rPr>
            </w:pPr>
            <w:r>
              <w:rPr>
                <w:rFonts w:hint="default" w:ascii="Times New Roman" w:hAnsi="Times New Roman" w:cs="Times New Roman" w:eastAsiaTheme="minorEastAsia"/>
                <w:b/>
                <w:bCs/>
                <w:color w:val="0070C0"/>
                <w:sz w:val="24"/>
              </w:rPr>
              <w:t>是否开工建设</w:t>
            </w:r>
          </w:p>
        </w:tc>
        <w:tc>
          <w:tcPr>
            <w:tcW w:w="3038" w:type="dxa"/>
            <w:shd w:val="clear" w:color="auto" w:fill="auto"/>
            <w:vAlign w:val="center"/>
          </w:tcPr>
          <w:p w14:paraId="3FB08A76">
            <w:pPr>
              <w:adjustRightInd w:val="0"/>
              <w:snapToGrid w:val="0"/>
              <w:rPr>
                <w:rFonts w:hint="default" w:ascii="Times New Roman" w:hAnsi="Times New Roman" w:cs="Times New Roman" w:eastAsiaTheme="minorEastAsia"/>
                <w:color w:val="0070C0"/>
                <w:sz w:val="24"/>
              </w:rPr>
            </w:pPr>
            <w:r>
              <w:rPr>
                <w:rFonts w:hint="default" w:ascii="Times New Roman" w:hAnsi="Times New Roman" w:cs="Times New Roman"/>
                <w:color w:val="0070C0"/>
                <w:sz w:val="24"/>
                <w:lang w:eastAsia="zh-CN"/>
              </w:rPr>
              <w:t>□</w:t>
            </w:r>
            <w:r>
              <w:rPr>
                <w:rFonts w:hint="default" w:ascii="Times New Roman" w:hAnsi="Times New Roman" w:cs="Times New Roman" w:eastAsiaTheme="minorEastAsia"/>
                <w:color w:val="0070C0"/>
                <w:sz w:val="24"/>
              </w:rPr>
              <w:t>否</w:t>
            </w:r>
          </w:p>
          <w:p w14:paraId="38F30DC7">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eastAsiaTheme="minorEastAsia"/>
                <w:color w:val="0070C0"/>
                <w:kern w:val="2"/>
                <w:sz w:val="24"/>
                <w:szCs w:val="24"/>
                <w:lang w:val="en-US" w:eastAsia="zh-CN" w:bidi="ar-SA"/>
              </w:rPr>
            </w:pPr>
            <w:r>
              <w:rPr>
                <w:rFonts w:hint="default" w:ascii="Times New Roman" w:hAnsi="Times New Roman" w:cs="Times New Roman"/>
                <w:color w:val="0070C0"/>
                <w:sz w:val="24"/>
                <w:lang w:eastAsia="zh-CN"/>
              </w:rPr>
              <w:t>☑</w:t>
            </w:r>
            <w:r>
              <w:rPr>
                <w:rFonts w:hint="default" w:ascii="Times New Roman" w:hAnsi="Times New Roman" w:cs="Times New Roman" w:eastAsiaTheme="minorEastAsia"/>
                <w:color w:val="0070C0"/>
                <w:sz w:val="24"/>
              </w:rPr>
              <w:t>是：</w:t>
            </w:r>
            <w:r>
              <w:rPr>
                <w:rFonts w:hint="eastAsia" w:ascii="Times New Roman" w:hAnsi="Times New Roman" w:cs="Times New Roman" w:eastAsiaTheme="minorEastAsia"/>
                <w:color w:val="0070C0"/>
                <w:sz w:val="24"/>
                <w:lang w:val="en-US" w:eastAsia="zh-CN"/>
              </w:rPr>
              <w:t>镇江市句容生态环境综合行政执法局</w:t>
            </w:r>
            <w:r>
              <w:rPr>
                <w:rFonts w:hint="default" w:ascii="Times New Roman" w:hAnsi="Times New Roman" w:cs="Times New Roman" w:eastAsiaTheme="minorEastAsia"/>
                <w:color w:val="0070C0"/>
                <w:sz w:val="24"/>
                <w:lang w:val="en-US" w:eastAsia="zh-CN"/>
              </w:rPr>
              <w:t>于2025年6月23日对该项目进行了现场核查，经现场核查，该项目搬迁建设中，属于未批先建行为。</w:t>
            </w:r>
            <w:r>
              <w:rPr>
                <w:rFonts w:hint="default" w:ascii="Times New Roman" w:hAnsi="Times New Roman" w:cs="Times New Roman"/>
                <w:color w:val="0070C0"/>
              </w:rPr>
              <w:commentReference w:id="0"/>
            </w:r>
          </w:p>
        </w:tc>
        <w:tc>
          <w:tcPr>
            <w:tcW w:w="1560" w:type="dxa"/>
            <w:tcMar>
              <w:top w:w="16" w:type="dxa"/>
              <w:left w:w="16" w:type="dxa"/>
              <w:right w:w="16" w:type="dxa"/>
            </w:tcMar>
            <w:vAlign w:val="center"/>
          </w:tcPr>
          <w:p w14:paraId="29002784">
            <w:pPr>
              <w:adjustRightInd w:val="0"/>
              <w:snapToGrid w:val="0"/>
              <w:jc w:val="center"/>
              <w:rPr>
                <w:rFonts w:hint="default" w:ascii="Times New Roman" w:hAnsi="Times New Roman" w:cs="Times New Roman" w:eastAsiaTheme="minorEastAsia"/>
                <w:b/>
                <w:bCs/>
                <w:color w:val="auto"/>
                <w:spacing w:val="-6"/>
                <w:sz w:val="24"/>
                <w:highlight w:val="none"/>
              </w:rPr>
            </w:pPr>
            <w:r>
              <w:rPr>
                <w:rFonts w:hint="default" w:ascii="Times New Roman" w:hAnsi="Times New Roman" w:cs="Times New Roman" w:eastAsiaTheme="minorEastAsia"/>
                <w:b/>
                <w:bCs/>
                <w:color w:val="auto"/>
                <w:spacing w:val="-6"/>
                <w:sz w:val="24"/>
                <w:highlight w:val="none"/>
              </w:rPr>
              <w:t>用地（用海）</w:t>
            </w:r>
          </w:p>
          <w:p w14:paraId="0B9CF27B">
            <w:pPr>
              <w:adjustRightInd w:val="0"/>
              <w:snapToGrid w:val="0"/>
              <w:jc w:val="center"/>
              <w:rPr>
                <w:rFonts w:hint="default" w:ascii="Times New Roman" w:hAnsi="Times New Roman" w:cs="Times New Roman" w:eastAsiaTheme="minorEastAsia"/>
                <w:b/>
                <w:bCs/>
                <w:color w:val="auto"/>
                <w:sz w:val="24"/>
                <w:highlight w:val="none"/>
              </w:rPr>
            </w:pPr>
            <w:r>
              <w:rPr>
                <w:rFonts w:hint="default" w:ascii="Times New Roman" w:hAnsi="Times New Roman" w:cs="Times New Roman" w:eastAsiaTheme="minorEastAsia"/>
                <w:b/>
                <w:bCs/>
                <w:color w:val="auto"/>
                <w:spacing w:val="-6"/>
                <w:sz w:val="24"/>
                <w:highlight w:val="none"/>
              </w:rPr>
              <w:t>面积（m</w:t>
            </w:r>
            <w:r>
              <w:rPr>
                <w:rFonts w:hint="default" w:ascii="Times New Roman" w:hAnsi="Times New Roman" w:cs="Times New Roman" w:eastAsiaTheme="minorEastAsia"/>
                <w:b/>
                <w:bCs/>
                <w:color w:val="auto"/>
                <w:spacing w:val="-6"/>
                <w:sz w:val="24"/>
                <w:highlight w:val="none"/>
                <w:vertAlign w:val="superscript"/>
              </w:rPr>
              <w:t>2</w:t>
            </w:r>
            <w:r>
              <w:rPr>
                <w:rFonts w:hint="default" w:ascii="Times New Roman" w:hAnsi="Times New Roman" w:cs="Times New Roman" w:eastAsiaTheme="minorEastAsia"/>
                <w:b/>
                <w:bCs/>
                <w:color w:val="auto"/>
                <w:spacing w:val="-6"/>
                <w:sz w:val="24"/>
                <w:highlight w:val="none"/>
              </w:rPr>
              <w:t>）</w:t>
            </w:r>
          </w:p>
        </w:tc>
        <w:tc>
          <w:tcPr>
            <w:tcW w:w="3225" w:type="dxa"/>
            <w:vAlign w:val="center"/>
          </w:tcPr>
          <w:p w14:paraId="1B4D10BA">
            <w:pPr>
              <w:adjustRightInd w:val="0"/>
              <w:snapToGrid w:val="0"/>
              <w:jc w:val="center"/>
              <w:rPr>
                <w:rFonts w:hint="default" w:ascii="Times New Roman" w:hAnsi="Times New Roman" w:cs="Times New Roman" w:eastAsiaTheme="minorEastAsia"/>
                <w:color w:val="auto"/>
                <w:sz w:val="24"/>
                <w:highlight w:val="none"/>
                <w:lang w:val="en-US"/>
              </w:rPr>
            </w:pPr>
            <w:r>
              <w:rPr>
                <w:rFonts w:hint="eastAsia" w:cs="Times New Roman" w:eastAsiaTheme="minorEastAsia"/>
                <w:color w:val="auto"/>
                <w:sz w:val="24"/>
                <w:highlight w:val="none"/>
                <w:lang w:val="en-US" w:eastAsia="zh-CN"/>
              </w:rPr>
              <w:t>2500</w:t>
            </w:r>
            <w:r>
              <w:rPr>
                <w:rFonts w:hint="default" w:ascii="Times New Roman" w:hAnsi="Times New Roman" w:cs="Times New Roman" w:eastAsiaTheme="minorEastAsia"/>
                <w:color w:val="auto"/>
                <w:sz w:val="24"/>
                <w:highlight w:val="none"/>
                <w:lang w:val="en-US" w:eastAsia="zh-CN"/>
              </w:rPr>
              <w:t>（建筑面积）</w:t>
            </w:r>
          </w:p>
        </w:tc>
      </w:tr>
      <w:tr w14:paraId="441F90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53" w:type="dxa"/>
            <w:vAlign w:val="center"/>
          </w:tcPr>
          <w:p w14:paraId="5540BE73">
            <w:pPr>
              <w:autoSpaceDE w:val="0"/>
              <w:autoSpaceDN w:val="0"/>
              <w:adjustRightInd w:val="0"/>
              <w:snapToGrid w:val="0"/>
              <w:jc w:val="center"/>
              <w:rPr>
                <w:rFonts w:hint="default" w:ascii="Times New Roman" w:hAnsi="Times New Roman" w:cs="Times New Roman" w:eastAsiaTheme="minorEastAsia"/>
                <w:b/>
                <w:bCs/>
                <w:color w:val="auto"/>
                <w:kern w:val="0"/>
                <w:sz w:val="24"/>
                <w:highlight w:val="none"/>
              </w:rPr>
            </w:pPr>
            <w:r>
              <w:rPr>
                <w:rFonts w:hint="default" w:ascii="Times New Roman" w:hAnsi="Times New Roman" w:cs="Times New Roman" w:eastAsiaTheme="minorEastAsia"/>
                <w:b/>
                <w:bCs/>
                <w:color w:val="auto"/>
                <w:kern w:val="0"/>
                <w:sz w:val="24"/>
                <w:highlight w:val="none"/>
              </w:rPr>
              <w:t>专项评价</w:t>
            </w:r>
          </w:p>
          <w:p w14:paraId="14185BD6">
            <w:pPr>
              <w:autoSpaceDE w:val="0"/>
              <w:autoSpaceDN w:val="0"/>
              <w:adjustRightInd w:val="0"/>
              <w:snapToGrid w:val="0"/>
              <w:jc w:val="center"/>
              <w:rPr>
                <w:rFonts w:hint="default" w:ascii="Times New Roman" w:hAnsi="Times New Roman" w:cs="Times New Roman" w:eastAsiaTheme="minorEastAsia"/>
                <w:b/>
                <w:bCs/>
                <w:color w:val="auto"/>
                <w:kern w:val="0"/>
                <w:sz w:val="24"/>
                <w:highlight w:val="none"/>
              </w:rPr>
            </w:pPr>
            <w:r>
              <w:rPr>
                <w:rFonts w:hint="default" w:ascii="Times New Roman" w:hAnsi="Times New Roman" w:cs="Times New Roman" w:eastAsiaTheme="minorEastAsia"/>
                <w:b/>
                <w:bCs/>
                <w:color w:val="auto"/>
                <w:kern w:val="0"/>
                <w:sz w:val="24"/>
                <w:highlight w:val="none"/>
              </w:rPr>
              <w:t>设置情况</w:t>
            </w:r>
          </w:p>
        </w:tc>
        <w:tc>
          <w:tcPr>
            <w:tcW w:w="7823" w:type="dxa"/>
            <w:gridSpan w:val="3"/>
            <w:vAlign w:val="center"/>
          </w:tcPr>
          <w:p w14:paraId="1072F82C">
            <w:pPr>
              <w:keepNext w:val="0"/>
              <w:keepLines w:val="0"/>
              <w:pageBreakBefore w:val="0"/>
              <w:widowControl/>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对照专项评价具体设置原则，本项目不设置专项评价，具体见表1-1。</w:t>
            </w:r>
          </w:p>
          <w:p w14:paraId="5E1E3F3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表1-1专项评价设置情况</w:t>
            </w:r>
          </w:p>
          <w:tbl>
            <w:tblPr>
              <w:tblStyle w:val="37"/>
              <w:tblW w:w="5000" w:type="pct"/>
              <w:jc w:val="center"/>
              <w:tblBorders>
                <w:top w:val="single" w:color="auto" w:sz="12" w:space="0"/>
                <w:left w:val="none" w:color="auto" w:sz="0" w:space="0"/>
                <w:bottom w:val="single" w:color="auto" w:sz="12" w:space="0"/>
                <w:right w:val="none" w:color="auto" w:sz="6" w:space="0"/>
                <w:insideH w:val="single" w:color="auto" w:sz="2" w:space="0"/>
                <w:insideV w:val="single" w:color="auto" w:sz="2" w:space="0"/>
              </w:tblBorders>
              <w:tblLayout w:type="autofit"/>
              <w:tblCellMar>
                <w:top w:w="0" w:type="dxa"/>
                <w:left w:w="28" w:type="dxa"/>
                <w:bottom w:w="0" w:type="dxa"/>
                <w:right w:w="28" w:type="dxa"/>
              </w:tblCellMar>
            </w:tblPr>
            <w:tblGrid>
              <w:gridCol w:w="1106"/>
              <w:gridCol w:w="5488"/>
              <w:gridCol w:w="1173"/>
            </w:tblGrid>
            <w:tr w14:paraId="51A9AE43">
              <w:tblPrEx>
                <w:tblBorders>
                  <w:top w:val="single" w:color="auto" w:sz="12" w:space="0"/>
                  <w:left w:val="none" w:color="auto" w:sz="0" w:space="0"/>
                  <w:bottom w:val="single" w:color="auto" w:sz="12" w:space="0"/>
                  <w:right w:val="none" w:color="auto" w:sz="6"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16" w:type="dxa"/>
                  <w:tcBorders>
                    <w:bottom w:val="single" w:color="auto" w:sz="12" w:space="0"/>
                  </w:tcBorders>
                  <w:noWrap w:val="0"/>
                  <w:vAlign w:val="center"/>
                </w:tcPr>
                <w:p w14:paraId="5DB3A5DF">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专项评价的类别</w:t>
                  </w:r>
                </w:p>
              </w:tc>
              <w:tc>
                <w:tcPr>
                  <w:tcW w:w="4545" w:type="dxa"/>
                  <w:tcBorders>
                    <w:bottom w:val="single" w:color="auto" w:sz="12" w:space="0"/>
                  </w:tcBorders>
                  <w:noWrap w:val="0"/>
                  <w:vAlign w:val="center"/>
                </w:tcPr>
                <w:p w14:paraId="6524348C">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设置原则</w:t>
                  </w:r>
                </w:p>
              </w:tc>
              <w:tc>
                <w:tcPr>
                  <w:tcW w:w="971" w:type="dxa"/>
                  <w:tcBorders>
                    <w:bottom w:val="single" w:color="auto" w:sz="12" w:space="0"/>
                    <w:right w:val="nil"/>
                  </w:tcBorders>
                  <w:noWrap w:val="0"/>
                  <w:vAlign w:val="center"/>
                </w:tcPr>
                <w:p w14:paraId="396DDD1C">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是否涉及</w:t>
                  </w:r>
                </w:p>
              </w:tc>
            </w:tr>
            <w:tr w14:paraId="130269D5">
              <w:tblPrEx>
                <w:tblBorders>
                  <w:top w:val="single" w:color="auto" w:sz="12" w:space="0"/>
                  <w:left w:val="none" w:color="auto" w:sz="0" w:space="0"/>
                  <w:bottom w:val="single" w:color="auto" w:sz="12" w:space="0"/>
                  <w:right w:val="none" w:color="auto" w:sz="6"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16" w:type="dxa"/>
                  <w:tcBorders>
                    <w:top w:val="single" w:color="auto" w:sz="12" w:space="0"/>
                  </w:tcBorders>
                  <w:noWrap w:val="0"/>
                  <w:vAlign w:val="center"/>
                </w:tcPr>
                <w:p w14:paraId="34B81E45">
                  <w:pPr>
                    <w:pStyle w:val="88"/>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highlight w:val="none"/>
                    </w:rPr>
                    <w:t>大气</w:t>
                  </w:r>
                </w:p>
              </w:tc>
              <w:tc>
                <w:tcPr>
                  <w:tcW w:w="4545" w:type="dxa"/>
                  <w:tcBorders>
                    <w:top w:val="single" w:color="auto" w:sz="12" w:space="0"/>
                  </w:tcBorders>
                  <w:noWrap w:val="0"/>
                  <w:vAlign w:val="center"/>
                </w:tcPr>
                <w:p w14:paraId="7F77E288">
                  <w:pPr>
                    <w:spacing w:beforeLines="0" w:afterLines="0"/>
                    <w:jc w:val="center"/>
                    <w:rPr>
                      <w:rFonts w:hint="default" w:ascii="Times New Roman" w:hAnsi="Times New Roman" w:eastAsia="宋体" w:cs="Times New Roman"/>
                      <w:b w:val="0"/>
                      <w:bCs/>
                      <w:color w:val="auto"/>
                      <w:sz w:val="21"/>
                      <w:szCs w:val="21"/>
                      <w:highlight w:val="none"/>
                      <w:lang w:val="en-US" w:eastAsia="zh-CN" w:bidi="ar"/>
                    </w:rPr>
                  </w:pPr>
                  <w:r>
                    <w:rPr>
                      <w:rFonts w:hint="default" w:ascii="Times New Roman" w:hAnsi="Times New Roman" w:eastAsia="宋体" w:cs="Times New Roman"/>
                      <w:color w:val="auto"/>
                      <w:sz w:val="21"/>
                      <w:szCs w:val="21"/>
                      <w:highlight w:val="none"/>
                    </w:rPr>
                    <w:t>排放废气含有毒有害污染物、二噁英、苯并[a]芘、氰化物、氯气且厂界外500米范围内有环境空气保护目标的建设项目</w:t>
                  </w:r>
                </w:p>
              </w:tc>
              <w:tc>
                <w:tcPr>
                  <w:tcW w:w="971" w:type="dxa"/>
                  <w:tcBorders>
                    <w:top w:val="single" w:color="auto" w:sz="12" w:space="0"/>
                    <w:right w:val="nil"/>
                  </w:tcBorders>
                  <w:noWrap w:val="0"/>
                  <w:vAlign w:val="center"/>
                </w:tcPr>
                <w:p w14:paraId="5C673DA2">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kern w:val="2"/>
                      <w:sz w:val="21"/>
                      <w:szCs w:val="21"/>
                      <w:highlight w:val="none"/>
                      <w:lang w:val="en-US" w:eastAsia="zh-CN" w:bidi="ar"/>
                    </w:rPr>
                  </w:pPr>
                  <w:r>
                    <w:rPr>
                      <w:rFonts w:hint="default" w:ascii="Times New Roman" w:hAnsi="Times New Roman" w:eastAsia="宋体" w:cs="Times New Roman"/>
                      <w:b w:val="0"/>
                      <w:bCs/>
                      <w:color w:val="auto"/>
                      <w:kern w:val="2"/>
                      <w:sz w:val="21"/>
                      <w:szCs w:val="21"/>
                      <w:highlight w:val="none"/>
                      <w:lang w:val="en-US" w:eastAsia="zh-CN" w:bidi="ar"/>
                    </w:rPr>
                    <w:t>不涉及</w:t>
                  </w:r>
                </w:p>
              </w:tc>
            </w:tr>
            <w:tr w14:paraId="700E608A">
              <w:tblPrEx>
                <w:tblBorders>
                  <w:top w:val="single" w:color="auto" w:sz="12" w:space="0"/>
                  <w:left w:val="none" w:color="auto" w:sz="0" w:space="0"/>
                  <w:bottom w:val="single" w:color="auto" w:sz="12" w:space="0"/>
                  <w:right w:val="none" w:color="auto" w:sz="6"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16" w:type="dxa"/>
                  <w:noWrap w:val="0"/>
                  <w:vAlign w:val="center"/>
                </w:tcPr>
                <w:p w14:paraId="389502C3">
                  <w:pPr>
                    <w:pStyle w:val="88"/>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highlight w:val="none"/>
                    </w:rPr>
                    <w:t>地表水</w:t>
                  </w:r>
                </w:p>
              </w:tc>
              <w:tc>
                <w:tcPr>
                  <w:tcW w:w="4545" w:type="dxa"/>
                  <w:noWrap w:val="0"/>
                  <w:vAlign w:val="center"/>
                </w:tcPr>
                <w:p w14:paraId="034261EB">
                  <w:pPr>
                    <w:spacing w:beforeLines="0" w:afterLines="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color w:val="auto"/>
                      <w:sz w:val="21"/>
                      <w:szCs w:val="21"/>
                      <w:highlight w:val="none"/>
                    </w:rPr>
                    <w:t>新增工业废水直排建设项目（槽罐车外送污水处理厂的除外）；新增废水直排的污水集中处理厂</w:t>
                  </w:r>
                </w:p>
              </w:tc>
              <w:tc>
                <w:tcPr>
                  <w:tcW w:w="971" w:type="dxa"/>
                  <w:tcBorders>
                    <w:right w:val="nil"/>
                  </w:tcBorders>
                  <w:noWrap w:val="0"/>
                  <w:vAlign w:val="center"/>
                </w:tcPr>
                <w:p w14:paraId="6523C9B4">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kern w:val="2"/>
                      <w:sz w:val="21"/>
                      <w:szCs w:val="21"/>
                      <w:highlight w:val="none"/>
                      <w:lang w:val="en-US" w:eastAsia="zh-CN" w:bidi="ar"/>
                    </w:rPr>
                    <w:t>不涉及</w:t>
                  </w:r>
                </w:p>
              </w:tc>
            </w:tr>
            <w:tr w14:paraId="20427B59">
              <w:tblPrEx>
                <w:tblBorders>
                  <w:top w:val="single" w:color="auto" w:sz="12" w:space="0"/>
                  <w:left w:val="none" w:color="auto" w:sz="0" w:space="0"/>
                  <w:bottom w:val="single" w:color="auto" w:sz="12" w:space="0"/>
                  <w:right w:val="none" w:color="auto" w:sz="6"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16" w:type="dxa"/>
                  <w:noWrap w:val="0"/>
                  <w:vAlign w:val="center"/>
                </w:tcPr>
                <w:p w14:paraId="078FCAAE">
                  <w:pPr>
                    <w:pStyle w:val="88"/>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sz w:val="21"/>
                      <w:highlight w:val="none"/>
                    </w:rPr>
                    <w:t>环境风</w:t>
                  </w:r>
                  <w:r>
                    <w:rPr>
                      <w:rFonts w:hint="default" w:ascii="Times New Roman" w:hAnsi="Times New Roman" w:eastAsia="宋体" w:cs="Times New Roman"/>
                      <w:color w:val="auto"/>
                      <w:sz w:val="21"/>
                      <w:highlight w:val="none"/>
                      <w:lang w:val="en-US" w:eastAsia="zh-CN"/>
                    </w:rPr>
                    <w:t>险</w:t>
                  </w:r>
                </w:p>
              </w:tc>
              <w:tc>
                <w:tcPr>
                  <w:tcW w:w="4545" w:type="dxa"/>
                  <w:noWrap w:val="0"/>
                  <w:vAlign w:val="center"/>
                </w:tcPr>
                <w:p w14:paraId="51940B5B">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color w:val="auto"/>
                      <w:sz w:val="21"/>
                      <w:szCs w:val="21"/>
                      <w:highlight w:val="none"/>
                    </w:rPr>
                    <w:t>有毒有害和易燃易爆危险物质存储量超过临界量的建设项目</w:t>
                  </w:r>
                </w:p>
              </w:tc>
              <w:tc>
                <w:tcPr>
                  <w:tcW w:w="971" w:type="dxa"/>
                  <w:tcBorders>
                    <w:right w:val="nil"/>
                  </w:tcBorders>
                  <w:noWrap w:val="0"/>
                  <w:vAlign w:val="center"/>
                </w:tcPr>
                <w:p w14:paraId="6AB03534">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kern w:val="2"/>
                      <w:sz w:val="21"/>
                      <w:szCs w:val="21"/>
                      <w:highlight w:val="none"/>
                      <w:lang w:val="en-US" w:eastAsia="zh-CN" w:bidi="ar"/>
                    </w:rPr>
                    <w:t>不涉及</w:t>
                  </w:r>
                </w:p>
              </w:tc>
            </w:tr>
            <w:tr w14:paraId="679A4346">
              <w:tblPrEx>
                <w:tblBorders>
                  <w:top w:val="single" w:color="auto" w:sz="12" w:space="0"/>
                  <w:left w:val="none" w:color="auto" w:sz="0" w:space="0"/>
                  <w:bottom w:val="single" w:color="auto" w:sz="12" w:space="0"/>
                  <w:right w:val="none" w:color="auto" w:sz="6"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16" w:type="dxa"/>
                  <w:noWrap w:val="0"/>
                  <w:vAlign w:val="center"/>
                </w:tcPr>
                <w:p w14:paraId="3C1696EC">
                  <w:pPr>
                    <w:pStyle w:val="88"/>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highlight w:val="none"/>
                    </w:rPr>
                    <w:t>生态</w:t>
                  </w:r>
                </w:p>
              </w:tc>
              <w:tc>
                <w:tcPr>
                  <w:tcW w:w="4545" w:type="dxa"/>
                  <w:noWrap w:val="0"/>
                  <w:vAlign w:val="center"/>
                </w:tcPr>
                <w:p w14:paraId="16D86589">
                  <w:pPr>
                    <w:spacing w:beforeLines="0" w:afterLines="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color w:val="auto"/>
                      <w:sz w:val="21"/>
                      <w:szCs w:val="21"/>
                      <w:highlight w:val="none"/>
                    </w:rPr>
                    <w:t>取水口下游500米范围内有重要水生生物的自然产卵场、索饵场、越冬场和洄游通道的新增河道取水的污染类建设项目</w:t>
                  </w:r>
                </w:p>
              </w:tc>
              <w:tc>
                <w:tcPr>
                  <w:tcW w:w="971" w:type="dxa"/>
                  <w:tcBorders>
                    <w:right w:val="nil"/>
                  </w:tcBorders>
                  <w:noWrap w:val="0"/>
                  <w:vAlign w:val="center"/>
                </w:tcPr>
                <w:p w14:paraId="312ECB23">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kern w:val="2"/>
                      <w:sz w:val="21"/>
                      <w:szCs w:val="21"/>
                      <w:highlight w:val="none"/>
                      <w:lang w:val="en-US" w:eastAsia="zh-CN" w:bidi="ar"/>
                    </w:rPr>
                    <w:t>不涉及</w:t>
                  </w:r>
                </w:p>
              </w:tc>
            </w:tr>
            <w:tr w14:paraId="31EDFBEC">
              <w:tblPrEx>
                <w:tblBorders>
                  <w:top w:val="single" w:color="auto" w:sz="12" w:space="0"/>
                  <w:left w:val="none" w:color="auto" w:sz="0" w:space="0"/>
                  <w:bottom w:val="single" w:color="auto" w:sz="12" w:space="0"/>
                  <w:right w:val="none" w:color="auto" w:sz="6"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16" w:type="dxa"/>
                  <w:tcBorders>
                    <w:bottom w:val="single" w:color="auto" w:sz="12" w:space="0"/>
                  </w:tcBorders>
                  <w:noWrap w:val="0"/>
                  <w:vAlign w:val="center"/>
                </w:tcPr>
                <w:p w14:paraId="459F2EFA">
                  <w:pPr>
                    <w:pStyle w:val="88"/>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sz w:val="21"/>
                      <w:highlight w:val="none"/>
                    </w:rPr>
                    <w:t>海</w:t>
                  </w:r>
                  <w:r>
                    <w:rPr>
                      <w:rFonts w:hint="default" w:ascii="Times New Roman" w:hAnsi="Times New Roman" w:eastAsia="宋体" w:cs="Times New Roman"/>
                      <w:color w:val="auto"/>
                      <w:sz w:val="21"/>
                      <w:highlight w:val="none"/>
                      <w:lang w:val="en-US" w:eastAsia="zh-CN"/>
                    </w:rPr>
                    <w:t>洋</w:t>
                  </w:r>
                </w:p>
              </w:tc>
              <w:tc>
                <w:tcPr>
                  <w:tcW w:w="4545" w:type="dxa"/>
                  <w:tcBorders>
                    <w:bottom w:val="single" w:color="auto" w:sz="12" w:space="0"/>
                  </w:tcBorders>
                  <w:noWrap w:val="0"/>
                  <w:vAlign w:val="center"/>
                </w:tcPr>
                <w:p w14:paraId="3F94E5C5">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color w:val="auto"/>
                      <w:sz w:val="21"/>
                      <w:szCs w:val="21"/>
                      <w:highlight w:val="none"/>
                    </w:rPr>
                    <w:t>直接向海排放污染物的海洋工程建设项目</w:t>
                  </w:r>
                </w:p>
              </w:tc>
              <w:tc>
                <w:tcPr>
                  <w:tcW w:w="971" w:type="dxa"/>
                  <w:tcBorders>
                    <w:bottom w:val="single" w:color="auto" w:sz="12" w:space="0"/>
                    <w:right w:val="nil"/>
                  </w:tcBorders>
                  <w:noWrap w:val="0"/>
                  <w:vAlign w:val="center"/>
                </w:tcPr>
                <w:p w14:paraId="57FFBD68">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kern w:val="2"/>
                      <w:sz w:val="21"/>
                      <w:szCs w:val="21"/>
                      <w:highlight w:val="none"/>
                      <w:lang w:val="en-US" w:eastAsia="zh-CN" w:bidi="ar"/>
                    </w:rPr>
                    <w:t>不涉及</w:t>
                  </w:r>
                </w:p>
              </w:tc>
            </w:tr>
          </w:tbl>
          <w:p w14:paraId="3ED9DD06">
            <w:pPr>
              <w:autoSpaceDE w:val="0"/>
              <w:autoSpaceDN w:val="0"/>
              <w:adjustRightInd w:val="0"/>
              <w:snapToGrid w:val="0"/>
              <w:jc w:val="center"/>
              <w:rPr>
                <w:rFonts w:hint="default" w:ascii="Times New Roman" w:hAnsi="Times New Roman" w:cs="Times New Roman" w:eastAsiaTheme="minorEastAsia"/>
                <w:color w:val="auto"/>
                <w:kern w:val="0"/>
                <w:sz w:val="24"/>
                <w:highlight w:val="none"/>
              </w:rPr>
            </w:pPr>
          </w:p>
        </w:tc>
      </w:tr>
      <w:tr w14:paraId="47F879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53" w:type="dxa"/>
            <w:vAlign w:val="center"/>
          </w:tcPr>
          <w:p w14:paraId="6824DEEA">
            <w:pPr>
              <w:autoSpaceDE w:val="0"/>
              <w:autoSpaceDN w:val="0"/>
              <w:adjustRightInd w:val="0"/>
              <w:snapToGrid w:val="0"/>
              <w:jc w:val="center"/>
              <w:rPr>
                <w:rFonts w:hint="default" w:ascii="Times New Roman" w:hAnsi="Times New Roman" w:cs="Times New Roman" w:eastAsiaTheme="minorEastAsia"/>
                <w:b/>
                <w:bCs/>
                <w:color w:val="auto"/>
                <w:kern w:val="0"/>
                <w:sz w:val="24"/>
                <w:highlight w:val="none"/>
              </w:rPr>
            </w:pPr>
            <w:r>
              <w:rPr>
                <w:rFonts w:hint="default" w:ascii="Times New Roman" w:hAnsi="Times New Roman" w:cs="Times New Roman" w:eastAsiaTheme="minorEastAsia"/>
                <w:b/>
                <w:bCs/>
                <w:color w:val="auto"/>
                <w:sz w:val="24"/>
                <w:highlight w:val="none"/>
              </w:rPr>
              <w:t>规划情况</w:t>
            </w:r>
          </w:p>
        </w:tc>
        <w:tc>
          <w:tcPr>
            <w:tcW w:w="7823" w:type="dxa"/>
            <w:gridSpan w:val="3"/>
            <w:shd w:val="clear" w:color="auto" w:fill="auto"/>
            <w:vAlign w:val="center"/>
          </w:tcPr>
          <w:p w14:paraId="3FDC2006">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规划名称：《句容市郭庄镇总体规划（2017-2035年）》；</w:t>
            </w:r>
          </w:p>
          <w:p w14:paraId="1AB8F1AA">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审查机关：句容市人民政府；</w:t>
            </w:r>
          </w:p>
          <w:p w14:paraId="5B24AB3D">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审批文件名称及文号</w:t>
            </w:r>
            <w:r>
              <w:rPr>
                <w:rFonts w:hint="default" w:ascii="Times New Roman" w:hAnsi="Times New Roman" w:eastAsia="宋体" w:cs="Times New Roman"/>
                <w:color w:val="auto"/>
                <w:kern w:val="0"/>
                <w:sz w:val="24"/>
                <w:szCs w:val="24"/>
                <w:lang w:eastAsia="zh-CN"/>
              </w:rPr>
              <w:t>：《句容市人民政府关于同意&lt;郭庄镇总体规划（2017-2035 年）&gt;的批复》（句政复﹝2019﹞40号）</w:t>
            </w:r>
          </w:p>
          <w:p w14:paraId="6A3F4D5E">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color w:val="0070C0"/>
                <w:kern w:val="0"/>
                <w:sz w:val="24"/>
                <w:szCs w:val="24"/>
              </w:rPr>
            </w:pPr>
            <w:r>
              <w:rPr>
                <w:rFonts w:hint="default" w:ascii="Times New Roman" w:hAnsi="Times New Roman" w:eastAsia="宋体" w:cs="Times New Roman"/>
                <w:color w:val="0070C0"/>
                <w:kern w:val="0"/>
                <w:sz w:val="24"/>
                <w:szCs w:val="24"/>
              </w:rPr>
              <w:t>规划名称：《江苏省句容高新技术产业开发区（筹）开发建设规划（2024-2035）》；</w:t>
            </w:r>
          </w:p>
          <w:p w14:paraId="6BA39D79">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color w:val="0070C0"/>
                <w:kern w:val="0"/>
                <w:sz w:val="24"/>
                <w:szCs w:val="24"/>
              </w:rPr>
            </w:pPr>
            <w:r>
              <w:rPr>
                <w:rFonts w:hint="default" w:ascii="Times New Roman" w:hAnsi="Times New Roman" w:eastAsia="宋体" w:cs="Times New Roman"/>
                <w:color w:val="0070C0"/>
                <w:kern w:val="0"/>
                <w:sz w:val="24"/>
                <w:szCs w:val="24"/>
              </w:rPr>
              <w:t>审查机关：句容市郭庄镇人民政府；</w:t>
            </w:r>
          </w:p>
          <w:p w14:paraId="6085A141">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0070C0"/>
                <w:kern w:val="0"/>
                <w:sz w:val="24"/>
                <w:szCs w:val="24"/>
              </w:rPr>
              <w:t>审批文件名称及文号</w:t>
            </w:r>
            <w:r>
              <w:rPr>
                <w:rFonts w:hint="default" w:ascii="Times New Roman" w:hAnsi="Times New Roman" w:eastAsia="宋体" w:cs="Times New Roman"/>
                <w:color w:val="0070C0"/>
                <w:kern w:val="0"/>
                <w:sz w:val="24"/>
                <w:szCs w:val="24"/>
                <w:lang w:eastAsia="zh-CN"/>
              </w:rPr>
              <w:t>：</w:t>
            </w:r>
            <w:r>
              <w:rPr>
                <w:rFonts w:hint="default" w:ascii="Times New Roman" w:hAnsi="Times New Roman" w:cs="Times New Roman"/>
                <w:color w:val="0070C0"/>
                <w:kern w:val="0"/>
                <w:sz w:val="24"/>
                <w:szCs w:val="24"/>
                <w:lang w:val="en-US" w:eastAsia="zh-CN"/>
              </w:rPr>
              <w:t>/</w:t>
            </w:r>
          </w:p>
        </w:tc>
      </w:tr>
      <w:tr w14:paraId="3D9D8E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96" w:hRule="atLeast"/>
          <w:jc w:val="center"/>
        </w:trPr>
        <w:tc>
          <w:tcPr>
            <w:tcW w:w="953" w:type="dxa"/>
            <w:vAlign w:val="center"/>
          </w:tcPr>
          <w:p w14:paraId="47D1E366">
            <w:pPr>
              <w:adjustRightInd w:val="0"/>
              <w:snapToGrid w:val="0"/>
              <w:jc w:val="center"/>
              <w:rPr>
                <w:rFonts w:hint="default" w:ascii="Times New Roman" w:hAnsi="Times New Roman" w:cs="Times New Roman" w:eastAsiaTheme="minorEastAsia"/>
                <w:b/>
                <w:bCs/>
                <w:color w:val="auto"/>
                <w:kern w:val="0"/>
                <w:sz w:val="24"/>
                <w:highlight w:val="none"/>
              </w:rPr>
            </w:pPr>
            <w:r>
              <w:rPr>
                <w:rFonts w:hint="default" w:ascii="Times New Roman" w:hAnsi="Times New Roman" w:cs="Times New Roman" w:eastAsiaTheme="minorEastAsia"/>
                <w:b/>
                <w:bCs/>
                <w:color w:val="auto"/>
                <w:sz w:val="24"/>
                <w:highlight w:val="none"/>
              </w:rPr>
              <w:t>规划环境影响评价情况</w:t>
            </w:r>
          </w:p>
        </w:tc>
        <w:tc>
          <w:tcPr>
            <w:tcW w:w="7823" w:type="dxa"/>
            <w:gridSpan w:val="3"/>
            <w:shd w:val="clear" w:color="auto" w:fill="auto"/>
            <w:vAlign w:val="top"/>
          </w:tcPr>
          <w:p w14:paraId="639EC88D">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snapToGrid w:val="0"/>
                <w:color w:val="0070C0"/>
                <w:kern w:val="0"/>
                <w:sz w:val="24"/>
                <w:szCs w:val="24"/>
              </w:rPr>
            </w:pPr>
            <w:r>
              <w:rPr>
                <w:rFonts w:hint="default" w:ascii="Times New Roman" w:hAnsi="Times New Roman" w:eastAsia="宋体" w:cs="Times New Roman"/>
                <w:snapToGrid w:val="0"/>
                <w:color w:val="0070C0"/>
                <w:kern w:val="0"/>
                <w:sz w:val="24"/>
                <w:szCs w:val="24"/>
              </w:rPr>
              <w:t>文件名称</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snapToGrid w:val="0"/>
                <w:color w:val="0070C0"/>
                <w:kern w:val="0"/>
                <w:sz w:val="24"/>
                <w:szCs w:val="24"/>
              </w:rPr>
              <w:t>《江苏省句容高新技术产业开发区（筹）开发建设规划（2024-2035）环境影响报告书》；</w:t>
            </w:r>
          </w:p>
          <w:p w14:paraId="6678FFDD">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color w:val="0070C0"/>
                <w:kern w:val="0"/>
                <w:sz w:val="24"/>
                <w:szCs w:val="24"/>
              </w:rPr>
            </w:pPr>
            <w:r>
              <w:rPr>
                <w:rFonts w:hint="default" w:ascii="Times New Roman" w:hAnsi="Times New Roman" w:eastAsia="宋体" w:cs="Times New Roman"/>
                <w:color w:val="0070C0"/>
                <w:kern w:val="0"/>
                <w:sz w:val="24"/>
                <w:szCs w:val="24"/>
              </w:rPr>
              <w:t>审查机关：镇江市句容生态环境局；</w:t>
            </w:r>
          </w:p>
          <w:p w14:paraId="2D4B64F1">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0070C0"/>
                <w:kern w:val="0"/>
                <w:sz w:val="24"/>
                <w:szCs w:val="24"/>
              </w:rPr>
              <w:t>审批文件名称及文号：关于《江苏省句容高新技术产业开发区（筹）开发建设规划（2024-2035）环境影响报告书》的审查意见（句环字〔2025〕</w:t>
            </w:r>
            <w:r>
              <w:rPr>
                <w:rFonts w:hint="default" w:ascii="Times New Roman" w:hAnsi="Times New Roman" w:eastAsia="宋体" w:cs="Times New Roman"/>
                <w:color w:val="0070C0"/>
                <w:kern w:val="0"/>
                <w:sz w:val="24"/>
                <w:szCs w:val="24"/>
                <w:lang w:val="en-US" w:eastAsia="zh-CN"/>
              </w:rPr>
              <w:t>18</w:t>
            </w:r>
            <w:r>
              <w:rPr>
                <w:rFonts w:hint="default" w:ascii="Times New Roman" w:hAnsi="Times New Roman" w:eastAsia="宋体" w:cs="Times New Roman"/>
                <w:color w:val="0070C0"/>
                <w:kern w:val="0"/>
                <w:sz w:val="24"/>
                <w:szCs w:val="24"/>
              </w:rPr>
              <w:t>号）。</w:t>
            </w:r>
          </w:p>
        </w:tc>
      </w:tr>
      <w:tr w14:paraId="72F597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99" w:hRule="atLeast"/>
          <w:jc w:val="center"/>
        </w:trPr>
        <w:tc>
          <w:tcPr>
            <w:tcW w:w="953" w:type="dxa"/>
            <w:vAlign w:val="center"/>
          </w:tcPr>
          <w:p w14:paraId="5454391F">
            <w:pPr>
              <w:autoSpaceDE w:val="0"/>
              <w:autoSpaceDN w:val="0"/>
              <w:adjustRightInd w:val="0"/>
              <w:snapToGrid w:val="0"/>
              <w:jc w:val="center"/>
              <w:rPr>
                <w:rFonts w:hint="default" w:ascii="Times New Roman" w:hAnsi="Times New Roman" w:cs="Times New Roman" w:eastAsiaTheme="minorEastAsia"/>
                <w:b/>
                <w:bCs/>
                <w:color w:val="auto"/>
                <w:kern w:val="0"/>
                <w:sz w:val="24"/>
                <w:highlight w:val="none"/>
              </w:rPr>
            </w:pPr>
            <w:r>
              <w:rPr>
                <w:rFonts w:hint="default" w:ascii="Times New Roman" w:hAnsi="Times New Roman" w:cs="Times New Roman" w:eastAsiaTheme="minorEastAsia"/>
                <w:b/>
                <w:bCs/>
                <w:color w:val="auto"/>
                <w:kern w:val="0"/>
                <w:sz w:val="24"/>
                <w:highlight w:val="none"/>
              </w:rPr>
              <w:t>规划及规划环境影响评价符合性分析</w:t>
            </w:r>
          </w:p>
        </w:tc>
        <w:tc>
          <w:tcPr>
            <w:tcW w:w="7823" w:type="dxa"/>
            <w:gridSpan w:val="3"/>
          </w:tcPr>
          <w:p w14:paraId="0EF58E90">
            <w:pPr>
              <w:autoSpaceDE w:val="0"/>
              <w:autoSpaceDN w:val="0"/>
              <w:adjustRightInd w:val="0"/>
              <w:snapToGrid w:val="0"/>
              <w:spacing w:before="120" w:beforeLines="50" w:line="360" w:lineRule="auto"/>
              <w:ind w:firstLine="482" w:firstLineChars="200"/>
              <w:rPr>
                <w:rFonts w:hint="default" w:ascii="Times New Roman" w:hAnsi="Times New Roman" w:cs="Times New Roman" w:eastAsiaTheme="minorEastAsia"/>
                <w:b/>
                <w:color w:val="auto"/>
                <w:kern w:val="0"/>
                <w:sz w:val="24"/>
                <w:highlight w:val="none"/>
              </w:rPr>
            </w:pPr>
            <w:r>
              <w:rPr>
                <w:rFonts w:hint="default" w:ascii="Times New Roman" w:hAnsi="Times New Roman" w:cs="Times New Roman" w:eastAsiaTheme="minorEastAsia"/>
                <w:b/>
                <w:color w:val="auto"/>
                <w:kern w:val="0"/>
                <w:sz w:val="24"/>
                <w:highlight w:val="none"/>
              </w:rPr>
              <w:t>1.规划相符性分析</w:t>
            </w:r>
          </w:p>
          <w:p w14:paraId="38D37B33">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rPr>
              <w:t>与</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句容市郭庄镇总体规划（2017-2035年）》相符性</w:t>
            </w:r>
            <w:r>
              <w:rPr>
                <w:rFonts w:hint="default" w:ascii="Times New Roman" w:hAnsi="Times New Roman" w:cs="Times New Roman"/>
                <w:b/>
                <w:bCs/>
                <w:color w:val="auto"/>
                <w:sz w:val="24"/>
                <w:szCs w:val="24"/>
                <w:highlight w:val="none"/>
                <w:lang w:val="en-US" w:eastAsia="zh-CN"/>
              </w:rPr>
              <w:t>分析</w:t>
            </w:r>
          </w:p>
          <w:p w14:paraId="4D63E8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（1）城镇规划范围</w:t>
            </w:r>
          </w:p>
          <w:p w14:paraId="6D727F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规划范围包括镇域和镇区两个空间层次。城市规划范围即为镇域范围。</w:t>
            </w:r>
          </w:p>
          <w:p w14:paraId="74DFB1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①镇域：为郭庄镇行政范围，总面积150.55km</w:t>
            </w:r>
            <w:r>
              <w:rPr>
                <w:rFonts w:hint="default" w:ascii="Times New Roman" w:hAnsi="Times New Roman" w:cs="Times New Roman"/>
                <w:color w:val="auto"/>
                <w:sz w:val="24"/>
                <w:szCs w:val="24"/>
                <w:vertAlign w:val="superscript"/>
                <w:lang w:eastAsia="zh-CN"/>
              </w:rPr>
              <w:t>2</w:t>
            </w:r>
            <w:r>
              <w:rPr>
                <w:rFonts w:hint="default" w:ascii="Times New Roman" w:hAnsi="Times New Roman" w:cs="Times New Roman"/>
                <w:color w:val="auto"/>
                <w:sz w:val="24"/>
                <w:szCs w:val="24"/>
                <w:lang w:eastAsia="zh-CN"/>
              </w:rPr>
              <w:t>。</w:t>
            </w:r>
          </w:p>
          <w:p w14:paraId="2D2840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②镇区：北至空港大道，南至甲山路，西至宁杭高速和宁杭高铁，东至水库路。规划总面积约15.02km</w:t>
            </w:r>
            <w:r>
              <w:rPr>
                <w:rFonts w:hint="default" w:ascii="Times New Roman" w:hAnsi="Times New Roman" w:cs="Times New Roman"/>
                <w:color w:val="auto"/>
                <w:sz w:val="24"/>
                <w:szCs w:val="24"/>
                <w:vertAlign w:val="superscript"/>
                <w:lang w:eastAsia="zh-CN"/>
              </w:rPr>
              <w:t>2</w:t>
            </w:r>
            <w:r>
              <w:rPr>
                <w:rFonts w:hint="default" w:ascii="Times New Roman" w:hAnsi="Times New Roman" w:cs="Times New Roman"/>
                <w:color w:val="auto"/>
                <w:sz w:val="24"/>
                <w:szCs w:val="24"/>
                <w:lang w:eastAsia="zh-CN"/>
              </w:rPr>
              <w:t>，其中镇区城镇建设用地约12.23km</w:t>
            </w:r>
            <w:r>
              <w:rPr>
                <w:rFonts w:hint="default" w:ascii="Times New Roman" w:hAnsi="Times New Roman" w:cs="Times New Roman"/>
                <w:color w:val="auto"/>
                <w:sz w:val="24"/>
                <w:szCs w:val="24"/>
                <w:vertAlign w:val="superscript"/>
                <w:lang w:eastAsia="zh-CN"/>
              </w:rPr>
              <w:t>2</w:t>
            </w:r>
            <w:r>
              <w:rPr>
                <w:rFonts w:hint="default" w:ascii="Times New Roman" w:hAnsi="Times New Roman" w:cs="Times New Roman"/>
                <w:color w:val="auto"/>
                <w:sz w:val="24"/>
                <w:szCs w:val="24"/>
                <w:lang w:eastAsia="zh-CN"/>
              </w:rPr>
              <w:t>。</w:t>
            </w:r>
          </w:p>
          <w:p w14:paraId="10C9AE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 xml:space="preserve">产业空间布局             </w:t>
            </w:r>
          </w:p>
          <w:p w14:paraId="4207A3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第一产业：位于郭庄东南部大片区域，发展以水稻和蔬菜种植，蛋鸡、养鱼及特色水产品为主的常规生态农业生产区。郭庄镇应继续培育、种植应时鲜果、中药材和水产养殖等优势特色农业，发展高效农业生产区，积极发展新兴农产品。积极推进农业产业化发展，提高农业生产组织化、产业化水平。加快建设高效农业园区，大力发展农业科技，积极引进农业科研院所推进农业产学研一体化发展。</w:t>
            </w:r>
          </w:p>
          <w:p w14:paraId="6BC79D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第二产业：主要集中分布在郭庄镇区内与葛村工业区。镇区重点扶持现代装备制造业成为发展主要引擎。基于现有的产业优势，结合现有产业基础，以“规模化、集聚化、品牌化”为要求，强化项目带动作用，重点扶持和打造新能源装备及应用产业、绿色环保装备、特种装备信息技术设备和产业。葛村工业区，葛村集镇作为湖区和南部乡村地区过</w:t>
            </w:r>
            <w:r>
              <w:rPr>
                <w:rFonts w:hint="default" w:ascii="Times New Roman" w:hAnsi="Times New Roman" w:cs="Times New Roman"/>
                <w:color w:val="auto"/>
                <w:sz w:val="24"/>
                <w:szCs w:val="24"/>
                <w:lang w:val="en-US" w:eastAsia="zh-CN"/>
              </w:rPr>
              <w:t>渡</w:t>
            </w:r>
            <w:r>
              <w:rPr>
                <w:rFonts w:hint="default" w:ascii="Times New Roman" w:hAnsi="Times New Roman" w:cs="Times New Roman"/>
                <w:color w:val="auto"/>
                <w:sz w:val="24"/>
                <w:szCs w:val="24"/>
                <w:lang w:eastAsia="zh-CN"/>
              </w:rPr>
              <w:t>地段，应控制现有的工业园区发展，适当进行产业升级改造，集镇功能逐步转型为以农副产品加工为主的工业集中区，同时提供与镇区集中高新工业相补充的工业服务功能。</w:t>
            </w:r>
          </w:p>
          <w:p w14:paraId="36A100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第三产业：包括位于镇域东北部赤山风景旅游区；位于镇域东南部的虬山湖风景旅游区；镇区的高铁商务区和综合生活服务区；及镇区南部的甲山风景旅游区。以承接周边辐射、提升城镇发展品质为目标，大力发展科技创新、信息服务、现代物流等生产性服务业，加快服务业集聚区建设，促进服务业规模扩大、结构优化、层次提升。配套完善发展现代服务业，推动郭庄镇实施两轮驱动。</w:t>
            </w:r>
          </w:p>
          <w:p w14:paraId="763A70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本项目位于句容市郭庄镇空港大道</w:t>
            </w:r>
            <w:r>
              <w:rPr>
                <w:rFonts w:hint="eastAsia" w:ascii="Times New Roman" w:hAnsi="Times New Roman" w:cs="Times New Roman"/>
                <w:color w:val="auto"/>
                <w:sz w:val="24"/>
                <w:szCs w:val="24"/>
                <w:lang w:eastAsia="zh-CN"/>
              </w:rPr>
              <w:t>9号2幢</w:t>
            </w:r>
            <w:r>
              <w:rPr>
                <w:rFonts w:hint="default" w:ascii="Times New Roman" w:hAnsi="Times New Roman" w:cs="Times New Roman"/>
                <w:color w:val="auto"/>
                <w:sz w:val="24"/>
                <w:szCs w:val="24"/>
                <w:lang w:eastAsia="zh-CN"/>
              </w:rPr>
              <w:t>，属于句容市郭庄镇总体规划中镇区规划范围，</w:t>
            </w: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lang w:eastAsia="zh-CN"/>
              </w:rPr>
              <w:t>属于光学元器件项目制造，项目所在地块为工业用地，项目选址符合《句容市郭庄镇总体规划（2017-2035年）》相关要求。</w:t>
            </w:r>
          </w:p>
          <w:p w14:paraId="532E4E9C">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color w:val="0070C0"/>
                <w:sz w:val="24"/>
                <w:szCs w:val="24"/>
                <w:highlight w:val="none"/>
                <w:lang w:eastAsia="zh-CN"/>
              </w:rPr>
            </w:pPr>
            <w:r>
              <w:rPr>
                <w:rFonts w:hint="default" w:ascii="Times New Roman" w:hAnsi="Times New Roman" w:cs="Times New Roman"/>
                <w:b/>
                <w:bCs/>
                <w:color w:val="0070C0"/>
                <w:sz w:val="24"/>
                <w:szCs w:val="24"/>
                <w:highlight w:val="none"/>
              </w:rPr>
              <w:t>与</w:t>
            </w:r>
            <w:r>
              <w:rPr>
                <w:rFonts w:hint="default" w:ascii="Times New Roman" w:hAnsi="Times New Roman" w:eastAsia="宋体" w:cs="Times New Roman"/>
                <w:b/>
                <w:bCs/>
                <w:color w:val="0070C0"/>
                <w:kern w:val="0"/>
                <w:sz w:val="24"/>
                <w:szCs w:val="24"/>
              </w:rPr>
              <w:t>《江苏省句容高新技术产业开发区（筹）开发建设规划（2024-2035）》</w:t>
            </w:r>
            <w:r>
              <w:rPr>
                <w:rFonts w:hint="default" w:ascii="Times New Roman" w:hAnsi="Times New Roman" w:cs="Times New Roman"/>
                <w:b/>
                <w:bCs/>
                <w:color w:val="0070C0"/>
                <w:sz w:val="24"/>
                <w:szCs w:val="24"/>
                <w:highlight w:val="none"/>
              </w:rPr>
              <w:t>相符性</w:t>
            </w:r>
            <w:r>
              <w:rPr>
                <w:rFonts w:hint="default" w:ascii="Times New Roman" w:hAnsi="Times New Roman" w:cs="Times New Roman"/>
                <w:b/>
                <w:bCs/>
                <w:color w:val="0070C0"/>
                <w:sz w:val="24"/>
                <w:szCs w:val="24"/>
                <w:highlight w:val="none"/>
                <w:lang w:val="en-US" w:eastAsia="zh-CN"/>
              </w:rPr>
              <w:t>分析</w:t>
            </w:r>
          </w:p>
          <w:p w14:paraId="53F357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b/>
                <w:bCs w:val="0"/>
                <w:color w:val="0070C0"/>
                <w:kern w:val="0"/>
                <w:sz w:val="24"/>
                <w:szCs w:val="24"/>
                <w:lang w:val="en-US" w:eastAsia="zh-CN"/>
              </w:rPr>
            </w:pPr>
            <w:r>
              <w:rPr>
                <w:rFonts w:hint="default" w:ascii="Times New Roman" w:hAnsi="Times New Roman" w:cs="Times New Roman"/>
                <w:color w:val="0070C0"/>
                <w:sz w:val="24"/>
                <w:szCs w:val="24"/>
              </w:rPr>
              <w:t>本次规划范围</w:t>
            </w:r>
            <w:bookmarkStart w:id="5" w:name="_Hlk183201808"/>
            <w:r>
              <w:rPr>
                <w:rFonts w:hint="default" w:ascii="Times New Roman" w:hAnsi="Times New Roman" w:cs="Times New Roman"/>
                <w:color w:val="0070C0"/>
                <w:sz w:val="24"/>
                <w:szCs w:val="24"/>
              </w:rPr>
              <w:t>北至张朝路，东至空港大道、南至朝阳路、西至宁茅线-凤仪路-韵达场站西边界-空港新城教育园北边界-聚星街，总面积约5.28平方公里</w:t>
            </w:r>
            <w:bookmarkEnd w:id="5"/>
            <w:r>
              <w:rPr>
                <w:rFonts w:hint="default" w:ascii="Times New Roman" w:hAnsi="Times New Roman" w:cs="Times New Roman"/>
                <w:color w:val="0070C0"/>
                <w:sz w:val="24"/>
                <w:szCs w:val="24"/>
              </w:rPr>
              <w:t>（不含基本农田等城镇开发边界以外的用地）。以新能源装备、新型电力装备、机电制造为主导产业；推进现代物流、科技服务等现代服务业发展，推动先进制造业与现代服务业深度融合。</w:t>
            </w:r>
          </w:p>
          <w:p w14:paraId="373CE7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70C0"/>
                <w:sz w:val="24"/>
                <w:szCs w:val="24"/>
                <w:lang w:eastAsia="zh-CN"/>
              </w:rPr>
            </w:pPr>
            <w:r>
              <w:rPr>
                <w:rFonts w:hint="default" w:ascii="Times New Roman" w:hAnsi="Times New Roman" w:cs="Times New Roman"/>
                <w:color w:val="0070C0"/>
                <w:sz w:val="24"/>
                <w:szCs w:val="24"/>
                <w:lang w:eastAsia="zh-CN"/>
              </w:rPr>
              <w:t>本项目位于句容市郭庄镇空港大道</w:t>
            </w:r>
            <w:r>
              <w:rPr>
                <w:rFonts w:hint="eastAsia" w:ascii="Times New Roman" w:hAnsi="Times New Roman" w:cs="Times New Roman"/>
                <w:color w:val="0070C0"/>
                <w:sz w:val="24"/>
                <w:szCs w:val="24"/>
                <w:lang w:eastAsia="zh-CN"/>
              </w:rPr>
              <w:t>9号2幢</w:t>
            </w:r>
            <w:r>
              <w:rPr>
                <w:rFonts w:hint="default" w:ascii="Times New Roman" w:hAnsi="Times New Roman" w:cs="Times New Roman"/>
                <w:color w:val="0070C0"/>
                <w:sz w:val="24"/>
                <w:szCs w:val="24"/>
                <w:lang w:eastAsia="zh-CN"/>
              </w:rPr>
              <w:t>，属于</w:t>
            </w:r>
            <w:r>
              <w:rPr>
                <w:rFonts w:hint="default" w:ascii="Times New Roman" w:hAnsi="Times New Roman" w:eastAsia="宋体" w:cs="Times New Roman"/>
                <w:b/>
                <w:bCs/>
                <w:color w:val="0070C0"/>
                <w:kern w:val="0"/>
                <w:sz w:val="24"/>
                <w:szCs w:val="24"/>
              </w:rPr>
              <w:t>《江苏省句容高新技术产业开发区</w:t>
            </w:r>
            <w:r>
              <w:rPr>
                <w:rFonts w:hint="default" w:ascii="Times New Roman" w:hAnsi="Times New Roman" w:cs="Times New Roman"/>
                <w:color w:val="0070C0"/>
                <w:sz w:val="24"/>
                <w:szCs w:val="24"/>
                <w:lang w:eastAsia="zh-CN"/>
              </w:rPr>
              <w:t>规划范围，</w:t>
            </w:r>
            <w:r>
              <w:rPr>
                <w:rFonts w:hint="default" w:ascii="Times New Roman" w:hAnsi="Times New Roman" w:cs="Times New Roman"/>
                <w:color w:val="0070C0"/>
                <w:sz w:val="24"/>
                <w:szCs w:val="24"/>
                <w:lang w:val="en-US" w:eastAsia="zh-CN"/>
              </w:rPr>
              <w:t>本项目</w:t>
            </w:r>
            <w:r>
              <w:rPr>
                <w:rFonts w:hint="default" w:ascii="Times New Roman" w:hAnsi="Times New Roman" w:cs="Times New Roman"/>
                <w:color w:val="0070C0"/>
                <w:sz w:val="24"/>
                <w:szCs w:val="24"/>
                <w:lang w:eastAsia="zh-CN"/>
              </w:rPr>
              <w:t>属于光学元器件项目制造，</w:t>
            </w:r>
            <w:r>
              <w:rPr>
                <w:rFonts w:hint="default" w:ascii="Times New Roman" w:hAnsi="Times New Roman" w:cs="Times New Roman"/>
                <w:color w:val="0070C0"/>
                <w:sz w:val="24"/>
                <w:szCs w:val="24"/>
                <w:lang w:val="en-US" w:eastAsia="zh-CN"/>
              </w:rPr>
              <w:t>不属于禁止建设的类别，</w:t>
            </w:r>
            <w:r>
              <w:rPr>
                <w:rFonts w:hint="default" w:ascii="Times New Roman" w:hAnsi="Times New Roman" w:cs="Times New Roman"/>
                <w:color w:val="0070C0"/>
                <w:sz w:val="24"/>
                <w:szCs w:val="24"/>
                <w:lang w:eastAsia="zh-CN"/>
              </w:rPr>
              <w:t>项目所在地块为工业用地，项目选址符</w:t>
            </w:r>
            <w:r>
              <w:rPr>
                <w:rFonts w:hint="default" w:ascii="Times New Roman" w:hAnsi="Times New Roman" w:cs="Times New Roman"/>
                <w:b w:val="0"/>
                <w:bCs w:val="0"/>
                <w:color w:val="0070C0"/>
                <w:sz w:val="24"/>
                <w:szCs w:val="24"/>
                <w:lang w:eastAsia="zh-CN"/>
              </w:rPr>
              <w:t>合</w:t>
            </w:r>
            <w:r>
              <w:rPr>
                <w:rFonts w:hint="default" w:ascii="Times New Roman" w:hAnsi="Times New Roman" w:eastAsia="宋体" w:cs="Times New Roman"/>
                <w:b w:val="0"/>
                <w:bCs w:val="0"/>
                <w:color w:val="0070C0"/>
                <w:kern w:val="0"/>
                <w:sz w:val="24"/>
                <w:szCs w:val="24"/>
              </w:rPr>
              <w:t>《江苏省句容高新技术产业开发区（筹）开发建设规划（2024-2035）》</w:t>
            </w:r>
            <w:r>
              <w:rPr>
                <w:rFonts w:hint="default" w:ascii="Times New Roman" w:hAnsi="Times New Roman" w:cs="Times New Roman"/>
                <w:color w:val="0070C0"/>
                <w:sz w:val="24"/>
                <w:szCs w:val="24"/>
                <w:lang w:eastAsia="zh-CN"/>
              </w:rPr>
              <w:t>相关要求。</w:t>
            </w:r>
          </w:p>
          <w:p w14:paraId="2C6A21F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eastAsiaTheme="minorEastAsia"/>
                <w:b/>
                <w:bCs w:val="0"/>
                <w:color w:val="auto"/>
                <w:kern w:val="0"/>
                <w:sz w:val="24"/>
                <w:lang w:val="en-US" w:eastAsia="zh-CN"/>
              </w:rPr>
            </w:pPr>
            <w:r>
              <w:rPr>
                <w:rFonts w:hint="default" w:ascii="Times New Roman" w:hAnsi="Times New Roman" w:cs="Times New Roman" w:eastAsiaTheme="minorEastAsia"/>
                <w:b/>
                <w:bCs w:val="0"/>
                <w:color w:val="auto"/>
                <w:kern w:val="0"/>
                <w:sz w:val="24"/>
                <w:lang w:val="en-US" w:eastAsia="zh-CN"/>
              </w:rPr>
              <w:t>2.与</w:t>
            </w:r>
            <w:r>
              <w:rPr>
                <w:rFonts w:hint="default" w:ascii="Times New Roman" w:hAnsi="Times New Roman" w:eastAsia="宋体" w:cs="Times New Roman"/>
                <w:b/>
                <w:bCs w:val="0"/>
                <w:snapToGrid w:val="0"/>
                <w:color w:val="0070C0"/>
                <w:kern w:val="0"/>
                <w:sz w:val="24"/>
                <w:szCs w:val="24"/>
              </w:rPr>
              <w:t>《江苏省句容高新技术产业开发区（筹）开发建设规划（2024-2035）环境影响报告书》</w:t>
            </w:r>
            <w:r>
              <w:rPr>
                <w:rFonts w:hint="default" w:ascii="Times New Roman" w:hAnsi="Times New Roman" w:cs="Times New Roman"/>
                <w:b/>
                <w:bCs w:val="0"/>
                <w:snapToGrid w:val="0"/>
                <w:color w:val="0070C0"/>
                <w:kern w:val="0"/>
                <w:sz w:val="24"/>
                <w:szCs w:val="24"/>
                <w:lang w:val="en-US" w:eastAsia="zh-CN"/>
              </w:rPr>
              <w:t>中</w:t>
            </w:r>
            <w:r>
              <w:rPr>
                <w:rFonts w:hint="default" w:ascii="Times New Roman" w:hAnsi="Times New Roman" w:cs="Times New Roman"/>
                <w:b/>
                <w:bCs/>
                <w:color w:val="auto"/>
                <w:kern w:val="0"/>
                <w:sz w:val="24"/>
                <w:szCs w:val="24"/>
                <w:lang w:val="en-US" w:eastAsia="zh-CN" w:bidi="ar"/>
              </w:rPr>
              <w:t>规划环境影响评价结论及审查意见相符性分析</w:t>
            </w:r>
          </w:p>
          <w:p w14:paraId="5B1BAC1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0070C0"/>
                <w:sz w:val="24"/>
                <w:szCs w:val="24"/>
                <w:highlight w:val="yellow"/>
                <w:lang w:eastAsia="zh-CN"/>
              </w:rPr>
            </w:pPr>
            <w:r>
              <w:rPr>
                <w:rFonts w:hint="default" w:ascii="Times New Roman" w:hAnsi="Times New Roman" w:cs="Times New Roman"/>
                <w:color w:val="0070C0"/>
                <w:sz w:val="24"/>
                <w:szCs w:val="24"/>
                <w:highlight w:val="none"/>
              </w:rPr>
              <w:t>根据</w:t>
            </w:r>
            <w:r>
              <w:rPr>
                <w:rFonts w:hint="default" w:ascii="Times New Roman" w:hAnsi="Times New Roman" w:eastAsia="宋体" w:cs="Times New Roman"/>
                <w:color w:val="0070C0"/>
                <w:kern w:val="0"/>
                <w:sz w:val="24"/>
                <w:szCs w:val="24"/>
              </w:rPr>
              <w:t>《江苏省句容高新技术产业开发区（筹）开发建设规划（2024-2035）环境影响报告书》</w:t>
            </w:r>
            <w:r>
              <w:rPr>
                <w:rFonts w:hint="default" w:ascii="Times New Roman" w:hAnsi="Times New Roman" w:eastAsia="宋体" w:cs="Times New Roman"/>
                <w:color w:val="0070C0"/>
                <w:kern w:val="0"/>
                <w:sz w:val="24"/>
                <w:szCs w:val="24"/>
                <w:lang w:val="en-US" w:eastAsia="zh-CN"/>
              </w:rPr>
              <w:t>及其审查</w:t>
            </w:r>
            <w:r>
              <w:rPr>
                <w:rFonts w:hint="default" w:ascii="Times New Roman" w:hAnsi="Times New Roman" w:eastAsia="宋体" w:cs="Times New Roman"/>
                <w:color w:val="0070C0"/>
                <w:kern w:val="0"/>
                <w:sz w:val="24"/>
                <w:szCs w:val="24"/>
              </w:rPr>
              <w:t>意见（句环字〔2025〕</w:t>
            </w:r>
            <w:r>
              <w:rPr>
                <w:rFonts w:hint="default" w:ascii="Times New Roman" w:hAnsi="Times New Roman" w:eastAsia="宋体" w:cs="Times New Roman"/>
                <w:color w:val="0070C0"/>
                <w:kern w:val="0"/>
                <w:sz w:val="24"/>
                <w:szCs w:val="24"/>
                <w:lang w:val="en-US" w:eastAsia="zh-CN"/>
              </w:rPr>
              <w:t>18</w:t>
            </w:r>
            <w:r>
              <w:rPr>
                <w:rFonts w:hint="default" w:ascii="Times New Roman" w:hAnsi="Times New Roman" w:eastAsia="宋体" w:cs="Times New Roman"/>
                <w:color w:val="0070C0"/>
                <w:kern w:val="0"/>
                <w:sz w:val="24"/>
                <w:szCs w:val="24"/>
              </w:rPr>
              <w:t>号）</w:t>
            </w:r>
            <w:r>
              <w:rPr>
                <w:rFonts w:hint="default" w:ascii="Times New Roman" w:hAnsi="Times New Roman" w:cs="Times New Roman"/>
                <w:color w:val="0070C0"/>
                <w:sz w:val="24"/>
                <w:szCs w:val="24"/>
                <w:highlight w:val="none"/>
                <w:lang w:eastAsia="zh-CN"/>
              </w:rPr>
              <w:t>，项目建设与开发区规划环评及审查意见相符性分析</w:t>
            </w:r>
            <w:r>
              <w:rPr>
                <w:rFonts w:hint="default" w:ascii="Times New Roman" w:hAnsi="Times New Roman" w:cs="Times New Roman"/>
                <w:color w:val="0070C0"/>
                <w:sz w:val="24"/>
                <w:szCs w:val="24"/>
                <w:highlight w:val="none"/>
                <w:lang w:val="en-US" w:eastAsia="zh-CN"/>
              </w:rPr>
              <w:t>见下</w:t>
            </w:r>
            <w:r>
              <w:rPr>
                <w:rFonts w:hint="default" w:ascii="Times New Roman" w:hAnsi="Times New Roman" w:cs="Times New Roman"/>
                <w:color w:val="0070C0"/>
                <w:sz w:val="24"/>
                <w:szCs w:val="24"/>
                <w:highlight w:val="none"/>
                <w:lang w:eastAsia="zh-CN"/>
              </w:rPr>
              <w:t>表。</w:t>
            </w:r>
          </w:p>
          <w:p w14:paraId="76B9CE21">
            <w:pPr>
              <w:pStyle w:val="47"/>
              <w:keepNext w:val="0"/>
              <w:keepLines w:val="0"/>
              <w:pageBreakBefore w:val="0"/>
              <w:widowControl w:val="0"/>
              <w:kinsoku/>
              <w:wordWrap/>
              <w:overflowPunct/>
              <w:topLinePunct w:val="0"/>
              <w:autoSpaceDE w:val="0"/>
              <w:autoSpaceDN w:val="0"/>
              <w:bidi w:val="0"/>
              <w:adjustRightInd w:val="0"/>
              <w:snapToGrid/>
              <w:spacing w:beforeLines="0" w:line="240" w:lineRule="auto"/>
              <w:ind w:firstLine="0" w:firstLineChars="0"/>
              <w:jc w:val="center"/>
              <w:textAlignment w:val="auto"/>
              <w:rPr>
                <w:rFonts w:hint="default" w:ascii="Times New Roman" w:hAnsi="Times New Roman" w:eastAsia="宋体" w:cs="Times New Roman"/>
                <w:color w:val="0070C0"/>
              </w:rPr>
            </w:pPr>
            <w:r>
              <w:rPr>
                <w:rFonts w:hint="default" w:ascii="Times New Roman" w:hAnsi="Times New Roman" w:eastAsia="宋体" w:cs="Times New Roman"/>
                <w:b/>
                <w:bCs/>
                <w:color w:val="0070C0"/>
              </w:rPr>
              <w:t>表1-</w:t>
            </w:r>
            <w:r>
              <w:rPr>
                <w:rFonts w:hint="default" w:ascii="Times New Roman" w:hAnsi="Times New Roman" w:cs="Times New Roman"/>
                <w:b/>
                <w:bCs/>
                <w:color w:val="0070C0"/>
                <w:lang w:val="en-US" w:eastAsia="zh-CN"/>
              </w:rPr>
              <w:t>2</w:t>
            </w:r>
            <w:r>
              <w:rPr>
                <w:rFonts w:hint="default" w:ascii="Times New Roman" w:hAnsi="Times New Roman" w:eastAsia="宋体" w:cs="Times New Roman"/>
                <w:b/>
                <w:bCs/>
                <w:color w:val="0070C0"/>
              </w:rPr>
              <w:t xml:space="preserve"> 本项目与规划环评及审查意见相符性分析表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39"/>
              <w:gridCol w:w="4393"/>
              <w:gridCol w:w="1928"/>
              <w:gridCol w:w="907"/>
            </w:tblGrid>
            <w:tr w14:paraId="50151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47" w:type="pct"/>
                  <w:noWrap w:val="0"/>
                  <w:vAlign w:val="center"/>
                </w:tcPr>
                <w:p w14:paraId="37BD127F">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b/>
                      <w:bCs/>
                      <w:color w:val="0070C0"/>
                      <w:sz w:val="21"/>
                      <w:szCs w:val="21"/>
                    </w:rPr>
                  </w:pPr>
                  <w:r>
                    <w:rPr>
                      <w:rFonts w:hint="default" w:ascii="Times New Roman" w:hAnsi="Times New Roman" w:cs="Times New Roman"/>
                      <w:b/>
                      <w:bCs/>
                      <w:color w:val="0070C0"/>
                      <w:sz w:val="21"/>
                      <w:szCs w:val="21"/>
                    </w:rPr>
                    <w:t>序号</w:t>
                  </w:r>
                </w:p>
              </w:tc>
              <w:tc>
                <w:tcPr>
                  <w:tcW w:w="2827" w:type="pct"/>
                  <w:noWrap w:val="0"/>
                  <w:vAlign w:val="center"/>
                </w:tcPr>
                <w:p w14:paraId="324FE8A0">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b/>
                      <w:bCs/>
                      <w:color w:val="0070C0"/>
                      <w:sz w:val="21"/>
                      <w:szCs w:val="21"/>
                    </w:rPr>
                  </w:pPr>
                  <w:r>
                    <w:rPr>
                      <w:rFonts w:hint="default" w:ascii="Times New Roman" w:hAnsi="Times New Roman" w:cs="Times New Roman"/>
                      <w:b/>
                      <w:bCs/>
                      <w:color w:val="0070C0"/>
                      <w:sz w:val="21"/>
                      <w:szCs w:val="21"/>
                    </w:rPr>
                    <w:t>要求</w:t>
                  </w:r>
                </w:p>
              </w:tc>
              <w:tc>
                <w:tcPr>
                  <w:tcW w:w="1241" w:type="pct"/>
                  <w:noWrap w:val="0"/>
                  <w:vAlign w:val="center"/>
                </w:tcPr>
                <w:p w14:paraId="243F06BC">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color w:val="0070C0"/>
                      <w:sz w:val="21"/>
                      <w:szCs w:val="21"/>
                      <w:lang w:val="en-US" w:eastAsia="zh-CN"/>
                    </w:rPr>
                  </w:pPr>
                  <w:r>
                    <w:rPr>
                      <w:rFonts w:hint="default" w:ascii="Times New Roman" w:hAnsi="Times New Roman" w:cs="Times New Roman"/>
                      <w:b/>
                      <w:bCs/>
                      <w:color w:val="0070C0"/>
                      <w:sz w:val="21"/>
                      <w:szCs w:val="21"/>
                      <w:lang w:val="en-US" w:eastAsia="zh-CN"/>
                    </w:rPr>
                    <w:t>本项目情况</w:t>
                  </w:r>
                </w:p>
              </w:tc>
              <w:tc>
                <w:tcPr>
                  <w:tcW w:w="584" w:type="pct"/>
                  <w:noWrap w:val="0"/>
                  <w:vAlign w:val="center"/>
                </w:tcPr>
                <w:p w14:paraId="2F372DC4">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b/>
                      <w:bCs/>
                      <w:color w:val="0070C0"/>
                      <w:sz w:val="21"/>
                      <w:szCs w:val="21"/>
                    </w:rPr>
                  </w:pPr>
                  <w:r>
                    <w:rPr>
                      <w:rFonts w:hint="default" w:ascii="Times New Roman" w:hAnsi="Times New Roman" w:cs="Times New Roman"/>
                      <w:b/>
                      <w:bCs/>
                      <w:color w:val="0070C0"/>
                      <w:sz w:val="21"/>
                      <w:szCs w:val="21"/>
                    </w:rPr>
                    <w:t>相符性</w:t>
                  </w:r>
                </w:p>
              </w:tc>
            </w:tr>
            <w:tr w14:paraId="6FB92E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47" w:type="pct"/>
                  <w:noWrap w:val="0"/>
                  <w:vAlign w:val="center"/>
                </w:tcPr>
                <w:p w14:paraId="7A278721">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1</w:t>
                  </w:r>
                </w:p>
              </w:tc>
              <w:tc>
                <w:tcPr>
                  <w:tcW w:w="2827" w:type="pct"/>
                  <w:noWrap w:val="0"/>
                  <w:vAlign w:val="center"/>
                </w:tcPr>
                <w:p w14:paraId="05013E7A">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一)完整准确全面贯彻新发展理念，坚持生态优先、节约集约、绿色低碳发展，以生态保护和环境质量持续改善为目标，做好与国土空间总体规划和生态环境分区管控体系的协调衔接，进一步优化《规划》布局、产业结构和发展规模，降低区域环境风险，协同推进生态环境高水平保护与经济高质量发展。  </w:t>
                  </w:r>
                </w:p>
              </w:tc>
              <w:tc>
                <w:tcPr>
                  <w:tcW w:w="1241" w:type="pct"/>
                  <w:noWrap w:val="0"/>
                  <w:vAlign w:val="center"/>
                </w:tcPr>
                <w:p w14:paraId="4BF62938">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0070C0"/>
                      <w:sz w:val="21"/>
                      <w:szCs w:val="21"/>
                      <w:lang w:val="en-US" w:eastAsia="zh-CN"/>
                    </w:rPr>
                  </w:pPr>
                  <w:r>
                    <w:rPr>
                      <w:rFonts w:hint="default" w:ascii="Times New Roman" w:hAnsi="Times New Roman" w:cs="Times New Roman"/>
                    </w:rPr>
                    <w:commentReference w:id="1"/>
                  </w:r>
                  <w:r>
                    <w:rPr>
                      <w:rFonts w:hint="default" w:ascii="Times New Roman" w:hAnsi="Times New Roman" w:cs="Times New Roman"/>
                      <w:sz w:val="21"/>
                      <w:szCs w:val="21"/>
                      <w:lang w:val="en-US" w:eastAsia="zh-CN"/>
                    </w:rPr>
                    <w:t>本项目符合相关</w:t>
                  </w:r>
                  <w:r>
                    <w:rPr>
                      <w:rFonts w:hint="default" w:ascii="Times New Roman" w:hAnsi="Times New Roman" w:cs="Times New Roman"/>
                      <w:color w:val="0070C0"/>
                      <w:sz w:val="21"/>
                      <w:szCs w:val="21"/>
                    </w:rPr>
                    <w:t>国土空间总体规划和生态环境分区管控体系</w:t>
                  </w:r>
                  <w:r>
                    <w:rPr>
                      <w:rFonts w:hint="default" w:ascii="Times New Roman" w:hAnsi="Times New Roman" w:cs="Times New Roman"/>
                      <w:color w:val="0070C0"/>
                      <w:sz w:val="21"/>
                      <w:szCs w:val="21"/>
                      <w:lang w:val="en-US" w:eastAsia="zh-CN"/>
                    </w:rPr>
                    <w:t>要求，不属于禁止建设的类别。</w:t>
                  </w:r>
                </w:p>
              </w:tc>
              <w:tc>
                <w:tcPr>
                  <w:tcW w:w="584" w:type="pct"/>
                  <w:noWrap w:val="0"/>
                  <w:vAlign w:val="center"/>
                </w:tcPr>
                <w:p w14:paraId="27513546">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相符</w:t>
                  </w:r>
                </w:p>
              </w:tc>
            </w:tr>
            <w:tr w14:paraId="2C7F6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47" w:type="pct"/>
                  <w:noWrap w:val="0"/>
                  <w:vAlign w:val="center"/>
                </w:tcPr>
                <w:p w14:paraId="20F327EE">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0070C0"/>
                      <w:sz w:val="21"/>
                      <w:szCs w:val="21"/>
                      <w:lang w:val="en-US" w:eastAsia="zh-CN"/>
                    </w:rPr>
                  </w:pPr>
                  <w:r>
                    <w:rPr>
                      <w:rFonts w:hint="default" w:ascii="Times New Roman" w:hAnsi="Times New Roman" w:cs="Times New Roman"/>
                      <w:color w:val="0070C0"/>
                      <w:sz w:val="21"/>
                      <w:szCs w:val="21"/>
                      <w:lang w:val="en-US" w:eastAsia="zh-CN"/>
                    </w:rPr>
                    <w:t>2</w:t>
                  </w:r>
                </w:p>
              </w:tc>
              <w:tc>
                <w:tcPr>
                  <w:tcW w:w="2827" w:type="pct"/>
                  <w:noWrap w:val="0"/>
                  <w:vAlign w:val="center"/>
                </w:tcPr>
                <w:p w14:paraId="46CF06A6">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二）严格空间管控，优化空间布局。区内各类开发建设活动应符合国土空间总体规划要求。加强对工业区与周边居住区、学校的空间防护，避免对环境敏感目标产生不良环境影响，确保产业布局与生态环境保护、人居环境安全相协调。</w:t>
                  </w:r>
                </w:p>
              </w:tc>
              <w:tc>
                <w:tcPr>
                  <w:tcW w:w="1241" w:type="pct"/>
                  <w:noWrap w:val="0"/>
                  <w:vAlign w:val="center"/>
                </w:tcPr>
                <w:p w14:paraId="79EE6D80">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0070C0"/>
                      <w:sz w:val="21"/>
                      <w:szCs w:val="21"/>
                      <w:lang w:val="en-US" w:eastAsia="zh-CN"/>
                    </w:rPr>
                  </w:pPr>
                  <w:r>
                    <w:rPr>
                      <w:rFonts w:hint="default" w:ascii="Times New Roman" w:hAnsi="Times New Roman" w:cs="Times New Roman"/>
                      <w:color w:val="0070C0"/>
                      <w:sz w:val="21"/>
                      <w:szCs w:val="21"/>
                      <w:lang w:val="en-US" w:eastAsia="zh-CN"/>
                    </w:rPr>
                    <w:t>本项目符合相关规划，项目周边500m内无敏感目标。</w:t>
                  </w:r>
                </w:p>
              </w:tc>
              <w:tc>
                <w:tcPr>
                  <w:tcW w:w="584" w:type="pct"/>
                  <w:noWrap w:val="0"/>
                  <w:vAlign w:val="center"/>
                </w:tcPr>
                <w:p w14:paraId="4631EE11">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相符</w:t>
                  </w:r>
                </w:p>
              </w:tc>
            </w:tr>
            <w:tr w14:paraId="189846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47" w:type="pct"/>
                  <w:noWrap w:val="0"/>
                  <w:vAlign w:val="center"/>
                </w:tcPr>
                <w:p w14:paraId="24E3E57C">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0070C0"/>
                      <w:sz w:val="21"/>
                      <w:szCs w:val="21"/>
                      <w:lang w:val="en-US" w:eastAsia="zh-CN"/>
                    </w:rPr>
                  </w:pPr>
                  <w:r>
                    <w:rPr>
                      <w:rFonts w:hint="default" w:ascii="Times New Roman" w:hAnsi="Times New Roman" w:cs="Times New Roman"/>
                      <w:color w:val="0070C0"/>
                      <w:sz w:val="21"/>
                      <w:szCs w:val="21"/>
                      <w:lang w:val="en-US" w:eastAsia="zh-CN"/>
                    </w:rPr>
                    <w:t>3</w:t>
                  </w:r>
                </w:p>
              </w:tc>
              <w:tc>
                <w:tcPr>
                  <w:tcW w:w="2827" w:type="pct"/>
                  <w:noWrap w:val="0"/>
                  <w:vAlign w:val="center"/>
                </w:tcPr>
                <w:p w14:paraId="532F1517">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三)严守环境质量底线，强化污染物排放总量管控。根据国家和江苏省关于大气、水、土壤污染防治和江苏省、镇江市“三线一单”生态环境分区管控等相关要求，落实规划环评提出的污染物排放、总量控制等要求。企业应采用有效措施控制污染物排放总量，实现主要污染物排放浓度和总量“双管控”，推进区域环境质量持续改善。</w:t>
                  </w:r>
                </w:p>
              </w:tc>
              <w:tc>
                <w:tcPr>
                  <w:tcW w:w="1241" w:type="pct"/>
                  <w:noWrap w:val="0"/>
                  <w:vAlign w:val="center"/>
                </w:tcPr>
                <w:p w14:paraId="2F6D8BE7">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0070C0"/>
                      <w:sz w:val="21"/>
                      <w:szCs w:val="21"/>
                    </w:rPr>
                  </w:pPr>
                  <w:r>
                    <w:rPr>
                      <w:rFonts w:hint="default" w:ascii="Times New Roman" w:hAnsi="Times New Roman" w:eastAsia="宋体" w:cs="Times New Roman"/>
                      <w:color w:val="0070C0"/>
                      <w:spacing w:val="0"/>
                      <w:sz w:val="21"/>
                      <w:szCs w:val="21"/>
                    </w:rPr>
                    <w:t>本项目废气及废水污染物均实行总量控制，并取得句容市生态环境局污染物排放总量指标；本项目建设不突破生态环境承载力。</w:t>
                  </w:r>
                </w:p>
              </w:tc>
              <w:tc>
                <w:tcPr>
                  <w:tcW w:w="584" w:type="pct"/>
                  <w:noWrap w:val="0"/>
                  <w:vAlign w:val="center"/>
                </w:tcPr>
                <w:p w14:paraId="10836824">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相符</w:t>
                  </w:r>
                </w:p>
              </w:tc>
            </w:tr>
            <w:tr w14:paraId="2A228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47" w:type="pct"/>
                  <w:noWrap w:val="0"/>
                  <w:vAlign w:val="center"/>
                </w:tcPr>
                <w:p w14:paraId="304DE26B">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0070C0"/>
                      <w:sz w:val="21"/>
                      <w:szCs w:val="21"/>
                      <w:lang w:val="en-US" w:eastAsia="zh-CN"/>
                    </w:rPr>
                  </w:pPr>
                  <w:r>
                    <w:rPr>
                      <w:rFonts w:hint="default" w:ascii="Times New Roman" w:hAnsi="Times New Roman" w:cs="Times New Roman"/>
                      <w:color w:val="0070C0"/>
                      <w:sz w:val="21"/>
                      <w:szCs w:val="21"/>
                      <w:lang w:val="en-US" w:eastAsia="zh-CN"/>
                    </w:rPr>
                    <w:t>4</w:t>
                  </w:r>
                </w:p>
              </w:tc>
              <w:tc>
                <w:tcPr>
                  <w:tcW w:w="2827" w:type="pct"/>
                  <w:noWrap w:val="0"/>
                  <w:vAlign w:val="center"/>
                </w:tcPr>
                <w:p w14:paraId="0838D5B2">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四）加强源头治理，协同推进减污降碳。统筹优化产业定位和发展规模，着力推动产业结构优化和转型升级。严格落实生态环境准入清单，加强企业特征污染物排放控制，建设高效治理设施，强化精细化管控。引进项目的生产工艺、设备、污染治理技术、清洁生产水平等须达到同行业国内先进水平。全面开展清洁生产审核，推动重点行业依法实施强制性审核，引导其他行业自觉自愿开展审核，不断提高现有企业清洁生产和污染治理水平。根据国家和地方碳</w:t>
                  </w:r>
                  <w:r>
                    <w:rPr>
                      <w:rFonts w:hint="eastAsia" w:cs="Times New Roman"/>
                      <w:color w:val="0070C0"/>
                      <w:sz w:val="21"/>
                      <w:szCs w:val="21"/>
                      <w:lang w:eastAsia="zh-CN"/>
                    </w:rPr>
                    <w:t>减</w:t>
                  </w:r>
                  <w:r>
                    <w:rPr>
                      <w:rFonts w:hint="default" w:ascii="Times New Roman" w:hAnsi="Times New Roman" w:cs="Times New Roman"/>
                      <w:color w:val="0070C0"/>
                      <w:sz w:val="21"/>
                      <w:szCs w:val="21"/>
                    </w:rPr>
                    <w:t>排、碳达峰行动方案和路径要求，推进高新区绿色低碳发展，优化产业结构、能源结构、交通运输等规划内容，实现减污降碳协同增效目标。</w:t>
                  </w:r>
                </w:p>
              </w:tc>
              <w:tc>
                <w:tcPr>
                  <w:tcW w:w="1241" w:type="pct"/>
                  <w:noWrap w:val="0"/>
                  <w:vAlign w:val="center"/>
                </w:tcPr>
                <w:p w14:paraId="1746D17B">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0070C0"/>
                      <w:sz w:val="21"/>
                      <w:szCs w:val="21"/>
                      <w:lang w:val="en-US" w:eastAsia="zh-CN"/>
                    </w:rPr>
                  </w:pPr>
                  <w:r>
                    <w:rPr>
                      <w:rFonts w:hint="default" w:ascii="Times New Roman" w:hAnsi="Times New Roman" w:cs="Times New Roman"/>
                      <w:color w:val="0070C0"/>
                      <w:sz w:val="21"/>
                      <w:szCs w:val="21"/>
                      <w:lang w:val="en-US" w:eastAsia="zh-CN"/>
                    </w:rPr>
                    <w:t>本项目运营过程中会产生一定的污染物，采取相应的污染防治措施后，各类污染物的排放一般不会对周围环境造成不良影响，不会降低当地环境质量。</w:t>
                  </w:r>
                  <w:r>
                    <w:rPr>
                      <w:rFonts w:hint="default" w:ascii="Times New Roman" w:hAnsi="Times New Roman" w:cs="Times New Roman"/>
                      <w:color w:val="0070C0"/>
                      <w:sz w:val="21"/>
                      <w:szCs w:val="21"/>
                    </w:rPr>
                    <w:t>项目的生产工艺、设备、污染治理技术、清洁生产水平等达到同行业国内先进水平。</w:t>
                  </w:r>
                </w:p>
              </w:tc>
              <w:tc>
                <w:tcPr>
                  <w:tcW w:w="584" w:type="pct"/>
                  <w:noWrap w:val="0"/>
                  <w:vAlign w:val="center"/>
                </w:tcPr>
                <w:p w14:paraId="13064BA5">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相符</w:t>
                  </w:r>
                </w:p>
              </w:tc>
            </w:tr>
            <w:tr w14:paraId="4CF310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47" w:type="pct"/>
                  <w:noWrap w:val="0"/>
                  <w:vAlign w:val="center"/>
                </w:tcPr>
                <w:p w14:paraId="2E6D5FF0">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0070C0"/>
                      <w:sz w:val="21"/>
                      <w:szCs w:val="21"/>
                      <w:lang w:val="en-US" w:eastAsia="zh-CN"/>
                    </w:rPr>
                  </w:pPr>
                  <w:r>
                    <w:rPr>
                      <w:rFonts w:hint="default" w:ascii="Times New Roman" w:hAnsi="Times New Roman" w:cs="Times New Roman"/>
                      <w:color w:val="0070C0"/>
                      <w:sz w:val="21"/>
                      <w:szCs w:val="21"/>
                      <w:lang w:val="en-US" w:eastAsia="zh-CN"/>
                    </w:rPr>
                    <w:t>5</w:t>
                  </w:r>
                </w:p>
              </w:tc>
              <w:tc>
                <w:tcPr>
                  <w:tcW w:w="2827" w:type="pct"/>
                  <w:noWrap w:val="0"/>
                  <w:vAlign w:val="center"/>
                </w:tcPr>
                <w:p w14:paraId="4065494E">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(五) 完善环境基础设施建设，提高基础设施运行效能。完善区域污水管网建设，确保高新区废水全收集、全处理。企业使用天然气或电作为供热能源，严禁建设高污染燃料设施。加强固体废物减量化、资源化、无害化处理，一般工业固废、危险废物应依法依规收集、贮存、利用、处置，做到“就地分类收集、就近转移处置”。</w:t>
                  </w:r>
                </w:p>
                <w:p w14:paraId="49DECB4D">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0070C0"/>
                      <w:sz w:val="21"/>
                      <w:szCs w:val="21"/>
                    </w:rPr>
                  </w:pPr>
                </w:p>
              </w:tc>
              <w:tc>
                <w:tcPr>
                  <w:tcW w:w="1241" w:type="pct"/>
                  <w:noWrap w:val="0"/>
                  <w:vAlign w:val="center"/>
                </w:tcPr>
                <w:p w14:paraId="52EDD717">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both"/>
                    <w:textAlignment w:val="auto"/>
                    <w:rPr>
                      <w:rFonts w:hint="default" w:ascii="Times New Roman" w:hAnsi="Times New Roman" w:eastAsia="宋体" w:cs="Times New Roman"/>
                      <w:color w:val="0070C0"/>
                      <w:sz w:val="21"/>
                      <w:szCs w:val="21"/>
                      <w:lang w:val="en-US" w:eastAsia="zh-CN"/>
                    </w:rPr>
                  </w:pPr>
                  <w:r>
                    <w:rPr>
                      <w:rFonts w:hint="default" w:ascii="Times New Roman" w:hAnsi="Times New Roman" w:cs="Times New Roman"/>
                      <w:color w:val="0070C0"/>
                      <w:sz w:val="21"/>
                      <w:szCs w:val="21"/>
                      <w:lang w:val="en-US" w:eastAsia="zh-CN"/>
                    </w:rPr>
                    <w:t>本项目不</w:t>
                  </w:r>
                  <w:r>
                    <w:rPr>
                      <w:rFonts w:hint="default" w:ascii="Times New Roman" w:hAnsi="Times New Roman" w:cs="Times New Roman"/>
                      <w:color w:val="0070C0"/>
                      <w:sz w:val="21"/>
                      <w:szCs w:val="21"/>
                    </w:rPr>
                    <w:t>建设高污染燃料设施</w:t>
                  </w:r>
                  <w:r>
                    <w:rPr>
                      <w:rFonts w:hint="default" w:ascii="Times New Roman" w:hAnsi="Times New Roman" w:cs="Times New Roman"/>
                      <w:color w:val="0070C0"/>
                      <w:sz w:val="21"/>
                      <w:szCs w:val="21"/>
                      <w:lang w:eastAsia="zh-CN"/>
                    </w:rPr>
                    <w:t>，</w:t>
                  </w:r>
                  <w:r>
                    <w:rPr>
                      <w:rFonts w:hint="default" w:ascii="Times New Roman" w:hAnsi="Times New Roman" w:cs="Times New Roman"/>
                      <w:color w:val="0070C0"/>
                      <w:sz w:val="21"/>
                      <w:szCs w:val="21"/>
                    </w:rPr>
                    <w:t>一般工业固废、危险废物应依法依规收集、贮存、利用、处置，做到“就地分类收集、就近转移处置”。</w:t>
                  </w:r>
                </w:p>
              </w:tc>
              <w:tc>
                <w:tcPr>
                  <w:tcW w:w="584" w:type="pct"/>
                  <w:noWrap w:val="0"/>
                  <w:vAlign w:val="center"/>
                </w:tcPr>
                <w:p w14:paraId="0562878B">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相符</w:t>
                  </w:r>
                </w:p>
              </w:tc>
            </w:tr>
            <w:tr w14:paraId="002A9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47" w:type="pct"/>
                  <w:noWrap w:val="0"/>
                  <w:vAlign w:val="center"/>
                </w:tcPr>
                <w:p w14:paraId="1305C728">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0070C0"/>
                      <w:sz w:val="21"/>
                      <w:szCs w:val="21"/>
                      <w:lang w:val="en-US" w:eastAsia="zh-CN"/>
                    </w:rPr>
                  </w:pPr>
                  <w:r>
                    <w:rPr>
                      <w:rFonts w:hint="default" w:ascii="Times New Roman" w:hAnsi="Times New Roman" w:cs="Times New Roman"/>
                      <w:color w:val="0070C0"/>
                      <w:sz w:val="21"/>
                      <w:szCs w:val="21"/>
                      <w:lang w:val="en-US" w:eastAsia="zh-CN"/>
                    </w:rPr>
                    <w:t>6</w:t>
                  </w:r>
                </w:p>
              </w:tc>
              <w:tc>
                <w:tcPr>
                  <w:tcW w:w="2827" w:type="pct"/>
                  <w:noWrap w:val="0"/>
                  <w:vAlign w:val="center"/>
                </w:tcPr>
                <w:p w14:paraId="2C9FF382">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六）健全环境风险防控体系，提升环境应急能力。加强环境应急基础设施建设，配备充足的应急装备物资，提高环境应急救援能力。建立健全环境风险评估和应急预案制度，定期开展环境应急演练，完善环境应急响应联动机制，提升应急实战水平。建立突发环境事件隐患排查长效机制，定期排查突发环境事件隐患，建立隐患清单并督促整改到位，保障区域环境安全。</w:t>
                  </w:r>
                </w:p>
              </w:tc>
              <w:tc>
                <w:tcPr>
                  <w:tcW w:w="1241" w:type="pct"/>
                  <w:noWrap w:val="0"/>
                  <w:vAlign w:val="center"/>
                </w:tcPr>
                <w:p w14:paraId="4F6F9341">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0070C0"/>
                      <w:sz w:val="21"/>
                      <w:szCs w:val="21"/>
                    </w:rPr>
                  </w:pPr>
                  <w:r>
                    <w:rPr>
                      <w:rFonts w:hint="default" w:ascii="Times New Roman" w:hAnsi="Times New Roman" w:eastAsia="宋体" w:cs="Times New Roman"/>
                      <w:b w:val="0"/>
                      <w:bCs w:val="0"/>
                      <w:snapToGrid w:val="0"/>
                      <w:color w:val="0070C0"/>
                      <w:spacing w:val="0"/>
                      <w:kern w:val="0"/>
                      <w:sz w:val="21"/>
                      <w:szCs w:val="21"/>
                    </w:rPr>
                    <w:t>建设单位</w:t>
                  </w:r>
                  <w:r>
                    <w:rPr>
                      <w:rFonts w:hint="default" w:ascii="Times New Roman" w:hAnsi="Times New Roman" w:eastAsia="宋体" w:cs="Times New Roman"/>
                      <w:b w:val="0"/>
                      <w:bCs w:val="0"/>
                      <w:snapToGrid w:val="0"/>
                      <w:color w:val="0070C0"/>
                      <w:spacing w:val="0"/>
                      <w:kern w:val="0"/>
                      <w:sz w:val="21"/>
                      <w:szCs w:val="21"/>
                      <w:lang w:val="en-US" w:eastAsia="zh-CN"/>
                    </w:rPr>
                    <w:t>后续将</w:t>
                  </w:r>
                  <w:r>
                    <w:rPr>
                      <w:rFonts w:hint="default" w:ascii="Times New Roman" w:hAnsi="Times New Roman" w:eastAsia="宋体" w:cs="Times New Roman"/>
                      <w:b w:val="0"/>
                      <w:bCs w:val="0"/>
                      <w:snapToGrid w:val="0"/>
                      <w:color w:val="0070C0"/>
                      <w:spacing w:val="0"/>
                      <w:kern w:val="0"/>
                      <w:sz w:val="21"/>
                      <w:szCs w:val="21"/>
                    </w:rPr>
                    <w:t>制定</w:t>
                  </w:r>
                  <w:r>
                    <w:rPr>
                      <w:rFonts w:hint="default" w:ascii="Times New Roman" w:hAnsi="Times New Roman" w:eastAsia="宋体" w:cs="Times New Roman"/>
                      <w:b w:val="0"/>
                      <w:bCs w:val="0"/>
                      <w:snapToGrid w:val="0"/>
                      <w:color w:val="0070C0"/>
                      <w:spacing w:val="0"/>
                      <w:kern w:val="0"/>
                      <w:sz w:val="21"/>
                      <w:szCs w:val="21"/>
                      <w:lang w:val="en-US" w:eastAsia="zh-CN"/>
                    </w:rPr>
                    <w:t>相关</w:t>
                  </w:r>
                  <w:r>
                    <w:rPr>
                      <w:rFonts w:hint="default" w:ascii="Times New Roman" w:hAnsi="Times New Roman" w:eastAsia="宋体" w:cs="Times New Roman"/>
                      <w:b w:val="0"/>
                      <w:bCs w:val="0"/>
                      <w:snapToGrid w:val="0"/>
                      <w:color w:val="0070C0"/>
                      <w:spacing w:val="0"/>
                      <w:kern w:val="0"/>
                      <w:sz w:val="21"/>
                      <w:szCs w:val="21"/>
                    </w:rPr>
                    <w:t>风险防范措施</w:t>
                  </w:r>
                  <w:r>
                    <w:rPr>
                      <w:rFonts w:hint="default" w:ascii="Times New Roman" w:hAnsi="Times New Roman" w:eastAsia="宋体" w:cs="Times New Roman"/>
                      <w:b w:val="0"/>
                      <w:bCs w:val="0"/>
                      <w:snapToGrid w:val="0"/>
                      <w:color w:val="0070C0"/>
                      <w:spacing w:val="0"/>
                      <w:kern w:val="0"/>
                      <w:sz w:val="21"/>
                      <w:szCs w:val="21"/>
                      <w:lang w:val="en-US" w:eastAsia="zh-CN"/>
                    </w:rPr>
                    <w:t>并</w:t>
                  </w:r>
                  <w:r>
                    <w:rPr>
                      <w:rFonts w:hint="default" w:ascii="Times New Roman" w:hAnsi="Times New Roman" w:eastAsia="宋体" w:cs="Times New Roman"/>
                      <w:b w:val="0"/>
                      <w:bCs w:val="0"/>
                      <w:snapToGrid w:val="0"/>
                      <w:color w:val="0070C0"/>
                      <w:spacing w:val="0"/>
                      <w:kern w:val="0"/>
                      <w:sz w:val="21"/>
                      <w:szCs w:val="21"/>
                    </w:rPr>
                    <w:t>编制突发环境事件应急预案，后续将按照要求对应急预案进行备案，定期开展应急演练。</w:t>
                  </w:r>
                </w:p>
              </w:tc>
              <w:tc>
                <w:tcPr>
                  <w:tcW w:w="584" w:type="pct"/>
                  <w:noWrap w:val="0"/>
                  <w:vAlign w:val="center"/>
                </w:tcPr>
                <w:p w14:paraId="21C68B55">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相符</w:t>
                  </w:r>
                </w:p>
              </w:tc>
            </w:tr>
            <w:tr w14:paraId="75161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47" w:type="pct"/>
                  <w:noWrap w:val="0"/>
                  <w:vAlign w:val="center"/>
                </w:tcPr>
                <w:p w14:paraId="5EEB5776">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0070C0"/>
                      <w:sz w:val="21"/>
                      <w:szCs w:val="21"/>
                      <w:lang w:val="en-US" w:eastAsia="zh-CN"/>
                    </w:rPr>
                  </w:pPr>
                  <w:r>
                    <w:rPr>
                      <w:rFonts w:hint="default" w:ascii="Times New Roman" w:hAnsi="Times New Roman" w:cs="Times New Roman"/>
                      <w:color w:val="0070C0"/>
                      <w:sz w:val="21"/>
                      <w:szCs w:val="21"/>
                      <w:lang w:val="en-US" w:eastAsia="zh-CN"/>
                    </w:rPr>
                    <w:t>7</w:t>
                  </w:r>
                </w:p>
              </w:tc>
              <w:tc>
                <w:tcPr>
                  <w:tcW w:w="2827" w:type="pct"/>
                  <w:noWrap w:val="0"/>
                  <w:vAlign w:val="center"/>
                </w:tcPr>
                <w:p w14:paraId="65E77309">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七)建立健全环境监测监控体系。开展包括环境空气、地表水、地下水、土壤、底泥等环境要素的长期跟踪监测与管理。结合区域跟踪监测情况，动态调整高新区开发建设规模和时序进度，优化生态环境保护措施，确保区域环境质量不恶化。</w:t>
                  </w:r>
                </w:p>
              </w:tc>
              <w:tc>
                <w:tcPr>
                  <w:tcW w:w="1241" w:type="pct"/>
                  <w:noWrap w:val="0"/>
                  <w:vAlign w:val="center"/>
                </w:tcPr>
                <w:p w14:paraId="49FA03A2">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0070C0"/>
                      <w:sz w:val="21"/>
                      <w:szCs w:val="21"/>
                    </w:rPr>
                  </w:pPr>
                  <w:r>
                    <w:rPr>
                      <w:rFonts w:hint="default" w:ascii="Times New Roman" w:hAnsi="Times New Roman" w:eastAsia="宋体" w:cs="Times New Roman"/>
                      <w:color w:val="0070C0"/>
                      <w:sz w:val="21"/>
                      <w:szCs w:val="21"/>
                      <w:lang w:val="en-US" w:eastAsia="zh-CN"/>
                    </w:rPr>
                    <w:t>企业按要求制定例行监测计划，验收后定期进行例行监测</w:t>
                  </w:r>
                  <w:r>
                    <w:rPr>
                      <w:rFonts w:hint="default" w:ascii="Times New Roman" w:hAnsi="Times New Roman" w:cs="Times New Roman"/>
                      <w:color w:val="0070C0"/>
                      <w:sz w:val="21"/>
                      <w:szCs w:val="21"/>
                      <w:lang w:val="en-US" w:eastAsia="zh-CN"/>
                    </w:rPr>
                    <w:t>。</w:t>
                  </w:r>
                </w:p>
              </w:tc>
              <w:tc>
                <w:tcPr>
                  <w:tcW w:w="584" w:type="pct"/>
                  <w:noWrap w:val="0"/>
                  <w:vAlign w:val="center"/>
                </w:tcPr>
                <w:p w14:paraId="377487B1">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相符</w:t>
                  </w:r>
                </w:p>
              </w:tc>
            </w:tr>
          </w:tbl>
          <w:p w14:paraId="6D6F17F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2"/>
              <w:rPr>
                <w:rFonts w:hint="default" w:ascii="Times New Roman" w:hAnsi="Times New Roman" w:cs="Times New Roman"/>
                <w:b/>
                <w:color w:val="auto"/>
                <w:sz w:val="24"/>
                <w:highlight w:val="none"/>
                <w:lang w:val="zh-CN"/>
              </w:rPr>
            </w:pPr>
            <w:r>
              <w:rPr>
                <w:rFonts w:hint="default" w:ascii="Times New Roman" w:hAnsi="Times New Roman" w:cs="Times New Roman"/>
                <w:b/>
                <w:color w:val="auto"/>
                <w:sz w:val="24"/>
                <w:highlight w:val="none"/>
                <w:lang w:val="en-US" w:eastAsia="zh-CN"/>
              </w:rPr>
              <w:t>3</w:t>
            </w:r>
            <w:r>
              <w:rPr>
                <w:rFonts w:hint="default" w:ascii="Times New Roman" w:hAnsi="Times New Roman" w:cs="Times New Roman"/>
                <w:b/>
                <w:color w:val="auto"/>
                <w:sz w:val="24"/>
                <w:highlight w:val="none"/>
                <w:lang w:val="zh-CN"/>
              </w:rPr>
              <w:t>.与产业政策分析</w:t>
            </w:r>
          </w:p>
          <w:p w14:paraId="7CCAD812">
            <w:pPr>
              <w:autoSpaceDE w:val="0"/>
              <w:autoSpaceDN w:val="0"/>
              <w:adjustRightInd w:val="0"/>
              <w:snapToGrid w:val="0"/>
              <w:spacing w:line="360" w:lineRule="auto"/>
              <w:ind w:firstLine="480" w:firstLineChars="200"/>
              <w:rPr>
                <w:rFonts w:hint="default" w:ascii="Times New Roman" w:hAnsi="Times New Roman" w:cs="Times New Roman"/>
                <w:color w:val="auto"/>
                <w:sz w:val="24"/>
                <w:szCs w:val="24"/>
                <w:highlight w:val="none"/>
                <w:lang w:bidi="ar"/>
              </w:rPr>
            </w:pPr>
            <w:r>
              <w:rPr>
                <w:rFonts w:hint="default" w:ascii="Times New Roman" w:hAnsi="Times New Roman" w:cs="Times New Roman"/>
                <w:color w:val="auto"/>
                <w:sz w:val="24"/>
                <w:szCs w:val="24"/>
                <w:highlight w:val="none"/>
                <w:lang w:val="en-US" w:eastAsia="zh-CN"/>
              </w:rPr>
              <w:t>本</w:t>
            </w:r>
            <w:r>
              <w:rPr>
                <w:rFonts w:hint="default" w:ascii="Times New Roman" w:hAnsi="Times New Roman" w:cs="Times New Roman"/>
                <w:color w:val="auto"/>
                <w:sz w:val="24"/>
                <w:szCs w:val="24"/>
                <w:highlight w:val="none"/>
              </w:rPr>
              <w:t>项目</w:t>
            </w:r>
            <w:r>
              <w:rPr>
                <w:rFonts w:hint="default" w:ascii="Times New Roman" w:hAnsi="Times New Roman" w:cs="Times New Roman"/>
                <w:color w:val="auto"/>
                <w:sz w:val="24"/>
                <w:szCs w:val="24"/>
                <w:highlight w:val="none"/>
                <w:lang w:val="zh-CN"/>
              </w:rPr>
              <w:t>行业类别</w:t>
            </w:r>
            <w:r>
              <w:rPr>
                <w:rFonts w:hint="default" w:ascii="Times New Roman" w:hAnsi="Times New Roman" w:cs="Times New Roman"/>
                <w:color w:val="auto"/>
                <w:sz w:val="24"/>
                <w:szCs w:val="24"/>
                <w:highlight w:val="none"/>
              </w:rPr>
              <w:t>为</w:t>
            </w:r>
            <w:r>
              <w:rPr>
                <w:rFonts w:hint="default" w:ascii="Times New Roman" w:hAnsi="Times New Roman" w:cs="Times New Roman" w:eastAsiaTheme="minorEastAsia"/>
                <w:color w:val="auto"/>
                <w:sz w:val="24"/>
                <w:highlight w:val="none"/>
                <w:lang w:eastAsia="zh-CN"/>
              </w:rPr>
              <w:t>C3052光学玻璃制造。</w:t>
            </w:r>
            <w:r>
              <w:rPr>
                <w:rFonts w:hint="default" w:ascii="Times New Roman" w:hAnsi="Times New Roman" w:cs="Times New Roman"/>
                <w:color w:val="auto"/>
                <w:sz w:val="24"/>
                <w:szCs w:val="24"/>
                <w:highlight w:val="none"/>
                <w:lang w:bidi="ar"/>
              </w:rPr>
              <w:t>对照《产业结构调整指导目录（20</w:t>
            </w:r>
            <w:r>
              <w:rPr>
                <w:rFonts w:hint="default" w:ascii="Times New Roman" w:hAnsi="Times New Roman" w:cs="Times New Roman"/>
                <w:color w:val="auto"/>
                <w:sz w:val="24"/>
                <w:szCs w:val="24"/>
                <w:highlight w:val="none"/>
                <w:lang w:val="en-US" w:eastAsia="zh-CN" w:bidi="ar"/>
              </w:rPr>
              <w:t>24</w:t>
            </w:r>
            <w:r>
              <w:rPr>
                <w:rFonts w:hint="default" w:ascii="Times New Roman" w:hAnsi="Times New Roman" w:cs="Times New Roman"/>
                <w:color w:val="auto"/>
                <w:sz w:val="24"/>
                <w:szCs w:val="24"/>
                <w:highlight w:val="none"/>
                <w:lang w:bidi="ar"/>
              </w:rPr>
              <w:t>年本）》，项目产品、生产规模、工艺设备不属淘汰类、限制类，为允许类；不属于《</w:t>
            </w:r>
            <w:r>
              <w:rPr>
                <w:rFonts w:hint="default" w:ascii="Times New Roman" w:hAnsi="Times New Roman" w:cs="Times New Roman"/>
                <w:color w:val="0070C0"/>
                <w:sz w:val="24"/>
                <w:szCs w:val="24"/>
                <w:highlight w:val="none"/>
                <w:lang w:bidi="ar"/>
              </w:rPr>
              <w:t>市场准入负面清单（202</w:t>
            </w:r>
            <w:r>
              <w:rPr>
                <w:rFonts w:hint="default" w:ascii="Times New Roman" w:hAnsi="Times New Roman" w:cs="Times New Roman"/>
                <w:color w:val="0070C0"/>
                <w:sz w:val="24"/>
                <w:szCs w:val="24"/>
                <w:highlight w:val="none"/>
                <w:lang w:val="en-US" w:eastAsia="zh-CN" w:bidi="ar"/>
              </w:rPr>
              <w:t>5</w:t>
            </w:r>
            <w:r>
              <w:rPr>
                <w:rFonts w:hint="default" w:ascii="Times New Roman" w:hAnsi="Times New Roman" w:cs="Times New Roman"/>
                <w:color w:val="0070C0"/>
                <w:sz w:val="24"/>
                <w:szCs w:val="24"/>
                <w:highlight w:val="none"/>
                <w:lang w:bidi="ar"/>
              </w:rPr>
              <w:t>年版）</w:t>
            </w:r>
            <w:r>
              <w:rPr>
                <w:rFonts w:hint="default" w:ascii="Times New Roman" w:hAnsi="Times New Roman" w:cs="Times New Roman"/>
                <w:color w:val="auto"/>
                <w:sz w:val="24"/>
                <w:szCs w:val="24"/>
                <w:highlight w:val="none"/>
                <w:lang w:bidi="ar"/>
              </w:rPr>
              <w:t>》以及《镇江市产业结构调整指导目录（2019年本）》（镇发改工业发</w:t>
            </w:r>
            <w:r>
              <w:rPr>
                <w:rFonts w:hint="default" w:ascii="Times New Roman" w:hAnsi="Times New Roman" w:cs="Times New Roman"/>
                <w:color w:val="auto"/>
                <w:sz w:val="24"/>
                <w:szCs w:val="24"/>
                <w:highlight w:val="none"/>
                <w:lang w:eastAsia="zh-CN" w:bidi="ar"/>
              </w:rPr>
              <w:t>〔</w:t>
            </w:r>
            <w:r>
              <w:rPr>
                <w:rFonts w:hint="default" w:ascii="Times New Roman" w:hAnsi="Times New Roman" w:cs="Times New Roman"/>
                <w:color w:val="auto"/>
                <w:sz w:val="24"/>
                <w:szCs w:val="24"/>
                <w:highlight w:val="none"/>
                <w:lang w:bidi="ar"/>
              </w:rPr>
              <w:t>2019</w:t>
            </w:r>
            <w:r>
              <w:rPr>
                <w:rFonts w:hint="default" w:ascii="Times New Roman" w:hAnsi="Times New Roman" w:cs="Times New Roman"/>
                <w:color w:val="auto"/>
                <w:sz w:val="24"/>
                <w:szCs w:val="24"/>
                <w:highlight w:val="none"/>
                <w:lang w:eastAsia="zh-CN" w:bidi="ar"/>
              </w:rPr>
              <w:t>〕</w:t>
            </w:r>
            <w:r>
              <w:rPr>
                <w:rFonts w:hint="default" w:ascii="Times New Roman" w:hAnsi="Times New Roman" w:cs="Times New Roman"/>
                <w:color w:val="auto"/>
                <w:sz w:val="24"/>
                <w:szCs w:val="24"/>
                <w:highlight w:val="none"/>
                <w:lang w:bidi="ar"/>
              </w:rPr>
              <w:t>622号）中限制类和淘汰类项目，为允许类。</w:t>
            </w:r>
            <w:r>
              <w:commentReference w:id="2"/>
            </w:r>
            <w:r>
              <w:rPr>
                <w:rFonts w:hint="default" w:ascii="Times New Roman" w:hAnsi="Times New Roman" w:cs="Times New Roman"/>
                <w:color w:val="auto"/>
                <w:sz w:val="24"/>
                <w:szCs w:val="24"/>
                <w:highlight w:val="none"/>
                <w:lang w:bidi="ar"/>
              </w:rPr>
              <w:t>本项目已于202</w:t>
            </w:r>
            <w:r>
              <w:rPr>
                <w:rFonts w:hint="default" w:ascii="Times New Roman" w:hAnsi="Times New Roman" w:cs="Times New Roman"/>
                <w:color w:val="auto"/>
                <w:sz w:val="24"/>
                <w:szCs w:val="24"/>
                <w:highlight w:val="none"/>
                <w:lang w:val="en-US" w:eastAsia="zh-CN" w:bidi="ar"/>
              </w:rPr>
              <w:t>4</w:t>
            </w:r>
            <w:r>
              <w:rPr>
                <w:rFonts w:hint="default" w:ascii="Times New Roman" w:hAnsi="Times New Roman" w:cs="Times New Roman"/>
                <w:color w:val="auto"/>
                <w:sz w:val="24"/>
                <w:szCs w:val="24"/>
                <w:highlight w:val="none"/>
                <w:lang w:bidi="ar"/>
              </w:rPr>
              <w:t>年</w:t>
            </w:r>
            <w:r>
              <w:rPr>
                <w:rFonts w:hint="default" w:ascii="Times New Roman" w:hAnsi="Times New Roman" w:cs="Times New Roman"/>
                <w:color w:val="auto"/>
                <w:sz w:val="24"/>
                <w:szCs w:val="24"/>
                <w:highlight w:val="none"/>
                <w:lang w:val="en-US" w:eastAsia="zh-CN" w:bidi="ar"/>
              </w:rPr>
              <w:t>0</w:t>
            </w:r>
            <w:r>
              <w:rPr>
                <w:rFonts w:hint="eastAsia" w:cs="Times New Roman"/>
                <w:color w:val="auto"/>
                <w:sz w:val="24"/>
                <w:szCs w:val="24"/>
                <w:highlight w:val="none"/>
                <w:lang w:val="en-US" w:eastAsia="zh-CN" w:bidi="ar"/>
              </w:rPr>
              <w:t>9</w:t>
            </w:r>
            <w:r>
              <w:rPr>
                <w:rFonts w:hint="default" w:ascii="Times New Roman" w:hAnsi="Times New Roman" w:cs="Times New Roman"/>
                <w:color w:val="auto"/>
                <w:sz w:val="24"/>
                <w:szCs w:val="24"/>
                <w:highlight w:val="none"/>
                <w:lang w:bidi="ar"/>
              </w:rPr>
              <w:t>月</w:t>
            </w:r>
            <w:r>
              <w:rPr>
                <w:rFonts w:hint="eastAsia" w:cs="Times New Roman"/>
                <w:color w:val="auto"/>
                <w:sz w:val="24"/>
                <w:szCs w:val="24"/>
                <w:highlight w:val="none"/>
                <w:lang w:val="en-US" w:eastAsia="zh-CN" w:bidi="ar"/>
              </w:rPr>
              <w:t>27</w:t>
            </w:r>
            <w:r>
              <w:rPr>
                <w:rFonts w:hint="default" w:ascii="Times New Roman" w:hAnsi="Times New Roman" w:cs="Times New Roman"/>
                <w:color w:val="auto"/>
                <w:sz w:val="24"/>
                <w:szCs w:val="24"/>
                <w:highlight w:val="none"/>
                <w:lang w:bidi="ar"/>
              </w:rPr>
              <w:t>日取得句容市政务服务管理办公室备案</w:t>
            </w:r>
            <w:r>
              <w:rPr>
                <w:rFonts w:hint="default" w:ascii="Times New Roman" w:hAnsi="Times New Roman" w:cs="Times New Roman"/>
                <w:color w:val="auto"/>
                <w:sz w:val="24"/>
                <w:szCs w:val="24"/>
                <w:highlight w:val="none"/>
                <w:lang w:eastAsia="zh-CN" w:bidi="ar"/>
              </w:rPr>
              <w:t>，</w:t>
            </w:r>
            <w:r>
              <w:rPr>
                <w:rFonts w:hint="default" w:ascii="Times New Roman" w:hAnsi="Times New Roman" w:cs="Times New Roman"/>
                <w:color w:val="auto"/>
                <w:sz w:val="24"/>
                <w:szCs w:val="24"/>
                <w:highlight w:val="none"/>
                <w:lang w:bidi="ar"/>
              </w:rPr>
              <w:t>备案证号：</w:t>
            </w:r>
            <w:r>
              <w:rPr>
                <w:rFonts w:hint="default" w:ascii="Times New Roman" w:hAnsi="Times New Roman" w:cs="Times New Roman"/>
                <w:color w:val="auto"/>
                <w:sz w:val="24"/>
                <w:szCs w:val="24"/>
                <w:highlight w:val="none"/>
                <w:lang w:eastAsia="zh-CN" w:bidi="ar"/>
              </w:rPr>
              <w:t>句政务备〔2024〕</w:t>
            </w:r>
            <w:r>
              <w:rPr>
                <w:rFonts w:hint="eastAsia" w:cs="Times New Roman"/>
                <w:color w:val="auto"/>
                <w:sz w:val="24"/>
                <w:szCs w:val="24"/>
                <w:highlight w:val="none"/>
                <w:lang w:val="en-US" w:eastAsia="zh-CN" w:bidi="ar"/>
              </w:rPr>
              <w:t>135</w:t>
            </w:r>
            <w:r>
              <w:rPr>
                <w:rFonts w:hint="default" w:ascii="Times New Roman" w:hAnsi="Times New Roman" w:cs="Times New Roman"/>
                <w:color w:val="auto"/>
                <w:sz w:val="24"/>
                <w:szCs w:val="24"/>
                <w:highlight w:val="none"/>
                <w:lang w:eastAsia="zh-CN" w:bidi="ar"/>
              </w:rPr>
              <w:t>号</w:t>
            </w:r>
            <w:r>
              <w:rPr>
                <w:rFonts w:hint="default" w:ascii="Times New Roman" w:hAnsi="Times New Roman" w:cs="Times New Roman"/>
                <w:color w:val="auto"/>
                <w:sz w:val="24"/>
                <w:szCs w:val="24"/>
                <w:highlight w:val="none"/>
                <w:lang w:bidi="ar"/>
              </w:rPr>
              <w:t>。</w:t>
            </w:r>
          </w:p>
          <w:p w14:paraId="4D03346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highlight w:val="none"/>
                <w:lang w:val="zh-CN"/>
              </w:rPr>
            </w:pPr>
            <w:r>
              <w:rPr>
                <w:rFonts w:hint="default" w:ascii="Times New Roman" w:hAnsi="Times New Roman" w:cs="Times New Roman"/>
                <w:color w:val="auto"/>
                <w:sz w:val="24"/>
                <w:szCs w:val="24"/>
                <w:highlight w:val="none"/>
                <w:lang w:bidi="ar"/>
              </w:rPr>
              <w:t>因此，本项目符合国家和地方的产业政策。</w:t>
            </w:r>
          </w:p>
          <w:p w14:paraId="6DD1F9B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auto"/>
                <w:kern w:val="0"/>
                <w:sz w:val="24"/>
                <w:highlight w:val="none"/>
              </w:rPr>
            </w:pPr>
          </w:p>
        </w:tc>
      </w:tr>
    </w:tbl>
    <w:p w14:paraId="19BBE81E">
      <w:pPr>
        <w:autoSpaceDE w:val="0"/>
        <w:autoSpaceDN w:val="0"/>
        <w:adjustRightInd w:val="0"/>
        <w:snapToGrid w:val="0"/>
        <w:jc w:val="center"/>
        <w:rPr>
          <w:rFonts w:eastAsiaTheme="minorEastAsia"/>
          <w:b/>
          <w:bCs/>
          <w:color w:val="auto"/>
          <w:kern w:val="0"/>
          <w:sz w:val="24"/>
          <w:highlight w:val="none"/>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8526"/>
      </w:tblGrid>
      <w:tr w14:paraId="7CDC0A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83" w:hRule="atLeast"/>
          <w:jc w:val="center"/>
        </w:trPr>
        <w:tc>
          <w:tcPr>
            <w:tcW w:w="875" w:type="dxa"/>
            <w:vAlign w:val="center"/>
          </w:tcPr>
          <w:p w14:paraId="5293A275">
            <w:pPr>
              <w:autoSpaceDE w:val="0"/>
              <w:autoSpaceDN w:val="0"/>
              <w:adjustRightInd w:val="0"/>
              <w:snapToGrid w:val="0"/>
              <w:jc w:val="center"/>
              <w:rPr>
                <w:rFonts w:eastAsiaTheme="minorEastAsia"/>
                <w:b/>
                <w:bCs/>
                <w:color w:val="auto"/>
                <w:kern w:val="0"/>
                <w:sz w:val="24"/>
                <w:highlight w:val="none"/>
              </w:rPr>
            </w:pPr>
            <w:r>
              <w:rPr>
                <w:rFonts w:eastAsiaTheme="minorEastAsia"/>
                <w:b/>
                <w:bCs/>
                <w:color w:val="auto"/>
                <w:kern w:val="0"/>
                <w:sz w:val="24"/>
                <w:highlight w:val="none"/>
              </w:rPr>
              <w:t>其他符合性分析</w:t>
            </w:r>
          </w:p>
        </w:tc>
        <w:tc>
          <w:tcPr>
            <w:tcW w:w="8136" w:type="dxa"/>
            <w:vAlign w:val="center"/>
          </w:tcPr>
          <w:p w14:paraId="5AF8E9A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eastAsiaTheme="minorEastAsia"/>
                <w:b/>
                <w:color w:val="auto"/>
                <w:sz w:val="24"/>
                <w:highlight w:val="none"/>
              </w:rPr>
            </w:pPr>
            <w:r>
              <w:rPr>
                <w:rFonts w:hint="eastAsia" w:eastAsiaTheme="minorEastAsia"/>
                <w:b/>
                <w:color w:val="auto"/>
                <w:kern w:val="0"/>
                <w:sz w:val="24"/>
                <w:szCs w:val="20"/>
                <w:highlight w:val="none"/>
                <w:lang w:val="en-US" w:eastAsia="zh-CN"/>
              </w:rPr>
              <w:t>1</w:t>
            </w:r>
            <w:r>
              <w:rPr>
                <w:rFonts w:hint="eastAsia" w:eastAsiaTheme="minorEastAsia"/>
                <w:b/>
                <w:color w:val="auto"/>
                <w:kern w:val="0"/>
                <w:sz w:val="24"/>
                <w:szCs w:val="20"/>
                <w:highlight w:val="none"/>
                <w:lang w:eastAsia="zh-CN"/>
              </w:rPr>
              <w:t>、</w:t>
            </w:r>
            <w:r>
              <w:rPr>
                <w:rFonts w:eastAsiaTheme="minorEastAsia"/>
                <w:b/>
                <w:color w:val="auto"/>
                <w:sz w:val="24"/>
                <w:highlight w:val="none"/>
              </w:rPr>
              <w:t>“三线一单”</w:t>
            </w:r>
            <w:r>
              <w:rPr>
                <w:rFonts w:eastAsiaTheme="minorEastAsia"/>
                <w:b/>
                <w:color w:val="auto"/>
                <w:kern w:val="0"/>
                <w:sz w:val="24"/>
                <w:szCs w:val="20"/>
                <w:highlight w:val="none"/>
              </w:rPr>
              <w:t>相符</w:t>
            </w:r>
            <w:r>
              <w:rPr>
                <w:rFonts w:eastAsiaTheme="minorEastAsia"/>
                <w:b/>
                <w:color w:val="auto"/>
                <w:sz w:val="24"/>
                <w:highlight w:val="none"/>
              </w:rPr>
              <w:t>性分析</w:t>
            </w:r>
          </w:p>
          <w:p w14:paraId="765C4A40">
            <w:pPr>
              <w:pStyle w:val="19"/>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jc w:val="both"/>
              <w:textAlignment w:val="auto"/>
              <w:rPr>
                <w:rFonts w:hint="default" w:ascii="Times New Roman" w:hAnsi="Times New Roman" w:cs="Times New Roman"/>
                <w:color w:val="0070C0"/>
                <w:sz w:val="24"/>
                <w:szCs w:val="24"/>
              </w:rPr>
            </w:pPr>
            <w:r>
              <w:rPr>
                <w:rFonts w:hint="default" w:ascii="Times New Roman" w:hAnsi="Times New Roman" w:cs="Times New Roman"/>
                <w:color w:val="0070C0"/>
                <w:sz w:val="24"/>
                <w:szCs w:val="24"/>
              </w:rPr>
              <w:t>本项目距离最近的生态</w:t>
            </w:r>
            <w:r>
              <w:rPr>
                <w:rFonts w:hint="default" w:ascii="Times New Roman" w:hAnsi="Times New Roman" w:cs="Times New Roman"/>
                <w:color w:val="0070C0"/>
                <w:sz w:val="24"/>
                <w:szCs w:val="24"/>
                <w:lang w:val="en-US" w:eastAsia="zh-CN"/>
              </w:rPr>
              <w:t>空间管控区域</w:t>
            </w:r>
            <w:r>
              <w:rPr>
                <w:rFonts w:hint="default" w:ascii="Times New Roman" w:hAnsi="Times New Roman" w:cs="Times New Roman"/>
                <w:color w:val="0070C0"/>
                <w:sz w:val="24"/>
                <w:szCs w:val="24"/>
              </w:rPr>
              <w:t>为句容河（江宁区）洪水调蓄区，位于项目</w:t>
            </w:r>
            <w:r>
              <w:rPr>
                <w:rFonts w:hint="default" w:ascii="Times New Roman" w:hAnsi="Times New Roman" w:cs="Times New Roman"/>
                <w:color w:val="0070C0"/>
                <w:sz w:val="24"/>
                <w:szCs w:val="24"/>
                <w:lang w:val="en-US" w:eastAsia="zh-CN"/>
              </w:rPr>
              <w:t>北</w:t>
            </w:r>
            <w:r>
              <w:rPr>
                <w:rFonts w:hint="default" w:ascii="Times New Roman" w:hAnsi="Times New Roman" w:cs="Times New Roman"/>
                <w:color w:val="0070C0"/>
                <w:sz w:val="24"/>
                <w:szCs w:val="24"/>
              </w:rPr>
              <w:t>侧约</w:t>
            </w:r>
            <w:r>
              <w:rPr>
                <w:rFonts w:hint="default" w:ascii="Times New Roman" w:hAnsi="Times New Roman" w:cs="Times New Roman"/>
                <w:color w:val="0070C0"/>
                <w:sz w:val="24"/>
                <w:szCs w:val="24"/>
                <w:lang w:val="en-US" w:eastAsia="zh-CN"/>
              </w:rPr>
              <w:t>3.54</w:t>
            </w:r>
            <w:r>
              <w:rPr>
                <w:rFonts w:hint="default" w:ascii="Times New Roman" w:hAnsi="Times New Roman" w:cs="Times New Roman"/>
                <w:color w:val="0070C0"/>
                <w:sz w:val="24"/>
                <w:szCs w:val="24"/>
              </w:rPr>
              <w:t>km</w:t>
            </w:r>
            <w:r>
              <w:rPr>
                <w:rFonts w:hint="default" w:ascii="Times New Roman" w:hAnsi="Times New Roman" w:cs="Times New Roman"/>
                <w:color w:val="0070C0"/>
                <w:sz w:val="24"/>
                <w:szCs w:val="24"/>
                <w:lang w:eastAsia="zh-CN"/>
              </w:rPr>
              <w:t>，</w:t>
            </w:r>
            <w:r>
              <w:rPr>
                <w:rFonts w:hint="default" w:ascii="Times New Roman" w:hAnsi="Times New Roman" w:cs="Times New Roman"/>
                <w:color w:val="0070C0"/>
                <w:sz w:val="24"/>
                <w:szCs w:val="24"/>
              </w:rPr>
              <w:t>本项目距离最近的</w:t>
            </w:r>
            <w:r>
              <w:rPr>
                <w:rFonts w:hint="default" w:ascii="Times New Roman" w:hAnsi="Times New Roman" w:cs="Times New Roman"/>
                <w:color w:val="0070C0"/>
                <w:sz w:val="24"/>
                <w:szCs w:val="24"/>
                <w:lang w:val="en-US" w:eastAsia="zh-CN"/>
              </w:rPr>
              <w:t>句容</w:t>
            </w:r>
            <w:r>
              <w:rPr>
                <w:rFonts w:hint="default" w:ascii="Times New Roman" w:hAnsi="Times New Roman" w:cs="Times New Roman"/>
                <w:color w:val="0070C0"/>
                <w:sz w:val="24"/>
                <w:szCs w:val="24"/>
              </w:rPr>
              <w:t>生态</w:t>
            </w:r>
            <w:r>
              <w:rPr>
                <w:rFonts w:hint="default" w:ascii="Times New Roman" w:hAnsi="Times New Roman" w:cs="Times New Roman"/>
                <w:color w:val="0070C0"/>
                <w:sz w:val="24"/>
                <w:szCs w:val="24"/>
                <w:lang w:val="en-US" w:eastAsia="zh-CN"/>
              </w:rPr>
              <w:t>空间管控区域</w:t>
            </w:r>
            <w:r>
              <w:rPr>
                <w:rFonts w:hint="default" w:ascii="Times New Roman" w:hAnsi="Times New Roman" w:cs="Times New Roman"/>
                <w:color w:val="0070C0"/>
                <w:sz w:val="24"/>
                <w:szCs w:val="24"/>
              </w:rPr>
              <w:t>为赤山湖重要湿地，位于项目东</w:t>
            </w:r>
            <w:r>
              <w:rPr>
                <w:rFonts w:hint="default" w:ascii="Times New Roman" w:hAnsi="Times New Roman" w:cs="Times New Roman"/>
                <w:color w:val="0070C0"/>
                <w:sz w:val="24"/>
                <w:szCs w:val="24"/>
                <w:lang w:val="en-US" w:eastAsia="zh-CN"/>
              </w:rPr>
              <w:t>北</w:t>
            </w:r>
            <w:r>
              <w:rPr>
                <w:rFonts w:hint="default" w:ascii="Times New Roman" w:hAnsi="Times New Roman" w:cs="Times New Roman"/>
                <w:color w:val="0070C0"/>
                <w:sz w:val="24"/>
                <w:szCs w:val="24"/>
              </w:rPr>
              <w:t>侧约</w:t>
            </w:r>
            <w:r>
              <w:rPr>
                <w:rFonts w:hint="default" w:ascii="Times New Roman" w:hAnsi="Times New Roman" w:cs="Times New Roman"/>
                <w:color w:val="0070C0"/>
                <w:sz w:val="24"/>
                <w:szCs w:val="24"/>
                <w:lang w:val="en-US" w:eastAsia="zh-CN"/>
              </w:rPr>
              <w:t>5.78</w:t>
            </w:r>
            <w:r>
              <w:rPr>
                <w:rFonts w:hint="default" w:ascii="Times New Roman" w:hAnsi="Times New Roman" w:cs="Times New Roman"/>
                <w:color w:val="0070C0"/>
                <w:sz w:val="24"/>
                <w:szCs w:val="24"/>
              </w:rPr>
              <w:t>km，本项目距离最近的</w:t>
            </w:r>
            <w:r>
              <w:rPr>
                <w:rFonts w:hint="default" w:ascii="Times New Roman" w:hAnsi="Times New Roman" w:cs="Times New Roman"/>
                <w:color w:val="0070C0"/>
                <w:sz w:val="24"/>
                <w:szCs w:val="24"/>
                <w:lang w:val="en-US" w:eastAsia="zh-CN"/>
              </w:rPr>
              <w:t>句容生态保护红线</w:t>
            </w:r>
            <w:r>
              <w:rPr>
                <w:rFonts w:hint="default" w:ascii="Times New Roman" w:hAnsi="Times New Roman" w:cs="Times New Roman"/>
                <w:color w:val="0070C0"/>
                <w:sz w:val="24"/>
                <w:szCs w:val="24"/>
              </w:rPr>
              <w:t>为江苏赤山湖国家湿地公园，位于项目东侧约</w:t>
            </w:r>
            <w:r>
              <w:rPr>
                <w:rFonts w:hint="default" w:ascii="Times New Roman" w:hAnsi="Times New Roman" w:cs="Times New Roman"/>
                <w:color w:val="0070C0"/>
                <w:sz w:val="24"/>
                <w:szCs w:val="24"/>
                <w:lang w:val="en-US" w:eastAsia="zh-CN"/>
              </w:rPr>
              <w:t>5.78</w:t>
            </w:r>
            <w:r>
              <w:rPr>
                <w:rFonts w:hint="default" w:ascii="Times New Roman" w:hAnsi="Times New Roman" w:cs="Times New Roman"/>
                <w:color w:val="0070C0"/>
                <w:sz w:val="24"/>
                <w:szCs w:val="24"/>
              </w:rPr>
              <w:t>km</w:t>
            </w:r>
            <w:r>
              <w:rPr>
                <w:rFonts w:hint="default" w:ascii="Times New Roman" w:hAnsi="Times New Roman" w:cs="Times New Roman"/>
                <w:color w:val="0070C0"/>
                <w:sz w:val="24"/>
                <w:szCs w:val="24"/>
                <w:lang w:eastAsia="zh-CN"/>
              </w:rPr>
              <w:t>。</w:t>
            </w:r>
            <w:r>
              <w:rPr>
                <w:rFonts w:hint="default" w:ascii="Times New Roman" w:hAnsi="Times New Roman" w:cs="Times New Roman"/>
                <w:color w:val="0070C0"/>
                <w:sz w:val="24"/>
                <w:szCs w:val="24"/>
              </w:rPr>
              <w:t>本项</w:t>
            </w:r>
            <w:r>
              <w:rPr>
                <w:rFonts w:hint="default" w:ascii="Times New Roman" w:hAnsi="Times New Roman" w:cs="Times New Roman"/>
              </w:rPr>
              <w:commentReference w:id="3"/>
            </w:r>
            <w:r>
              <w:rPr>
                <w:rFonts w:hint="default" w:ascii="Times New Roman" w:hAnsi="Times New Roman" w:cs="Times New Roman"/>
                <w:color w:val="0070C0"/>
                <w:sz w:val="24"/>
                <w:szCs w:val="24"/>
              </w:rPr>
              <w:t>目不在</w:t>
            </w:r>
            <w:r>
              <w:rPr>
                <w:rFonts w:hint="default" w:ascii="Times New Roman" w:hAnsi="Times New Roman" w:cs="Times New Roman"/>
                <w:color w:val="0070C0"/>
                <w:sz w:val="24"/>
                <w:szCs w:val="24"/>
                <w:lang w:val="en-US" w:eastAsia="zh-CN"/>
              </w:rPr>
              <w:t>生态保护红线和生态</w:t>
            </w:r>
            <w:r>
              <w:rPr>
                <w:rFonts w:hint="default" w:ascii="Times New Roman" w:hAnsi="Times New Roman" w:cs="Times New Roman"/>
                <w:color w:val="0070C0"/>
                <w:sz w:val="24"/>
                <w:szCs w:val="24"/>
              </w:rPr>
              <w:t>管控区</w:t>
            </w:r>
            <w:r>
              <w:rPr>
                <w:rFonts w:hint="default" w:ascii="Times New Roman" w:hAnsi="Times New Roman" w:cs="Times New Roman"/>
                <w:color w:val="0070C0"/>
                <w:sz w:val="24"/>
                <w:szCs w:val="24"/>
                <w:lang w:val="en-US" w:eastAsia="zh-CN"/>
              </w:rPr>
              <w:t>域</w:t>
            </w:r>
            <w:r>
              <w:rPr>
                <w:rFonts w:hint="default" w:ascii="Times New Roman" w:hAnsi="Times New Roman" w:cs="Times New Roman"/>
                <w:color w:val="0070C0"/>
                <w:sz w:val="24"/>
                <w:szCs w:val="24"/>
              </w:rPr>
              <w:t>范围内。</w:t>
            </w:r>
          </w:p>
          <w:p w14:paraId="77066D10">
            <w:pPr>
              <w:pStyle w:val="19"/>
              <w:keepNext w:val="0"/>
              <w:keepLines w:val="0"/>
              <w:pageBreakBefore w:val="0"/>
              <w:widowControl/>
              <w:kinsoku/>
              <w:wordWrap/>
              <w:overflowPunct/>
              <w:topLinePunct w:val="0"/>
              <w:autoSpaceDE/>
              <w:autoSpaceDN/>
              <w:bidi w:val="0"/>
              <w:adjustRightInd/>
              <w:snapToGrid/>
              <w:spacing w:before="0" w:after="0" w:line="360" w:lineRule="auto"/>
              <w:ind w:right="0"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0070C0"/>
                <w:sz w:val="24"/>
                <w:szCs w:val="24"/>
              </w:rPr>
              <w:t>对照《江苏省2023年度生态环境分区管控动态更新成果公告》，并结合《镇江市生态环境分区管控动态更新成果公告》《句容市2023年度生态空间管控区域调整方案》，本项目位于</w:t>
            </w:r>
            <w:r>
              <w:rPr>
                <w:rFonts w:hint="default" w:ascii="Times New Roman" w:hAnsi="Times New Roman" w:cs="Times New Roman" w:eastAsiaTheme="minorEastAsia"/>
                <w:color w:val="0070C0"/>
                <w:sz w:val="24"/>
                <w:u w:val="none"/>
              </w:rPr>
              <w:t>镇江市句容市郭庄镇空港大道</w:t>
            </w:r>
            <w:r>
              <w:rPr>
                <w:rFonts w:hint="eastAsia" w:cs="Times New Roman" w:eastAsiaTheme="minorEastAsia"/>
                <w:color w:val="0070C0"/>
                <w:sz w:val="24"/>
                <w:u w:val="none"/>
                <w:lang w:eastAsia="zh-CN"/>
              </w:rPr>
              <w:t>9号2幢</w:t>
            </w:r>
            <w:r>
              <w:rPr>
                <w:rFonts w:hint="default" w:ascii="Times New Roman" w:hAnsi="Times New Roman" w:cs="Times New Roman"/>
                <w:color w:val="0070C0"/>
                <w:sz w:val="24"/>
                <w:szCs w:val="24"/>
                <w:u w:val="none"/>
              </w:rPr>
              <w:t>，</w:t>
            </w:r>
            <w:r>
              <w:rPr>
                <w:rFonts w:hint="default" w:ascii="Times New Roman" w:hAnsi="Times New Roman" w:cs="Times New Roman"/>
                <w:color w:val="0070C0"/>
                <w:sz w:val="24"/>
                <w:szCs w:val="24"/>
              </w:rPr>
              <w:t>属于重点管控单元-</w:t>
            </w:r>
            <w:r>
              <w:rPr>
                <w:rFonts w:hint="default" w:ascii="Times New Roman" w:hAnsi="Times New Roman" w:cs="Times New Roman"/>
                <w:color w:val="0070C0"/>
                <w:sz w:val="24"/>
                <w:szCs w:val="24"/>
                <w:lang w:val="en-US" w:eastAsia="zh-CN"/>
              </w:rPr>
              <w:t>句容市</w:t>
            </w:r>
            <w:r>
              <w:rPr>
                <w:rFonts w:hint="default" w:ascii="Times New Roman" w:hAnsi="Times New Roman" w:cs="Times New Roman"/>
                <w:color w:val="0070C0"/>
                <w:sz w:val="24"/>
                <w:szCs w:val="24"/>
              </w:rPr>
              <w:t>空港新区</w:t>
            </w:r>
            <w:r>
              <w:rPr>
                <w:rFonts w:hint="default" w:ascii="Times New Roman" w:hAnsi="Times New Roman" w:cs="Times New Roman"/>
                <w:color w:val="0070C0"/>
                <w:sz w:val="24"/>
                <w:szCs w:val="24"/>
                <w:lang w:eastAsia="zh-CN"/>
              </w:rPr>
              <w:t>，</w:t>
            </w:r>
            <w:r>
              <w:rPr>
                <w:rFonts w:hint="default" w:ascii="Times New Roman" w:hAnsi="Times New Roman" w:cs="Times New Roman"/>
                <w:color w:val="auto"/>
                <w:sz w:val="24"/>
                <w:szCs w:val="24"/>
              </w:rPr>
              <w:t>本项目与其相符性见下表。</w:t>
            </w:r>
          </w:p>
          <w:p w14:paraId="7E4F3D07">
            <w:pPr>
              <w:pStyle w:val="19"/>
              <w:keepNext w:val="0"/>
              <w:keepLines w:val="0"/>
              <w:pageBreakBefore w:val="0"/>
              <w:widowControl/>
              <w:kinsoku/>
              <w:wordWrap/>
              <w:overflowPunct/>
              <w:topLinePunct w:val="0"/>
              <w:autoSpaceDE/>
              <w:autoSpaceDN/>
              <w:bidi w:val="0"/>
              <w:adjustRightInd w:val="0"/>
              <w:snapToGrid w:val="0"/>
              <w:spacing w:before="0" w:after="0" w:line="240" w:lineRule="auto"/>
              <w:ind w:right="0" w:firstLine="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bCs/>
                <w:color w:val="auto"/>
                <w:sz w:val="24"/>
                <w:szCs w:val="24"/>
              </w:rPr>
              <w:t>表1-</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 xml:space="preserve"> 与江苏省2023年度生态环境分区管控动态更新成果</w:t>
            </w:r>
            <w:r>
              <w:rPr>
                <w:rFonts w:hint="default" w:ascii="Times New Roman" w:hAnsi="Times New Roman" w:cs="Times New Roman"/>
                <w:b/>
                <w:bCs/>
                <w:color w:val="auto"/>
                <w:sz w:val="24"/>
                <w:szCs w:val="24"/>
                <w:lang w:val="en-US" w:eastAsia="zh-CN"/>
              </w:rPr>
              <w:t>相符性分析</w:t>
            </w:r>
          </w:p>
          <w:tbl>
            <w:tblPr>
              <w:tblStyle w:val="107"/>
              <w:tblW w:w="499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67"/>
              <w:gridCol w:w="4996"/>
              <w:gridCol w:w="2159"/>
              <w:gridCol w:w="575"/>
              <w:gridCol w:w="5"/>
            </w:tblGrid>
            <w:tr w14:paraId="62971A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3" w:type="pct"/>
                <w:trHeight w:val="0" w:hRule="atLeast"/>
                <w:jc w:val="center"/>
              </w:trPr>
              <w:tc>
                <w:tcPr>
                  <w:tcW w:w="3350" w:type="pct"/>
                  <w:gridSpan w:val="2"/>
                  <w:tcBorders>
                    <w:tl2br w:val="nil"/>
                    <w:tr2bl w:val="nil"/>
                  </w:tcBorders>
                  <w:vAlign w:val="center"/>
                </w:tcPr>
                <w:p w14:paraId="25FB4B55">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b/>
                      <w:bCs/>
                      <w:color w:val="0070C0"/>
                      <w:spacing w:val="0"/>
                      <w:sz w:val="21"/>
                      <w:szCs w:val="21"/>
                    </w:rPr>
                    <w:t>文件要求</w:t>
                  </w:r>
                </w:p>
              </w:tc>
              <w:tc>
                <w:tcPr>
                  <w:tcW w:w="1300" w:type="pct"/>
                  <w:vMerge w:val="restart"/>
                  <w:tcBorders>
                    <w:tl2br w:val="nil"/>
                    <w:tr2bl w:val="nil"/>
                  </w:tcBorders>
                  <w:shd w:val="clear" w:color="auto" w:fill="auto"/>
                  <w:vAlign w:val="center"/>
                </w:tcPr>
                <w:p w14:paraId="02C9BA22">
                  <w:pPr>
                    <w:pStyle w:val="19"/>
                    <w:keepNext w:val="0"/>
                    <w:keepLines w:val="0"/>
                    <w:pageBreakBefore w:val="0"/>
                    <w:widowControl/>
                    <w:kinsoku/>
                    <w:wordWrap/>
                    <w:overflowPunct/>
                    <w:topLinePunct w:val="0"/>
                    <w:autoSpaceDE/>
                    <w:autoSpaceDN/>
                    <w:bidi w:val="0"/>
                    <w:adjustRightInd w:val="0"/>
                    <w:snapToGrid w:val="0"/>
                    <w:spacing w:before="0" w:after="0" w:line="240" w:lineRule="auto"/>
                    <w:ind w:left="0" w:right="0" w:rightChars="0" w:firstLine="0" w:firstLineChars="0"/>
                    <w:jc w:val="center"/>
                    <w:textAlignment w:val="auto"/>
                    <w:rPr>
                      <w:rFonts w:hint="default" w:ascii="Times New Roman" w:hAnsi="Times New Roman" w:eastAsia="宋体" w:cs="Times New Roman"/>
                      <w:b/>
                      <w:bCs/>
                      <w:snapToGrid w:val="0"/>
                      <w:color w:val="0070C0"/>
                      <w:spacing w:val="0"/>
                      <w:kern w:val="0"/>
                      <w:sz w:val="21"/>
                      <w:szCs w:val="21"/>
                      <w:lang w:val="en-US" w:eastAsia="zh-CN" w:bidi="ar-SA"/>
                    </w:rPr>
                  </w:pPr>
                  <w:r>
                    <w:rPr>
                      <w:rFonts w:hint="default" w:ascii="Times New Roman" w:hAnsi="Times New Roman" w:eastAsia="宋体" w:cs="Times New Roman"/>
                      <w:b/>
                      <w:bCs/>
                      <w:color w:val="0070C0"/>
                      <w:spacing w:val="0"/>
                      <w:sz w:val="21"/>
                      <w:szCs w:val="21"/>
                      <w:lang w:val="en-US" w:eastAsia="zh-CN"/>
                    </w:rPr>
                    <w:t>本项目情况</w:t>
                  </w:r>
                </w:p>
              </w:tc>
              <w:tc>
                <w:tcPr>
                  <w:tcW w:w="346" w:type="pct"/>
                  <w:vMerge w:val="restart"/>
                  <w:tcBorders>
                    <w:tl2br w:val="nil"/>
                    <w:tr2bl w:val="nil"/>
                  </w:tcBorders>
                  <w:shd w:val="clear" w:color="auto" w:fill="auto"/>
                  <w:vAlign w:val="center"/>
                </w:tcPr>
                <w:p w14:paraId="342532A3">
                  <w:pPr>
                    <w:pStyle w:val="19"/>
                    <w:keepNext w:val="0"/>
                    <w:keepLines w:val="0"/>
                    <w:pageBreakBefore w:val="0"/>
                    <w:widowControl/>
                    <w:kinsoku/>
                    <w:wordWrap/>
                    <w:overflowPunct/>
                    <w:topLinePunct w:val="0"/>
                    <w:autoSpaceDE/>
                    <w:autoSpaceDN/>
                    <w:bidi w:val="0"/>
                    <w:adjustRightInd w:val="0"/>
                    <w:snapToGrid w:val="0"/>
                    <w:spacing w:before="0" w:after="0" w:line="240" w:lineRule="auto"/>
                    <w:ind w:left="0" w:right="0" w:rightChars="0" w:firstLine="0" w:firstLineChars="0"/>
                    <w:jc w:val="center"/>
                    <w:textAlignment w:val="auto"/>
                    <w:rPr>
                      <w:rFonts w:hint="default" w:ascii="Times New Roman" w:hAnsi="Times New Roman" w:eastAsia="宋体" w:cs="Times New Roman"/>
                      <w:b/>
                      <w:bCs/>
                      <w:snapToGrid w:val="0"/>
                      <w:color w:val="0070C0"/>
                      <w:spacing w:val="0"/>
                      <w:kern w:val="0"/>
                      <w:sz w:val="21"/>
                      <w:szCs w:val="21"/>
                      <w:lang w:val="en-US" w:eastAsia="en-US" w:bidi="ar-SA"/>
                    </w:rPr>
                  </w:pPr>
                  <w:r>
                    <w:rPr>
                      <w:rFonts w:hint="default" w:ascii="Times New Roman" w:hAnsi="Times New Roman" w:eastAsia="宋体" w:cs="Times New Roman"/>
                      <w:b/>
                      <w:bCs/>
                      <w:color w:val="0070C0"/>
                      <w:spacing w:val="0"/>
                      <w:sz w:val="21"/>
                      <w:szCs w:val="21"/>
                    </w:rPr>
                    <w:t>相符性</w:t>
                  </w:r>
                </w:p>
              </w:tc>
            </w:tr>
            <w:tr w14:paraId="095C04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3" w:type="pct"/>
                <w:trHeight w:val="0" w:hRule="atLeast"/>
                <w:jc w:val="center"/>
              </w:trPr>
              <w:tc>
                <w:tcPr>
                  <w:tcW w:w="3350" w:type="pct"/>
                  <w:gridSpan w:val="2"/>
                  <w:tcBorders>
                    <w:tl2br w:val="nil"/>
                    <w:tr2bl w:val="nil"/>
                  </w:tcBorders>
                  <w:vAlign w:val="center"/>
                </w:tcPr>
                <w:p w14:paraId="14AF07A0">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b/>
                      <w:bCs/>
                      <w:color w:val="0070C0"/>
                      <w:spacing w:val="0"/>
                      <w:sz w:val="21"/>
                      <w:szCs w:val="21"/>
                    </w:rPr>
                    <w:t>江苏省省域生态环境管控要求</w:t>
                  </w:r>
                </w:p>
              </w:tc>
              <w:tc>
                <w:tcPr>
                  <w:tcW w:w="1300" w:type="pct"/>
                  <w:vMerge w:val="continue"/>
                  <w:tcBorders>
                    <w:tl2br w:val="nil"/>
                    <w:tr2bl w:val="nil"/>
                  </w:tcBorders>
                  <w:vAlign w:val="center"/>
                </w:tcPr>
                <w:p w14:paraId="29417667">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tc>
              <w:tc>
                <w:tcPr>
                  <w:tcW w:w="346" w:type="pct"/>
                  <w:vMerge w:val="continue"/>
                  <w:tcBorders>
                    <w:tl2br w:val="nil"/>
                    <w:tr2bl w:val="nil"/>
                  </w:tcBorders>
                  <w:vAlign w:val="center"/>
                </w:tcPr>
                <w:p w14:paraId="6E1E575A">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tc>
            </w:tr>
            <w:tr w14:paraId="6BD89F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3" w:type="pct"/>
                <w:trHeight w:val="0" w:hRule="atLeast"/>
                <w:jc w:val="center"/>
              </w:trPr>
              <w:tc>
                <w:tcPr>
                  <w:tcW w:w="342" w:type="pct"/>
                  <w:tcBorders>
                    <w:tl2br w:val="nil"/>
                    <w:tr2bl w:val="nil"/>
                  </w:tcBorders>
                  <w:vAlign w:val="center"/>
                </w:tcPr>
                <w:p w14:paraId="61DCC942">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5CCD05BC">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7DF51AF5">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68FD9F7A">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0284501D">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47D2C532">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41687B3A">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1410C051">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687C46CE">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574A2EAA">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6A271A15">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13780952">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空间</w:t>
                  </w:r>
                </w:p>
                <w:p w14:paraId="7F2BBEF0">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布局</w:t>
                  </w:r>
                </w:p>
                <w:p w14:paraId="32FCC88A">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约束</w:t>
                  </w:r>
                </w:p>
              </w:tc>
              <w:tc>
                <w:tcPr>
                  <w:tcW w:w="3008" w:type="pct"/>
                  <w:tcBorders>
                    <w:tl2br w:val="nil"/>
                    <w:tr2bl w:val="nil"/>
                  </w:tcBorders>
                  <w:vAlign w:val="center"/>
                </w:tcPr>
                <w:p w14:paraId="23B16F9E">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1．按照《自然资源部生态环境部国家林业和草原局关于加强生态保护红线管理的通知（试行）》（自然资发〔2022〕142号）、《省政府关于印发江苏省生态空间管控区域规划的通知》（苏政发〔2020〕1号）、《关于进一步加强生态保护红线监督管理的通知》（苏自然函〔2023〕880号）、《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14:paraId="7F46B4A2">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2．牢牢把握推动长江经济带发展“共抓大保护，不搞大开发”战略导向，对省域范围内需要重点保护的岸线、河段和区域实行严格管控，管住控好排放量大、耗能高、产能过剩的产业，推动长江经济带高质量发展。</w:t>
                  </w:r>
                </w:p>
                <w:p w14:paraId="015C1209">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3．大幅压减沿长江干支流两侧1公里范围内、环境敏感区域、城镇人口密集区、化工园区外和规模以下化工生产企业，着力破解“重化围江”突出问题，高起点同步推进沿江地区战略性转型和沿海地区战略性布局。</w:t>
                  </w:r>
                </w:p>
                <w:p w14:paraId="48D20A57">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7820E050">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300" w:type="pct"/>
                  <w:tcBorders>
                    <w:tl2br w:val="nil"/>
                    <w:tr2bl w:val="nil"/>
                  </w:tcBorders>
                  <w:vAlign w:val="center"/>
                </w:tcPr>
                <w:p w14:paraId="775FEABA">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4F8B1CEE">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7BF1F2A9">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本项目行业类别为</w:t>
                  </w:r>
                  <w:r>
                    <w:rPr>
                      <w:rFonts w:hint="default" w:ascii="Times New Roman" w:hAnsi="Times New Roman" w:eastAsia="宋体" w:cs="Times New Roman"/>
                      <w:color w:val="0070C0"/>
                      <w:spacing w:val="0"/>
                      <w:sz w:val="21"/>
                      <w:szCs w:val="21"/>
                      <w:lang w:eastAsia="zh-CN"/>
                    </w:rPr>
                    <w:t>C3052光学玻璃制造</w:t>
                  </w:r>
                  <w:r>
                    <w:rPr>
                      <w:rFonts w:hint="default" w:ascii="Times New Roman" w:hAnsi="Times New Roman" w:eastAsia="宋体" w:cs="Times New Roman"/>
                      <w:color w:val="0070C0"/>
                      <w:spacing w:val="0"/>
                      <w:sz w:val="21"/>
                      <w:szCs w:val="21"/>
                    </w:rPr>
                    <w:t>，不属于钢铁行业。本项目距离最近的生态空间管控区域为句容河（江宁区）洪水调蓄区，位于项目北侧约3.</w:t>
                  </w:r>
                  <w:r>
                    <w:rPr>
                      <w:rFonts w:hint="default" w:ascii="Times New Roman" w:hAnsi="Times New Roman" w:cs="Times New Roman"/>
                      <w:color w:val="0070C0"/>
                      <w:spacing w:val="0"/>
                      <w:sz w:val="21"/>
                      <w:szCs w:val="21"/>
                      <w:lang w:val="en-US" w:eastAsia="zh-CN"/>
                    </w:rPr>
                    <w:t>54</w:t>
                  </w:r>
                  <w:r>
                    <w:rPr>
                      <w:rFonts w:hint="default" w:ascii="Times New Roman" w:hAnsi="Times New Roman" w:eastAsia="宋体" w:cs="Times New Roman"/>
                      <w:color w:val="0070C0"/>
                      <w:spacing w:val="0"/>
                      <w:sz w:val="21"/>
                      <w:szCs w:val="21"/>
                    </w:rPr>
                    <w:t>km，本项目距离最近的句容生态空间管控区域为赤山湖重要湿地，位于项目东北侧约5.</w:t>
                  </w:r>
                  <w:r>
                    <w:rPr>
                      <w:rFonts w:hint="default" w:ascii="Times New Roman" w:hAnsi="Times New Roman" w:cs="Times New Roman"/>
                      <w:color w:val="0070C0"/>
                      <w:spacing w:val="0"/>
                      <w:sz w:val="21"/>
                      <w:szCs w:val="21"/>
                      <w:lang w:val="en-US" w:eastAsia="zh-CN"/>
                    </w:rPr>
                    <w:t>7</w:t>
                  </w:r>
                  <w:r>
                    <w:rPr>
                      <w:rFonts w:hint="default" w:ascii="Times New Roman" w:hAnsi="Times New Roman" w:eastAsia="宋体" w:cs="Times New Roman"/>
                      <w:color w:val="0070C0"/>
                      <w:spacing w:val="0"/>
                      <w:sz w:val="21"/>
                      <w:szCs w:val="21"/>
                    </w:rPr>
                    <w:t>8km，本项目距离最近的句容生态保护红线为江苏赤山湖国家湿地公园，位于项目东侧约5.</w:t>
                  </w:r>
                  <w:r>
                    <w:rPr>
                      <w:rFonts w:hint="default" w:ascii="Times New Roman" w:hAnsi="Times New Roman" w:cs="Times New Roman"/>
                      <w:color w:val="0070C0"/>
                      <w:spacing w:val="0"/>
                      <w:sz w:val="21"/>
                      <w:szCs w:val="21"/>
                      <w:lang w:val="en-US" w:eastAsia="zh-CN"/>
                    </w:rPr>
                    <w:t>7</w:t>
                  </w:r>
                  <w:r>
                    <w:rPr>
                      <w:rFonts w:hint="default" w:ascii="Times New Roman" w:hAnsi="Times New Roman" w:eastAsia="宋体" w:cs="Times New Roman"/>
                      <w:color w:val="0070C0"/>
                      <w:spacing w:val="0"/>
                      <w:sz w:val="21"/>
                      <w:szCs w:val="21"/>
                    </w:rPr>
                    <w:t>8km。建设项目不在江苏省国家级生态保护红线范围、不在江苏省生态空间管控区域规划范围内。</w:t>
                  </w:r>
                </w:p>
              </w:tc>
              <w:tc>
                <w:tcPr>
                  <w:tcW w:w="346" w:type="pct"/>
                  <w:tcBorders>
                    <w:tl2br w:val="nil"/>
                    <w:tr2bl w:val="nil"/>
                  </w:tcBorders>
                  <w:vAlign w:val="center"/>
                </w:tcPr>
                <w:p w14:paraId="65A0C30C">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lang w:val="en-US" w:eastAsia="zh-CN"/>
                    </w:rPr>
                  </w:pPr>
                  <w:r>
                    <w:rPr>
                      <w:rFonts w:hint="default" w:ascii="Times New Roman" w:hAnsi="Times New Roman" w:eastAsia="宋体" w:cs="Times New Roman"/>
                      <w:color w:val="0070C0"/>
                      <w:spacing w:val="0"/>
                      <w:sz w:val="21"/>
                      <w:szCs w:val="21"/>
                      <w:lang w:val="en-US" w:eastAsia="zh-CN"/>
                    </w:rPr>
                    <w:t>相符</w:t>
                  </w:r>
                </w:p>
              </w:tc>
            </w:tr>
            <w:tr w14:paraId="262265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3" w:type="pct"/>
                <w:trHeight w:val="0" w:hRule="atLeast"/>
                <w:jc w:val="center"/>
              </w:trPr>
              <w:tc>
                <w:tcPr>
                  <w:tcW w:w="342" w:type="pct"/>
                  <w:tcBorders>
                    <w:tl2br w:val="nil"/>
                    <w:tr2bl w:val="nil"/>
                  </w:tcBorders>
                  <w:vAlign w:val="center"/>
                </w:tcPr>
                <w:p w14:paraId="5A553422">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180A1DB5">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污染</w:t>
                  </w:r>
                </w:p>
                <w:p w14:paraId="620C9170">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物排</w:t>
                  </w:r>
                </w:p>
                <w:p w14:paraId="0A97B170">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放管控</w:t>
                  </w:r>
                </w:p>
              </w:tc>
              <w:tc>
                <w:tcPr>
                  <w:tcW w:w="3008" w:type="pct"/>
                  <w:tcBorders>
                    <w:tl2br w:val="nil"/>
                    <w:tr2bl w:val="nil"/>
                  </w:tcBorders>
                  <w:vAlign w:val="center"/>
                </w:tcPr>
                <w:p w14:paraId="223878A7">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1．坚持生态环境质量只能更好、不能变坏，实施污染物总量控制，以环境容量定产业、定项目、定规模，确保开发建设行为不突破生态环境承载力。</w:t>
                  </w:r>
                </w:p>
                <w:p w14:paraId="3BAFD665">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2．2025年，主要污染物排放减排完成国家下达任务，单位工业增加值二氧化碳排放量下降20%，主要高耗能行业单位产品二氧化碳排放达到世界先进水平。实施氮氧化物（NOx）和VOCs协同减排，推进多污染物和关联区域联防联控。</w:t>
                  </w:r>
                </w:p>
              </w:tc>
              <w:tc>
                <w:tcPr>
                  <w:tcW w:w="1300" w:type="pct"/>
                  <w:tcBorders>
                    <w:tl2br w:val="nil"/>
                    <w:tr2bl w:val="nil"/>
                  </w:tcBorders>
                  <w:vAlign w:val="center"/>
                </w:tcPr>
                <w:p w14:paraId="1E8C3CD9">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本项目废气及废水污染物均实行总量控制，并取得句容市生态环境局污染物排放总量指标；本项目建设不突破生态环境承载力。</w:t>
                  </w:r>
                </w:p>
              </w:tc>
              <w:tc>
                <w:tcPr>
                  <w:tcW w:w="346" w:type="pct"/>
                  <w:tcBorders>
                    <w:tl2br w:val="nil"/>
                    <w:tr2bl w:val="nil"/>
                  </w:tcBorders>
                  <w:vAlign w:val="center"/>
                </w:tcPr>
                <w:p w14:paraId="1E130A5B">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lang w:val="en-US" w:eastAsia="zh-CN"/>
                    </w:rPr>
                    <w:t>相符</w:t>
                  </w:r>
                </w:p>
              </w:tc>
            </w:tr>
            <w:tr w14:paraId="2FA315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3" w:type="pct"/>
                <w:trHeight w:val="0" w:hRule="atLeast"/>
                <w:jc w:val="center"/>
              </w:trPr>
              <w:tc>
                <w:tcPr>
                  <w:tcW w:w="342" w:type="pct"/>
                  <w:tcBorders>
                    <w:tl2br w:val="nil"/>
                    <w:tr2bl w:val="nil"/>
                  </w:tcBorders>
                  <w:vAlign w:val="center"/>
                </w:tcPr>
                <w:p w14:paraId="2FC210D8">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72EA8D42">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0B5ED859">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43BBCB40">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48A788DA">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0653AD3B">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环境</w:t>
                  </w:r>
                </w:p>
                <w:p w14:paraId="4F9C3E43">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风险</w:t>
                  </w:r>
                </w:p>
                <w:p w14:paraId="00B4E8F4">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防控</w:t>
                  </w:r>
                </w:p>
              </w:tc>
              <w:tc>
                <w:tcPr>
                  <w:tcW w:w="3008" w:type="pct"/>
                  <w:tcBorders>
                    <w:tl2br w:val="nil"/>
                    <w:tr2bl w:val="nil"/>
                  </w:tcBorders>
                  <w:vAlign w:val="center"/>
                </w:tcPr>
                <w:p w14:paraId="1346FAD0">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1．强化饮用水水源环境风险管控。县级以上城市全部建成应急水源或双源供水。</w:t>
                  </w:r>
                </w:p>
                <w:p w14:paraId="444C5C21">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14:paraId="2E8F0EC2">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3.强化环境事故应急管理。深化跨部门、跨区域环境应急协调联动，分区域建立环境应急物资储备库。各级工业园区（集聚区）和企业的环境应急装备和储备物资应纳入储备体系。</w:t>
                  </w:r>
                </w:p>
                <w:p w14:paraId="485232E5">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300" w:type="pct"/>
                  <w:tcBorders>
                    <w:tl2br w:val="nil"/>
                    <w:tr2bl w:val="nil"/>
                  </w:tcBorders>
                  <w:vAlign w:val="center"/>
                </w:tcPr>
                <w:p w14:paraId="0C96B1BB">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7780E5EA">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本项目行业类别为</w:t>
                  </w:r>
                  <w:r>
                    <w:rPr>
                      <w:rFonts w:hint="default" w:ascii="Times New Roman" w:hAnsi="Times New Roman" w:eastAsia="宋体" w:cs="Times New Roman"/>
                      <w:color w:val="0070C0"/>
                      <w:spacing w:val="0"/>
                      <w:sz w:val="21"/>
                      <w:szCs w:val="21"/>
                      <w:lang w:eastAsia="zh-CN"/>
                    </w:rPr>
                    <w:t>C3052光学玻璃制造</w:t>
                  </w:r>
                  <w:r>
                    <w:rPr>
                      <w:rFonts w:hint="default" w:ascii="Times New Roman" w:hAnsi="Times New Roman" w:eastAsia="宋体" w:cs="Times New Roman"/>
                      <w:color w:val="0070C0"/>
                      <w:spacing w:val="0"/>
                      <w:sz w:val="21"/>
                      <w:szCs w:val="21"/>
                    </w:rPr>
                    <w:t>，不属于化工项目，环境风险可</w:t>
                  </w:r>
                  <w:r>
                    <w:rPr>
                      <w:rFonts w:hint="default" w:ascii="Times New Roman" w:hAnsi="Times New Roman" w:eastAsia="宋体" w:cs="Times New Roman"/>
                      <w:color w:val="0070C0"/>
                      <w:spacing w:val="0"/>
                      <w:sz w:val="21"/>
                      <w:szCs w:val="21"/>
                      <w:lang w:val="en-US" w:eastAsia="zh-CN"/>
                    </w:rPr>
                    <w:t>防控</w:t>
                  </w:r>
                  <w:r>
                    <w:rPr>
                      <w:rFonts w:hint="default" w:ascii="Times New Roman" w:hAnsi="Times New Roman" w:eastAsia="宋体" w:cs="Times New Roman"/>
                      <w:color w:val="0070C0"/>
                      <w:spacing w:val="0"/>
                      <w:sz w:val="21"/>
                      <w:szCs w:val="21"/>
                    </w:rPr>
                    <w:t>，能够落实风险管控措施。危险废物均委托有资质单位处置，企业积极落实环境事故应急管理。</w:t>
                  </w:r>
                </w:p>
              </w:tc>
              <w:tc>
                <w:tcPr>
                  <w:tcW w:w="346" w:type="pct"/>
                  <w:tcBorders>
                    <w:tl2br w:val="nil"/>
                    <w:tr2bl w:val="nil"/>
                  </w:tcBorders>
                  <w:vAlign w:val="center"/>
                </w:tcPr>
                <w:p w14:paraId="2D0541A7">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lang w:val="en-US" w:eastAsia="zh-CN"/>
                    </w:rPr>
                    <w:t>相符</w:t>
                  </w:r>
                </w:p>
              </w:tc>
            </w:tr>
            <w:tr w14:paraId="0735BB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3" w:type="pct"/>
                <w:trHeight w:val="0" w:hRule="atLeast"/>
                <w:jc w:val="center"/>
              </w:trPr>
              <w:tc>
                <w:tcPr>
                  <w:tcW w:w="342" w:type="pct"/>
                  <w:tcBorders>
                    <w:tl2br w:val="nil"/>
                    <w:tr2bl w:val="nil"/>
                  </w:tcBorders>
                  <w:vAlign w:val="center"/>
                </w:tcPr>
                <w:p w14:paraId="35DCDD12">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472564B7">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760B317D">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资源</w:t>
                  </w:r>
                </w:p>
                <w:p w14:paraId="79B20118">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利用</w:t>
                  </w:r>
                </w:p>
                <w:p w14:paraId="49D9403B">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效率</w:t>
                  </w:r>
                </w:p>
                <w:p w14:paraId="44E35665">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要求</w:t>
                  </w:r>
                </w:p>
              </w:tc>
              <w:tc>
                <w:tcPr>
                  <w:tcW w:w="3008" w:type="pct"/>
                  <w:tcBorders>
                    <w:tl2br w:val="nil"/>
                    <w:tr2bl w:val="nil"/>
                  </w:tcBorders>
                  <w:vAlign w:val="center"/>
                </w:tcPr>
                <w:p w14:paraId="502710AB">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1．水资源利用总量及效率要求：到2025年，全省用水总量控制在525.9亿立方米以内，万元地区生产总值用水量、万元工业增加值用水量下降完成国家下达目标，农田灌溉水有效利用系数提高到0.625。</w:t>
                  </w:r>
                </w:p>
                <w:p w14:paraId="3B1DD269">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2．土地资源总量要求：到2025年，江苏省耕地保有量不低于5977万亩，其中永久基本农田保护面积不低于5344万亩。</w:t>
                  </w:r>
                </w:p>
                <w:p w14:paraId="38D0B052">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3．禁燃区要求：在禁燃区内，禁止销售、燃用高污染燃料；禁止新建、扩建燃用高污染燃料的设施，已建成的，应当在城市人民政府规定的期限内改用天然气、页岩气、液化石油气、电力或者其他清洁能源。</w:t>
                  </w:r>
                </w:p>
              </w:tc>
              <w:tc>
                <w:tcPr>
                  <w:tcW w:w="1300" w:type="pct"/>
                  <w:tcBorders>
                    <w:tl2br w:val="nil"/>
                    <w:tr2bl w:val="nil"/>
                  </w:tcBorders>
                  <w:vAlign w:val="center"/>
                </w:tcPr>
                <w:p w14:paraId="22BD4C02">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本项目将严格按照国家和省能耗及水耗限额标准执行，同时本项目不涉及永久基本农田、不使用高污染燃料。</w:t>
                  </w:r>
                </w:p>
              </w:tc>
              <w:tc>
                <w:tcPr>
                  <w:tcW w:w="346" w:type="pct"/>
                  <w:tcBorders>
                    <w:tl2br w:val="nil"/>
                    <w:tr2bl w:val="nil"/>
                  </w:tcBorders>
                  <w:vAlign w:val="center"/>
                </w:tcPr>
                <w:p w14:paraId="441219FE">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lang w:val="en-US" w:eastAsia="zh-CN"/>
                    </w:rPr>
                    <w:t>相符</w:t>
                  </w:r>
                </w:p>
              </w:tc>
            </w:tr>
            <w:tr w14:paraId="528289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0" w:type="pct"/>
                  <w:gridSpan w:val="2"/>
                  <w:tcBorders>
                    <w:tl2br w:val="nil"/>
                    <w:tr2bl w:val="nil"/>
                  </w:tcBorders>
                  <w:vAlign w:val="center"/>
                </w:tcPr>
                <w:p w14:paraId="6079EF7E">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b/>
                      <w:bCs/>
                      <w:color w:val="0070C0"/>
                      <w:spacing w:val="0"/>
                      <w:sz w:val="21"/>
                      <w:szCs w:val="21"/>
                    </w:rPr>
                    <w:t>长江流域生态环境管控要求</w:t>
                  </w:r>
                </w:p>
              </w:tc>
              <w:tc>
                <w:tcPr>
                  <w:tcW w:w="1300" w:type="pct"/>
                  <w:tcBorders>
                    <w:tl2br w:val="nil"/>
                    <w:tr2bl w:val="nil"/>
                  </w:tcBorders>
                  <w:vAlign w:val="center"/>
                </w:tcPr>
                <w:p w14:paraId="17F20B12">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b/>
                      <w:bCs/>
                      <w:color w:val="0070C0"/>
                      <w:spacing w:val="0"/>
                      <w:sz w:val="21"/>
                      <w:szCs w:val="21"/>
                    </w:rPr>
                    <w:t>/</w:t>
                  </w:r>
                </w:p>
              </w:tc>
              <w:tc>
                <w:tcPr>
                  <w:tcW w:w="349" w:type="pct"/>
                  <w:gridSpan w:val="2"/>
                  <w:tcBorders>
                    <w:tl2br w:val="nil"/>
                    <w:tr2bl w:val="nil"/>
                  </w:tcBorders>
                  <w:vAlign w:val="center"/>
                </w:tcPr>
                <w:p w14:paraId="2450E3CC">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b/>
                      <w:bCs/>
                      <w:color w:val="0070C0"/>
                      <w:spacing w:val="0"/>
                      <w:sz w:val="21"/>
                      <w:szCs w:val="21"/>
                      <w:lang w:val="en-US" w:eastAsia="zh-CN"/>
                    </w:rPr>
                  </w:pPr>
                  <w:r>
                    <w:rPr>
                      <w:rFonts w:hint="default" w:ascii="Times New Roman" w:hAnsi="Times New Roman" w:eastAsia="宋体" w:cs="Times New Roman"/>
                      <w:b/>
                      <w:bCs/>
                      <w:color w:val="0070C0"/>
                      <w:spacing w:val="0"/>
                      <w:sz w:val="21"/>
                      <w:szCs w:val="21"/>
                      <w:lang w:val="en-US" w:eastAsia="zh-CN"/>
                    </w:rPr>
                    <w:t>/</w:t>
                  </w:r>
                </w:p>
              </w:tc>
            </w:tr>
            <w:tr w14:paraId="2201F7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42" w:type="pct"/>
                  <w:tcBorders>
                    <w:tl2br w:val="nil"/>
                    <w:tr2bl w:val="nil"/>
                  </w:tcBorders>
                  <w:vAlign w:val="center"/>
                </w:tcPr>
                <w:p w14:paraId="5ACCA485">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579CA517">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12B1CAD9">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249D69E9">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29F23FC0">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146366DE">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55947F8B">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空间</w:t>
                  </w:r>
                </w:p>
                <w:p w14:paraId="3AD26AB6">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布局</w:t>
                  </w:r>
                </w:p>
                <w:p w14:paraId="196BBCAC">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约束</w:t>
                  </w:r>
                </w:p>
              </w:tc>
              <w:tc>
                <w:tcPr>
                  <w:tcW w:w="3008" w:type="pct"/>
                  <w:tcBorders>
                    <w:tl2br w:val="nil"/>
                    <w:tr2bl w:val="nil"/>
                  </w:tcBorders>
                  <w:vAlign w:val="center"/>
                </w:tcPr>
                <w:p w14:paraId="175FFA14">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1．始终把长江生态修复放在首位，坚持共抓大保护、不搞大开发，引导长江流域产业转型升级和布局优化调整，实现科学发展、有序发展、高质量发展。</w:t>
                  </w:r>
                </w:p>
                <w:p w14:paraId="4BDAD6AF">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55CF96FF">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7DF2BEEF">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p w14:paraId="798C7BFA">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5．禁止新建独立焦化项目。</w:t>
                  </w:r>
                </w:p>
              </w:tc>
              <w:tc>
                <w:tcPr>
                  <w:tcW w:w="1300" w:type="pct"/>
                  <w:tcBorders>
                    <w:tl2br w:val="nil"/>
                    <w:tr2bl w:val="nil"/>
                  </w:tcBorders>
                  <w:vAlign w:val="center"/>
                </w:tcPr>
                <w:p w14:paraId="0CA5460C">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p>
                <w:p w14:paraId="2EAAFFEA">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本项目为光学元器件生产，不属于化工</w:t>
                  </w:r>
                  <w:r>
                    <w:rPr>
                      <w:rFonts w:hint="default" w:ascii="Times New Roman" w:hAnsi="Times New Roman" w:eastAsia="宋体" w:cs="Times New Roman"/>
                      <w:color w:val="0070C0"/>
                      <w:spacing w:val="0"/>
                      <w:sz w:val="21"/>
                      <w:szCs w:val="21"/>
                      <w:lang w:eastAsia="zh-CN"/>
                    </w:rPr>
                    <w:t>、</w:t>
                  </w:r>
                  <w:r>
                    <w:rPr>
                      <w:rFonts w:hint="default" w:ascii="Times New Roman" w:hAnsi="Times New Roman" w:eastAsia="宋体" w:cs="Times New Roman"/>
                      <w:color w:val="0070C0"/>
                      <w:spacing w:val="0"/>
                      <w:sz w:val="21"/>
                      <w:szCs w:val="21"/>
                    </w:rPr>
                    <w:t>过江干线通道</w:t>
                  </w:r>
                  <w:r>
                    <w:rPr>
                      <w:rFonts w:hint="default" w:ascii="Times New Roman" w:hAnsi="Times New Roman" w:eastAsia="宋体" w:cs="Times New Roman"/>
                      <w:color w:val="0070C0"/>
                      <w:spacing w:val="0"/>
                      <w:sz w:val="21"/>
                      <w:szCs w:val="21"/>
                      <w:lang w:eastAsia="zh-CN"/>
                    </w:rPr>
                    <w:t>、</w:t>
                  </w:r>
                  <w:r>
                    <w:rPr>
                      <w:rFonts w:hint="default" w:ascii="Times New Roman" w:hAnsi="Times New Roman" w:eastAsia="宋体" w:cs="Times New Roman"/>
                      <w:color w:val="0070C0"/>
                      <w:spacing w:val="0"/>
                      <w:sz w:val="21"/>
                      <w:szCs w:val="21"/>
                    </w:rPr>
                    <w:t>独立焦化项目</w:t>
                  </w:r>
                  <w:r>
                    <w:rPr>
                      <w:rFonts w:hint="default" w:ascii="Times New Roman" w:hAnsi="Times New Roman" w:eastAsia="宋体" w:cs="Times New Roman"/>
                      <w:color w:val="0070C0"/>
                      <w:spacing w:val="0"/>
                      <w:sz w:val="21"/>
                      <w:szCs w:val="21"/>
                      <w:lang w:eastAsia="zh-CN"/>
                    </w:rPr>
                    <w:t>，</w:t>
                  </w:r>
                  <w:r>
                    <w:rPr>
                      <w:rFonts w:hint="default" w:ascii="Times New Roman" w:hAnsi="Times New Roman" w:eastAsia="宋体" w:cs="Times New Roman"/>
                      <w:color w:val="0070C0"/>
                      <w:spacing w:val="0"/>
                      <w:sz w:val="21"/>
                      <w:szCs w:val="21"/>
                      <w:lang w:val="en-US" w:eastAsia="zh-CN"/>
                    </w:rPr>
                    <w:t>不建设码头</w:t>
                  </w:r>
                  <w:r>
                    <w:rPr>
                      <w:rFonts w:hint="default" w:ascii="Times New Roman" w:hAnsi="Times New Roman" w:eastAsia="宋体" w:cs="Times New Roman"/>
                      <w:color w:val="0070C0"/>
                      <w:spacing w:val="0"/>
                      <w:sz w:val="21"/>
                      <w:szCs w:val="21"/>
                    </w:rPr>
                    <w:t>。用地不占用生态保护红线和永久基本农田。</w:t>
                  </w:r>
                </w:p>
              </w:tc>
              <w:tc>
                <w:tcPr>
                  <w:tcW w:w="349" w:type="pct"/>
                  <w:gridSpan w:val="2"/>
                  <w:tcBorders>
                    <w:tl2br w:val="nil"/>
                    <w:tr2bl w:val="nil"/>
                  </w:tcBorders>
                  <w:vAlign w:val="center"/>
                </w:tcPr>
                <w:p w14:paraId="54B7D4AA">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lang w:val="en-US" w:eastAsia="zh-CN"/>
                    </w:rPr>
                    <w:t>相符</w:t>
                  </w:r>
                </w:p>
              </w:tc>
            </w:tr>
            <w:tr w14:paraId="5C842B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42" w:type="pct"/>
                  <w:tcBorders>
                    <w:tl2br w:val="nil"/>
                    <w:tr2bl w:val="nil"/>
                  </w:tcBorders>
                  <w:vAlign w:val="center"/>
                </w:tcPr>
                <w:p w14:paraId="39C95770">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污染</w:t>
                  </w:r>
                </w:p>
                <w:p w14:paraId="325F1D0F">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物排</w:t>
                  </w:r>
                </w:p>
                <w:p w14:paraId="18A05A43">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放管控</w:t>
                  </w:r>
                </w:p>
              </w:tc>
              <w:tc>
                <w:tcPr>
                  <w:tcW w:w="3008" w:type="pct"/>
                  <w:tcBorders>
                    <w:tl2br w:val="nil"/>
                    <w:tr2bl w:val="nil"/>
                  </w:tcBorders>
                  <w:vAlign w:val="center"/>
                </w:tcPr>
                <w:p w14:paraId="5739B930">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1．根据《江苏省长江水污染防治条例》实施污染物总量控制制度。</w:t>
                  </w:r>
                </w:p>
                <w:p w14:paraId="3CCC79E6">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2．全面加强和规范长江入河排污口管理，有效管控入河污染物排放，形成权责清晰、监控到位、管理规范的长江入河排污口监管体系，加快改善长江水环境质量。</w:t>
                  </w:r>
                </w:p>
              </w:tc>
              <w:tc>
                <w:tcPr>
                  <w:tcW w:w="1300" w:type="pct"/>
                  <w:tcBorders>
                    <w:tl2br w:val="nil"/>
                    <w:tr2bl w:val="nil"/>
                  </w:tcBorders>
                  <w:vAlign w:val="center"/>
                </w:tcPr>
                <w:p w14:paraId="1B16CBBC">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本项目取得句容市生态环境局污染物排放总量指标。</w:t>
                  </w:r>
                </w:p>
              </w:tc>
              <w:tc>
                <w:tcPr>
                  <w:tcW w:w="349" w:type="pct"/>
                  <w:gridSpan w:val="2"/>
                  <w:tcBorders>
                    <w:tl2br w:val="nil"/>
                    <w:tr2bl w:val="nil"/>
                  </w:tcBorders>
                  <w:vAlign w:val="center"/>
                </w:tcPr>
                <w:p w14:paraId="194DCAA1">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lang w:val="en-US" w:eastAsia="zh-CN"/>
                    </w:rPr>
                    <w:t>相符</w:t>
                  </w:r>
                </w:p>
              </w:tc>
            </w:tr>
            <w:tr w14:paraId="2C07FE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42" w:type="pct"/>
                  <w:tcBorders>
                    <w:tl2br w:val="nil"/>
                    <w:tr2bl w:val="nil"/>
                  </w:tcBorders>
                  <w:vAlign w:val="center"/>
                </w:tcPr>
                <w:p w14:paraId="0DAF1E84">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环境</w:t>
                  </w:r>
                </w:p>
                <w:p w14:paraId="25DF706A">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风险</w:t>
                  </w:r>
                </w:p>
                <w:p w14:paraId="11C4803B">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防控</w:t>
                  </w:r>
                </w:p>
              </w:tc>
              <w:tc>
                <w:tcPr>
                  <w:tcW w:w="3008" w:type="pct"/>
                  <w:tcBorders>
                    <w:tl2br w:val="nil"/>
                    <w:tr2bl w:val="nil"/>
                  </w:tcBorders>
                  <w:vAlign w:val="center"/>
                </w:tcPr>
                <w:p w14:paraId="15FE0FC7">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1．防范沿江环境风险。深化沿江石化、化工、医药、纺织、印染、化纤、危化品和石油类仓储、涉重金属和危险废物处置等重点企业环境风险防控。</w:t>
                  </w:r>
                </w:p>
                <w:p w14:paraId="5535DBFE">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2．加强饮用水水源保护。优化水源保护区划定，推动饮用水水源地规范化建设。</w:t>
                  </w:r>
                </w:p>
              </w:tc>
              <w:tc>
                <w:tcPr>
                  <w:tcW w:w="1300" w:type="pct"/>
                  <w:tcBorders>
                    <w:tl2br w:val="nil"/>
                    <w:tr2bl w:val="nil"/>
                  </w:tcBorders>
                  <w:vAlign w:val="center"/>
                </w:tcPr>
                <w:p w14:paraId="5C86BC7A">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lang w:val="en-US" w:eastAsia="zh-CN"/>
                    </w:rPr>
                  </w:pPr>
                  <w:r>
                    <w:rPr>
                      <w:rFonts w:hint="default" w:ascii="Times New Roman" w:hAnsi="Times New Roman" w:eastAsia="宋体" w:cs="Times New Roman"/>
                      <w:color w:val="0070C0"/>
                      <w:sz w:val="21"/>
                      <w:szCs w:val="21"/>
                    </w:rPr>
                    <w:t>本项目将积极做好环境保护规划，建立健全区域风险防范体系和生态安全保障体系。</w:t>
                  </w:r>
                </w:p>
              </w:tc>
              <w:tc>
                <w:tcPr>
                  <w:tcW w:w="349" w:type="pct"/>
                  <w:gridSpan w:val="2"/>
                  <w:tcBorders>
                    <w:tl2br w:val="nil"/>
                    <w:tr2bl w:val="nil"/>
                  </w:tcBorders>
                  <w:vAlign w:val="center"/>
                </w:tcPr>
                <w:p w14:paraId="6F0F3363">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lang w:val="en-US" w:eastAsia="zh-CN"/>
                    </w:rPr>
                    <w:t>相符</w:t>
                  </w:r>
                </w:p>
              </w:tc>
            </w:tr>
            <w:tr w14:paraId="7D3370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42" w:type="pct"/>
                  <w:tcBorders>
                    <w:tl2br w:val="nil"/>
                    <w:tr2bl w:val="nil"/>
                  </w:tcBorders>
                  <w:vAlign w:val="center"/>
                </w:tcPr>
                <w:p w14:paraId="48C5CED4">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资源</w:t>
                  </w:r>
                </w:p>
                <w:p w14:paraId="633E482E">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利用</w:t>
                  </w:r>
                </w:p>
                <w:p w14:paraId="0F31C979">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效率</w:t>
                  </w:r>
                </w:p>
                <w:p w14:paraId="1533B5B0">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要求</w:t>
                  </w:r>
                </w:p>
              </w:tc>
              <w:tc>
                <w:tcPr>
                  <w:tcW w:w="3008" w:type="pct"/>
                  <w:tcBorders>
                    <w:tl2br w:val="nil"/>
                    <w:tr2bl w:val="nil"/>
                  </w:tcBorders>
                  <w:vAlign w:val="center"/>
                </w:tcPr>
                <w:p w14:paraId="55298058">
                  <w:pPr>
                    <w:pStyle w:val="124"/>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1300" w:type="pct"/>
                  <w:tcBorders>
                    <w:tl2br w:val="nil"/>
                    <w:tr2bl w:val="nil"/>
                  </w:tcBorders>
                  <w:vAlign w:val="center"/>
                </w:tcPr>
                <w:p w14:paraId="0D46F5B3">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rPr>
                    <w:t>本项目为光学元器件生产，不属于化工项目</w:t>
                  </w:r>
                  <w:r>
                    <w:rPr>
                      <w:rFonts w:hint="default" w:ascii="Times New Roman" w:hAnsi="Times New Roman" w:eastAsia="宋体" w:cs="Times New Roman"/>
                      <w:color w:val="0070C0"/>
                      <w:spacing w:val="0"/>
                      <w:sz w:val="21"/>
                      <w:szCs w:val="21"/>
                      <w:lang w:eastAsia="zh-CN"/>
                    </w:rPr>
                    <w:t>。</w:t>
                  </w:r>
                </w:p>
              </w:tc>
              <w:tc>
                <w:tcPr>
                  <w:tcW w:w="349" w:type="pct"/>
                  <w:gridSpan w:val="2"/>
                  <w:tcBorders>
                    <w:tl2br w:val="nil"/>
                    <w:tr2bl w:val="nil"/>
                  </w:tcBorders>
                  <w:vAlign w:val="center"/>
                </w:tcPr>
                <w:p w14:paraId="256FBA83">
                  <w:pPr>
                    <w:keepNext w:val="0"/>
                    <w:keepLines w:val="0"/>
                    <w:pageBreakBefore w:val="0"/>
                    <w:widowControl/>
                    <w:kinsoku/>
                    <w:wordWrap/>
                    <w:overflowPunct/>
                    <w:topLinePunct w:val="0"/>
                    <w:bidi w:val="0"/>
                    <w:adjustRightInd w:val="0"/>
                    <w:snapToGrid w:val="0"/>
                    <w:spacing w:line="240" w:lineRule="auto"/>
                    <w:ind w:left="0" w:right="0" w:firstLine="0"/>
                    <w:jc w:val="center"/>
                    <w:rPr>
                      <w:rFonts w:hint="default" w:ascii="Times New Roman" w:hAnsi="Times New Roman" w:eastAsia="宋体" w:cs="Times New Roman"/>
                      <w:color w:val="0070C0"/>
                      <w:spacing w:val="0"/>
                      <w:sz w:val="21"/>
                      <w:szCs w:val="21"/>
                    </w:rPr>
                  </w:pPr>
                  <w:r>
                    <w:rPr>
                      <w:rFonts w:hint="default" w:ascii="Times New Roman" w:hAnsi="Times New Roman" w:eastAsia="宋体" w:cs="Times New Roman"/>
                      <w:color w:val="0070C0"/>
                      <w:spacing w:val="0"/>
                      <w:sz w:val="21"/>
                      <w:szCs w:val="21"/>
                      <w:lang w:val="en-US" w:eastAsia="zh-CN"/>
                    </w:rPr>
                    <w:t>相符</w:t>
                  </w:r>
                </w:p>
              </w:tc>
            </w:tr>
          </w:tbl>
          <w:p w14:paraId="7CF367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4"/>
                <w:szCs w:val="24"/>
                <w:lang w:eastAsia="zh-CN" w:bidi="ar"/>
              </w:rPr>
            </w:pPr>
            <w:bookmarkStart w:id="25" w:name="_GoBack"/>
            <w:bookmarkEnd w:id="25"/>
            <w:r>
              <w:rPr>
                <w:rFonts w:hint="default" w:ascii="Times New Roman" w:hAnsi="Times New Roman" w:eastAsia="宋体" w:cs="Times New Roman"/>
                <w:b/>
                <w:bCs/>
                <w:color w:val="auto"/>
                <w:kern w:val="0"/>
                <w:sz w:val="24"/>
                <w:szCs w:val="24"/>
                <w:lang w:eastAsia="zh-CN" w:bidi="ar"/>
              </w:rPr>
              <w:drawing>
                <wp:inline distT="0" distB="0" distL="114300" distR="114300">
                  <wp:extent cx="5263515" cy="2632710"/>
                  <wp:effectExtent l="0" t="0" r="13335" b="15240"/>
                  <wp:docPr id="10" name="图片 10" descr="QQ_175135004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_1751350046981"/>
                          <pic:cNvPicPr>
                            <a:picLocks noChangeAspect="1"/>
                          </pic:cNvPicPr>
                        </pic:nvPicPr>
                        <pic:blipFill>
                          <a:blip r:embed="rId11"/>
                          <a:stretch>
                            <a:fillRect/>
                          </a:stretch>
                        </pic:blipFill>
                        <pic:spPr>
                          <a:xfrm>
                            <a:off x="0" y="0"/>
                            <a:ext cx="5263515" cy="2632710"/>
                          </a:xfrm>
                          <a:prstGeom prst="rect">
                            <a:avLst/>
                          </a:prstGeom>
                        </pic:spPr>
                      </pic:pic>
                    </a:graphicData>
                  </a:graphic>
                </wp:inline>
              </w:drawing>
            </w:r>
          </w:p>
          <w:p w14:paraId="0F1FAB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4"/>
                <w:szCs w:val="24"/>
                <w:lang w:bidi="ar"/>
              </w:rPr>
            </w:pPr>
            <w:r>
              <w:rPr>
                <w:rFonts w:hint="default" w:ascii="Times New Roman" w:hAnsi="Times New Roman" w:cs="Times New Roman"/>
                <w:b/>
                <w:bCs/>
                <w:color w:val="auto"/>
                <w:kern w:val="0"/>
                <w:sz w:val="24"/>
                <w:szCs w:val="24"/>
                <w:lang w:bidi="ar"/>
              </w:rPr>
              <w:t>图1-1 本项目与江苏省生态环境分区管控区位置关系图</w:t>
            </w:r>
          </w:p>
          <w:p w14:paraId="64A5E3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4"/>
                <w:szCs w:val="24"/>
                <w:lang w:bidi="ar"/>
              </w:rPr>
            </w:pPr>
          </w:p>
          <w:p w14:paraId="40C6BF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4"/>
                <w:szCs w:val="24"/>
                <w:highlight w:val="none"/>
                <w:lang w:bidi="ar"/>
              </w:rPr>
            </w:pPr>
            <w:r>
              <w:rPr>
                <w:rFonts w:hint="default" w:ascii="Times New Roman" w:hAnsi="Times New Roman" w:cs="Times New Roman"/>
                <w:b/>
                <w:bCs/>
                <w:color w:val="auto"/>
                <w:kern w:val="0"/>
                <w:sz w:val="24"/>
                <w:szCs w:val="24"/>
                <w:lang w:bidi="ar"/>
              </w:rPr>
              <w:t>表1-</w:t>
            </w:r>
            <w:r>
              <w:rPr>
                <w:rFonts w:hint="default" w:ascii="Times New Roman" w:hAnsi="Times New Roman" w:cs="Times New Roman"/>
                <w:b/>
                <w:bCs/>
                <w:color w:val="auto"/>
                <w:kern w:val="0"/>
                <w:sz w:val="24"/>
                <w:szCs w:val="24"/>
                <w:lang w:val="en-US" w:eastAsia="zh-CN" w:bidi="ar"/>
              </w:rPr>
              <w:t>4</w:t>
            </w:r>
            <w:r>
              <w:rPr>
                <w:rFonts w:hint="default" w:ascii="Times New Roman" w:hAnsi="Times New Roman" w:cs="Times New Roman"/>
                <w:b/>
                <w:bCs/>
                <w:color w:val="auto"/>
                <w:kern w:val="0"/>
                <w:sz w:val="24"/>
                <w:szCs w:val="24"/>
                <w:lang w:bidi="ar"/>
              </w:rPr>
              <w:t xml:space="preserve">  项目与</w:t>
            </w:r>
            <w:r>
              <w:rPr>
                <w:rFonts w:hint="default" w:ascii="Times New Roman" w:hAnsi="Times New Roman" w:cs="Times New Roman"/>
                <w:b/>
                <w:bCs/>
                <w:color w:val="0070C0"/>
                <w:sz w:val="24"/>
                <w:szCs w:val="24"/>
              </w:rPr>
              <w:t>重点管控单元</w:t>
            </w:r>
            <w:r>
              <w:rPr>
                <w:rFonts w:hint="default" w:ascii="Times New Roman" w:hAnsi="Times New Roman" w:cs="Times New Roman"/>
                <w:b/>
                <w:bCs/>
                <w:color w:val="auto"/>
                <w:kern w:val="0"/>
                <w:sz w:val="24"/>
                <w:szCs w:val="24"/>
                <w:lang w:bidi="ar"/>
              </w:rPr>
              <w:t>相符情况</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4409"/>
              <w:gridCol w:w="2979"/>
            </w:tblGrid>
            <w:tr w14:paraId="329FC6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3" w:type="pct"/>
                  <w:tcBorders>
                    <w:tl2br w:val="nil"/>
                    <w:tr2bl w:val="nil"/>
                  </w:tcBorders>
                  <w:vAlign w:val="center"/>
                </w:tcPr>
                <w:p w14:paraId="25E581B4">
                  <w:pPr>
                    <w:pStyle w:val="22"/>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2654" w:type="pct"/>
                  <w:tcBorders>
                    <w:tl2br w:val="nil"/>
                    <w:tr2bl w:val="nil"/>
                  </w:tcBorders>
                  <w:vAlign w:val="center"/>
                </w:tcPr>
                <w:p w14:paraId="2D822274">
                  <w:pPr>
                    <w:pStyle w:val="22"/>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重点管控要求</w:t>
                  </w:r>
                </w:p>
              </w:tc>
              <w:tc>
                <w:tcPr>
                  <w:tcW w:w="1792" w:type="pct"/>
                  <w:tcBorders>
                    <w:tl2br w:val="nil"/>
                    <w:tr2bl w:val="nil"/>
                  </w:tcBorders>
                  <w:vAlign w:val="center"/>
                </w:tcPr>
                <w:p w14:paraId="7AC1FE07">
                  <w:pPr>
                    <w:pStyle w:val="22"/>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相符性分析</w:t>
                  </w:r>
                </w:p>
              </w:tc>
            </w:tr>
            <w:tr w14:paraId="5F83E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tcBorders>
                    <w:tl2br w:val="nil"/>
                    <w:tr2bl w:val="nil"/>
                  </w:tcBorders>
                  <w:vAlign w:val="center"/>
                </w:tcPr>
                <w:p w14:paraId="13F19304">
                  <w:pPr>
                    <w:pStyle w:val="22"/>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句容市</w:t>
                  </w:r>
                  <w:r>
                    <w:rPr>
                      <w:rFonts w:hint="default" w:ascii="Times New Roman" w:hAnsi="Times New Roman" w:cs="Times New Roman"/>
                      <w:color w:val="auto"/>
                      <w:sz w:val="21"/>
                      <w:szCs w:val="21"/>
                      <w:highlight w:val="none"/>
                    </w:rPr>
                    <w:t>空港新区</w:t>
                  </w:r>
                </w:p>
              </w:tc>
            </w:tr>
            <w:tr w14:paraId="49EBB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3" w:type="pct"/>
                  <w:tcBorders>
                    <w:tl2br w:val="nil"/>
                    <w:tr2bl w:val="nil"/>
                  </w:tcBorders>
                  <w:vAlign w:val="center"/>
                </w:tcPr>
                <w:p w14:paraId="2C406BD5">
                  <w:pPr>
                    <w:pStyle w:val="22"/>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空间布局约束</w:t>
                  </w:r>
                </w:p>
              </w:tc>
              <w:tc>
                <w:tcPr>
                  <w:tcW w:w="2654" w:type="pct"/>
                  <w:tcBorders>
                    <w:tl2br w:val="nil"/>
                    <w:tr2bl w:val="nil"/>
                  </w:tcBorders>
                  <w:vAlign w:val="center"/>
                </w:tcPr>
                <w:p w14:paraId="069235D8">
                  <w:pPr>
                    <w:pStyle w:val="22"/>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按照规划环评提出的用地调整，进一步优化空港新区用地布局，加强区内部的功能划分，明确各类用地具体布局，避免出现居住区工业区混杂布局现象，控制工业用地开发规模，加快公共设施、绿地等建设进度，避免项目间的相互影响。当生产、生活空间与生态空间发生冲突时，按照“优先保障生态空间，合理安排生活空间，集约利用生产空间”的原则，对规划空间布局提出优化调整意见，以保障生态空间性质不转换、面积不减少、功能不降低。提高环境准入门槛，引进项目应符合报告书提出的环境准入负面清单。（2）规划区域全面推行制造行业绿色改造升级，促进产业绿色低碳发展。鼓励规划区域按照本次规划产业定位，引进列入《产业结构调整指导目录（2011年本）（修正）》及《江苏省工业和信息产业结构调整指导目录（2012年本）》、《江苏省工业和信息产业结构调整限制淘汰目录和能耗限额》（2015年本）中鼓励类的企业类型，入区企业禁止引入列入限制类、淘汰类的落后生产工艺和设备。（3）产业定位是：重点扶持现代装备制造业，成为发展主要引擎。基于现有的产业优势，结合现有产业基础，以“规模化、聚集化、品牌化”为要求，强化项目带动作用，重点扶持和打造新能源装备及应用产业、绿色环保装备、特种装备信息基础设备和产业、智能设备制造业。大力发展科技创新、信息服务、现代物流等生产性服务业，加快服务业集聚区建设，促进服务业规模扩大、结构优化、层次提升。</w:t>
                  </w:r>
                </w:p>
              </w:tc>
              <w:tc>
                <w:tcPr>
                  <w:tcW w:w="1792" w:type="pct"/>
                  <w:tcBorders>
                    <w:tl2br w:val="nil"/>
                    <w:tr2bl w:val="nil"/>
                  </w:tcBorders>
                  <w:shd w:val="clear" w:color="auto" w:fill="auto"/>
                  <w:vAlign w:val="center"/>
                </w:tcPr>
                <w:p w14:paraId="44FEE4B5">
                  <w:pPr>
                    <w:pStyle w:val="22"/>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本项目位于镇江市句容市郭庄镇空港大道</w:t>
                  </w:r>
                  <w:r>
                    <w:rPr>
                      <w:rFonts w:hint="eastAsia" w:ascii="Times New Roman" w:hAnsi="Times New Roman" w:cs="Times New Roman"/>
                      <w:color w:val="auto"/>
                      <w:sz w:val="21"/>
                      <w:szCs w:val="21"/>
                      <w:lang w:eastAsia="zh-CN"/>
                    </w:rPr>
                    <w:t>9号2幢</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属于工业用地</w:t>
                  </w:r>
                  <w:r>
                    <w:rPr>
                      <w:rFonts w:hint="default" w:ascii="Times New Roman" w:hAnsi="Times New Roman" w:cs="Times New Roman"/>
                      <w:color w:val="auto"/>
                      <w:sz w:val="21"/>
                      <w:szCs w:val="21"/>
                    </w:rPr>
                    <w:t>；本项目为C3052光学玻璃制造，不属于相关产业结构目录中禁止和淘汰类项目，不属于句容市郭庄镇总体规划和句容市空港新区规划环评限制和禁止引入类项目。</w:t>
                  </w:r>
                </w:p>
              </w:tc>
            </w:tr>
            <w:tr w14:paraId="4C464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3" w:type="pct"/>
                  <w:tcBorders>
                    <w:tl2br w:val="nil"/>
                    <w:tr2bl w:val="nil"/>
                  </w:tcBorders>
                  <w:vAlign w:val="center"/>
                </w:tcPr>
                <w:p w14:paraId="09BD6051">
                  <w:pPr>
                    <w:pStyle w:val="22"/>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污染物排放管控</w:t>
                  </w:r>
                </w:p>
              </w:tc>
              <w:tc>
                <w:tcPr>
                  <w:tcW w:w="2654" w:type="pct"/>
                  <w:tcBorders>
                    <w:tl2br w:val="nil"/>
                    <w:tr2bl w:val="nil"/>
                  </w:tcBorders>
                  <w:vAlign w:val="center"/>
                </w:tcPr>
                <w:p w14:paraId="42AD2D64">
                  <w:pPr>
                    <w:pStyle w:val="22"/>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：10.251吨/年、NOx：56.875吨/年、烟粉尘：19.051吨/年非甲烷总烃：20.188吨/年、VOCs：41.907吨/年、废水量：6247890吨/年、COD：3123.945/312.395吨/年、氨氮：281.155/24.992吨/年。</w:t>
                  </w:r>
                </w:p>
              </w:tc>
              <w:tc>
                <w:tcPr>
                  <w:tcW w:w="1792" w:type="pct"/>
                  <w:tcBorders>
                    <w:tl2br w:val="nil"/>
                    <w:tr2bl w:val="nil"/>
                  </w:tcBorders>
                  <w:shd w:val="clear" w:color="auto" w:fill="auto"/>
                  <w:vAlign w:val="center"/>
                </w:tcPr>
                <w:p w14:paraId="0E8EDE2D">
                  <w:pPr>
                    <w:pStyle w:val="22"/>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本项目实施后将严格落实污染物排放总量控制制度，污染物排放总量可在句容市范围内平衡解决。</w:t>
                  </w:r>
                </w:p>
              </w:tc>
            </w:tr>
            <w:tr w14:paraId="41E73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3" w:type="pct"/>
                  <w:tcBorders>
                    <w:tl2br w:val="nil"/>
                    <w:tr2bl w:val="nil"/>
                  </w:tcBorders>
                  <w:vAlign w:val="center"/>
                </w:tcPr>
                <w:p w14:paraId="2077C73E">
                  <w:pPr>
                    <w:pStyle w:val="22"/>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w:t>
                  </w:r>
                </w:p>
                <w:p w14:paraId="5BC69C86">
                  <w:pPr>
                    <w:pStyle w:val="22"/>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险防控</w:t>
                  </w:r>
                </w:p>
              </w:tc>
              <w:tc>
                <w:tcPr>
                  <w:tcW w:w="2654" w:type="pct"/>
                  <w:tcBorders>
                    <w:tl2br w:val="nil"/>
                    <w:tr2bl w:val="nil"/>
                  </w:tcBorders>
                  <w:vAlign w:val="center"/>
                </w:tcPr>
                <w:p w14:paraId="5E365BB6">
                  <w:pPr>
                    <w:pStyle w:val="22"/>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（1）严格限制危险物质使用，不得设置重大危险源；（2）加强企业环境风险防范及应急措施；（3）建立环境风险管理体系。</w:t>
                  </w:r>
                </w:p>
              </w:tc>
              <w:tc>
                <w:tcPr>
                  <w:tcW w:w="1792" w:type="pct"/>
                  <w:tcBorders>
                    <w:tl2br w:val="nil"/>
                    <w:tr2bl w:val="nil"/>
                  </w:tcBorders>
                  <w:shd w:val="clear" w:color="auto" w:fill="auto"/>
                  <w:vAlign w:val="center"/>
                </w:tcPr>
                <w:p w14:paraId="171B1787">
                  <w:pPr>
                    <w:pStyle w:val="22"/>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本项目实施后企业将在厂房内不同区域按需配备环境应急装备和储备物资。</w:t>
                  </w:r>
                </w:p>
                <w:p w14:paraId="786E324B">
                  <w:pPr>
                    <w:pStyle w:val="22"/>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句容市空港新区暂未编制应急预案，待园区应急预案编制后，企业将按要求配备相应的人员、物资并定期开展演练</w:t>
                  </w:r>
                  <w:r>
                    <w:rPr>
                      <w:rFonts w:hint="default" w:ascii="Times New Roman" w:hAnsi="Times New Roman" w:cs="Times New Roman"/>
                      <w:color w:val="auto"/>
                      <w:sz w:val="21"/>
                      <w:szCs w:val="21"/>
                      <w:lang w:eastAsia="zh-CN"/>
                    </w:rPr>
                    <w:t>。</w:t>
                  </w:r>
                </w:p>
              </w:tc>
            </w:tr>
            <w:tr w14:paraId="0266AA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3" w:type="pct"/>
                  <w:tcBorders>
                    <w:tl2br w:val="nil"/>
                    <w:tr2bl w:val="nil"/>
                  </w:tcBorders>
                  <w:vAlign w:val="center"/>
                </w:tcPr>
                <w:p w14:paraId="3CC025E2">
                  <w:pPr>
                    <w:pStyle w:val="22"/>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资源开发效率</w:t>
                  </w:r>
                </w:p>
                <w:p w14:paraId="498E6414">
                  <w:pPr>
                    <w:pStyle w:val="22"/>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要求</w:t>
                  </w:r>
                </w:p>
              </w:tc>
              <w:tc>
                <w:tcPr>
                  <w:tcW w:w="2654" w:type="pct"/>
                  <w:tcBorders>
                    <w:tl2br w:val="nil"/>
                    <w:tr2bl w:val="nil"/>
                  </w:tcBorders>
                  <w:vAlign w:val="center"/>
                </w:tcPr>
                <w:p w14:paraId="4DF8075F">
                  <w:pPr>
                    <w:pStyle w:val="22"/>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推进重点企业清洁生产审核。开展清洁生产、发展循环经济对于提高资源利用效率、缓解资源短缺、减轻环境污染具有重要意义。园区应积极推进区内企业清洁生产审核，对于使用有毒有害物质、能耗水平高或污染物排放量大的企业应实施强制性清洁生产审核。通过各企业清洁生产的推行，进一步降低园区资源、能源消耗，减少污染物排放。</w:t>
                  </w:r>
                </w:p>
              </w:tc>
              <w:tc>
                <w:tcPr>
                  <w:tcW w:w="1792" w:type="pct"/>
                  <w:tcBorders>
                    <w:tl2br w:val="nil"/>
                    <w:tr2bl w:val="nil"/>
                  </w:tcBorders>
                  <w:shd w:val="clear" w:color="auto" w:fill="auto"/>
                  <w:vAlign w:val="center"/>
                </w:tcPr>
                <w:p w14:paraId="2FFC459F">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项目使用电能，未被列入</w:t>
                  </w:r>
                  <w:r>
                    <w:rPr>
                      <w:rFonts w:hint="default" w:ascii="Times New Roman" w:hAnsi="Times New Roman" w:cs="Times New Roman"/>
                      <w:color w:val="auto"/>
                      <w:kern w:val="0"/>
                      <w:sz w:val="21"/>
                      <w:szCs w:val="21"/>
                      <w:lang w:val="en-US" w:eastAsia="zh-CN" w:bidi="ar"/>
                    </w:rPr>
                    <w:t>重点企业</w:t>
                  </w:r>
                  <w:r>
                    <w:rPr>
                      <w:rFonts w:hint="default" w:ascii="Times New Roman" w:hAnsi="Times New Roman" w:eastAsia="宋体" w:cs="Times New Roman"/>
                      <w:color w:val="auto"/>
                      <w:kern w:val="0"/>
                      <w:sz w:val="21"/>
                      <w:szCs w:val="21"/>
                      <w:lang w:val="en-US" w:eastAsia="zh-CN" w:bidi="ar"/>
                    </w:rPr>
                    <w:t>清洁生产审核名录，满足资源开发效率要求。</w:t>
                  </w:r>
                </w:p>
                <w:p w14:paraId="0C05D8DD">
                  <w:pPr>
                    <w:pStyle w:val="22"/>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21"/>
                      <w:szCs w:val="21"/>
                      <w:lang w:val="en-US" w:eastAsia="zh-CN" w:bidi="ar-SA"/>
                    </w:rPr>
                  </w:pPr>
                </w:p>
              </w:tc>
            </w:tr>
          </w:tbl>
          <w:p w14:paraId="33EB7849">
            <w:pPr>
              <w:snapToGrid w:val="0"/>
              <w:spacing w:line="360" w:lineRule="auto"/>
              <w:ind w:firstLine="480" w:firstLineChars="200"/>
              <w:rPr>
                <w:rFonts w:hint="default" w:ascii="Times New Roman" w:hAnsi="Times New Roman" w:cs="Times New Roman"/>
                <w:color w:val="0070C0"/>
                <w:kern w:val="0"/>
                <w:sz w:val="24"/>
                <w:szCs w:val="24"/>
                <w:lang w:bidi="ar"/>
              </w:rPr>
            </w:pPr>
            <w:r>
              <w:rPr>
                <w:rFonts w:hint="default" w:ascii="Times New Roman" w:hAnsi="Times New Roman" w:cs="Times New Roman"/>
                <w:color w:val="0070C0"/>
                <w:kern w:val="0"/>
                <w:sz w:val="24"/>
                <w:szCs w:val="24"/>
                <w:lang w:bidi="ar"/>
              </w:rPr>
              <w:t>根据《江苏省2023年度生态环境分区管控动态更新成果公告》《镇江市生态环境分区管控动态更新成果公告》及《句容市2023年度生态空间管控区域调整方案》，本项目用地不涉及生态保护红线和永久基本农田，不在生态空间管控区域内</w:t>
            </w:r>
            <w:r>
              <w:rPr>
                <w:rFonts w:hint="default" w:ascii="Times New Roman" w:hAnsi="Times New Roman" w:cs="Times New Roman"/>
                <w:color w:val="0070C0"/>
                <w:kern w:val="0"/>
                <w:sz w:val="24"/>
                <w:szCs w:val="24"/>
                <w:lang w:eastAsia="zh-CN" w:bidi="ar"/>
              </w:rPr>
              <w:t>，</w:t>
            </w:r>
            <w:r>
              <w:rPr>
                <w:rFonts w:hint="default" w:ascii="Times New Roman" w:hAnsi="Times New Roman" w:cs="Times New Roman"/>
                <w:color w:val="0070C0"/>
                <w:kern w:val="0"/>
                <w:sz w:val="24"/>
                <w:szCs w:val="24"/>
                <w:lang w:val="en-US" w:eastAsia="zh-CN" w:bidi="ar"/>
              </w:rPr>
              <w:t>符合文件要求</w:t>
            </w:r>
            <w:r>
              <w:rPr>
                <w:rFonts w:hint="default" w:ascii="Times New Roman" w:hAnsi="Times New Roman" w:cs="Times New Roman"/>
                <w:color w:val="0070C0"/>
                <w:kern w:val="0"/>
                <w:sz w:val="24"/>
                <w:szCs w:val="24"/>
                <w:lang w:bidi="ar"/>
              </w:rPr>
              <w:t>。</w:t>
            </w:r>
          </w:p>
          <w:p w14:paraId="41082E3A">
            <w:pPr>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（2）环境质量底线</w:t>
            </w:r>
          </w:p>
          <w:p w14:paraId="3DBD3CDF">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right="0" w:firstLine="480" w:firstLineChars="200"/>
              <w:textAlignment w:val="auto"/>
              <w:outlineLvl w:val="9"/>
              <w:rPr>
                <w:rFonts w:hint="default" w:ascii="Times New Roman" w:hAnsi="Times New Roman" w:eastAsia="宋体" w:cs="Times New Roman"/>
                <w:color w:val="0070C0"/>
                <w:sz w:val="24"/>
                <w:szCs w:val="24"/>
                <w:lang w:val="en-US" w:eastAsia="zh-CN"/>
              </w:rPr>
            </w:pPr>
            <w:r>
              <w:rPr>
                <w:rFonts w:hint="default" w:ascii="Times New Roman" w:hAnsi="Times New Roman" w:eastAsia="宋体" w:cs="Times New Roman"/>
                <w:color w:val="0070C0"/>
                <w:sz w:val="24"/>
                <w:szCs w:val="24"/>
                <w:lang w:val="en-US" w:eastAsia="zh-CN"/>
              </w:rPr>
              <w:t>根据《2024年度镇江市生态环境状况公报》，</w:t>
            </w:r>
            <w:r>
              <w:rPr>
                <w:rFonts w:hint="default" w:ascii="Times New Roman" w:hAnsi="Times New Roman" w:cs="Times New Roman"/>
              </w:rPr>
              <w:commentReference w:id="4"/>
            </w:r>
            <w:r>
              <w:rPr>
                <w:rFonts w:hint="default" w:ascii="Times New Roman" w:hAnsi="Times New Roman" w:eastAsia="宋体" w:cs="Times New Roman"/>
                <w:color w:val="0070C0"/>
                <w:sz w:val="24"/>
                <w:szCs w:val="24"/>
                <w:lang w:val="en-US" w:eastAsia="zh-CN"/>
              </w:rPr>
              <w:t>2024年，镇江市环境空气中细颗粒物（PM</w:t>
            </w:r>
            <w:r>
              <w:rPr>
                <w:rFonts w:hint="default" w:ascii="Times New Roman" w:hAnsi="Times New Roman" w:eastAsia="宋体" w:cs="Times New Roman"/>
                <w:color w:val="0070C0"/>
                <w:sz w:val="24"/>
                <w:szCs w:val="24"/>
                <w:vertAlign w:val="subscript"/>
                <w:lang w:val="en-US" w:eastAsia="zh-CN"/>
              </w:rPr>
              <w:t>2.5</w:t>
            </w:r>
            <w:r>
              <w:rPr>
                <w:rFonts w:hint="default" w:ascii="Times New Roman" w:hAnsi="Times New Roman" w:eastAsia="宋体" w:cs="Times New Roman"/>
                <w:color w:val="0070C0"/>
                <w:sz w:val="24"/>
                <w:szCs w:val="24"/>
                <w:lang w:val="en-US" w:eastAsia="zh-CN"/>
              </w:rPr>
              <w:t>）、可吸入颗粒物（PM</w:t>
            </w:r>
            <w:r>
              <w:rPr>
                <w:rFonts w:hint="default" w:ascii="Times New Roman" w:hAnsi="Times New Roman" w:eastAsia="宋体" w:cs="Times New Roman"/>
                <w:color w:val="0070C0"/>
                <w:sz w:val="24"/>
                <w:szCs w:val="24"/>
                <w:vertAlign w:val="subscript"/>
                <w:lang w:val="en-US" w:eastAsia="zh-CN"/>
              </w:rPr>
              <w:t>10</w:t>
            </w:r>
            <w:r>
              <w:rPr>
                <w:rFonts w:hint="default" w:ascii="Times New Roman" w:hAnsi="Times New Roman" w:eastAsia="宋体" w:cs="Times New Roman"/>
                <w:color w:val="0070C0"/>
                <w:sz w:val="24"/>
                <w:szCs w:val="24"/>
                <w:lang w:val="en-US" w:eastAsia="zh-CN"/>
              </w:rPr>
              <w:t>）、二氧化氮（NO</w:t>
            </w:r>
            <w:r>
              <w:rPr>
                <w:rFonts w:hint="default" w:ascii="Times New Roman" w:hAnsi="Times New Roman" w:eastAsia="宋体" w:cs="Times New Roman"/>
                <w:color w:val="0070C0"/>
                <w:sz w:val="24"/>
                <w:szCs w:val="24"/>
                <w:vertAlign w:val="subscript"/>
                <w:lang w:val="en-US" w:eastAsia="zh-CN"/>
              </w:rPr>
              <w:t>2</w:t>
            </w:r>
            <w:r>
              <w:rPr>
                <w:rFonts w:hint="default" w:ascii="Times New Roman" w:hAnsi="Times New Roman" w:eastAsia="宋体" w:cs="Times New Roman"/>
                <w:color w:val="0070C0"/>
                <w:sz w:val="24"/>
                <w:szCs w:val="24"/>
                <w:lang w:val="en-US" w:eastAsia="zh-CN"/>
              </w:rPr>
              <w:t>）、一氧化碳24小时平均第90百分位数浓度（以下简称一氧化碳浓度）和臭氧日最大8小时滑动平均第90百分位数浓度（以下简称臭氧浓度）较上年均有所下降，二氧化硫（SO</w:t>
            </w:r>
            <w:r>
              <w:rPr>
                <w:rFonts w:hint="default" w:ascii="Times New Roman" w:hAnsi="Times New Roman" w:eastAsia="宋体" w:cs="Times New Roman"/>
                <w:color w:val="0070C0"/>
                <w:sz w:val="24"/>
                <w:szCs w:val="24"/>
                <w:vertAlign w:val="subscript"/>
                <w:lang w:val="en-US" w:eastAsia="zh-CN"/>
              </w:rPr>
              <w:t>2</w:t>
            </w:r>
            <w:r>
              <w:rPr>
                <w:rFonts w:hint="default" w:ascii="Times New Roman" w:hAnsi="Times New Roman" w:eastAsia="宋体" w:cs="Times New Roman"/>
                <w:color w:val="0070C0"/>
                <w:sz w:val="24"/>
                <w:szCs w:val="24"/>
                <w:lang w:val="en-US" w:eastAsia="zh-CN"/>
              </w:rPr>
              <w:t>）浓度与上年持平。镇江市区环境空气中细颗粒物（PM</w:t>
            </w:r>
            <w:r>
              <w:rPr>
                <w:rFonts w:hint="default" w:ascii="Times New Roman" w:hAnsi="Times New Roman" w:eastAsia="宋体" w:cs="Times New Roman"/>
                <w:color w:val="0070C0"/>
                <w:sz w:val="24"/>
                <w:szCs w:val="24"/>
                <w:vertAlign w:val="subscript"/>
                <w:lang w:val="en-US" w:eastAsia="zh-CN"/>
              </w:rPr>
              <w:t>2.5</w:t>
            </w:r>
            <w:r>
              <w:rPr>
                <w:rFonts w:hint="default" w:ascii="Times New Roman" w:hAnsi="Times New Roman" w:eastAsia="宋体" w:cs="Times New Roman"/>
                <w:color w:val="0070C0"/>
                <w:sz w:val="24"/>
                <w:szCs w:val="24"/>
                <w:lang w:val="en-US" w:eastAsia="zh-CN"/>
              </w:rPr>
              <w:t>）、可吸入颗粒物（PM</w:t>
            </w:r>
            <w:r>
              <w:rPr>
                <w:rFonts w:hint="default" w:ascii="Times New Roman" w:hAnsi="Times New Roman" w:eastAsia="宋体" w:cs="Times New Roman"/>
                <w:color w:val="0070C0"/>
                <w:sz w:val="24"/>
                <w:szCs w:val="24"/>
                <w:vertAlign w:val="subscript"/>
                <w:lang w:val="en-US" w:eastAsia="zh-CN"/>
              </w:rPr>
              <w:t>10</w:t>
            </w:r>
            <w:r>
              <w:rPr>
                <w:rFonts w:hint="default" w:ascii="Times New Roman" w:hAnsi="Times New Roman" w:eastAsia="宋体" w:cs="Times New Roman"/>
                <w:color w:val="0070C0"/>
                <w:sz w:val="24"/>
                <w:szCs w:val="24"/>
                <w:lang w:val="en-US" w:eastAsia="zh-CN"/>
              </w:rPr>
              <w:t>）、二氧化硫（SO</w:t>
            </w:r>
            <w:r>
              <w:rPr>
                <w:rFonts w:hint="default" w:ascii="Times New Roman" w:hAnsi="Times New Roman" w:eastAsia="宋体" w:cs="Times New Roman"/>
                <w:color w:val="0070C0"/>
                <w:sz w:val="24"/>
                <w:szCs w:val="24"/>
                <w:vertAlign w:val="subscript"/>
                <w:lang w:val="en-US" w:eastAsia="zh-CN"/>
              </w:rPr>
              <w:t>2</w:t>
            </w:r>
            <w:r>
              <w:rPr>
                <w:rFonts w:hint="default" w:ascii="Times New Roman" w:hAnsi="Times New Roman" w:eastAsia="宋体" w:cs="Times New Roman"/>
                <w:color w:val="0070C0"/>
                <w:sz w:val="24"/>
                <w:szCs w:val="24"/>
                <w:lang w:val="en-US" w:eastAsia="zh-CN"/>
              </w:rPr>
              <w:t>）、二氧化氮（NO</w:t>
            </w:r>
            <w:r>
              <w:rPr>
                <w:rFonts w:hint="default" w:ascii="Times New Roman" w:hAnsi="Times New Roman" w:eastAsia="宋体" w:cs="Times New Roman"/>
                <w:color w:val="0070C0"/>
                <w:sz w:val="24"/>
                <w:szCs w:val="24"/>
                <w:vertAlign w:val="subscript"/>
                <w:lang w:val="en-US" w:eastAsia="zh-CN"/>
              </w:rPr>
              <w:t>2</w:t>
            </w:r>
            <w:r>
              <w:rPr>
                <w:rFonts w:hint="default" w:ascii="Times New Roman" w:hAnsi="Times New Roman" w:eastAsia="宋体" w:cs="Times New Roman"/>
                <w:color w:val="0070C0"/>
                <w:sz w:val="24"/>
                <w:szCs w:val="24"/>
                <w:lang w:val="en-US" w:eastAsia="zh-CN"/>
              </w:rPr>
              <w:t>）浓度分别为35微克/立方米、51微克/立方米、6微克/立方米、27微克/立方米；一氧化碳浓度、臭氧浓度分别为0.8毫克/立方米、165微克/立方米。对照《环境空气质量标准》（GB 3095-2012）二级标准限值，臭氧未达要求。</w:t>
            </w:r>
          </w:p>
          <w:p w14:paraId="2471ECC0">
            <w:pPr>
              <w:spacing w:line="360" w:lineRule="auto"/>
              <w:ind w:firstLine="480" w:firstLineChars="200"/>
              <w:jc w:val="left"/>
              <w:rPr>
                <w:rFonts w:hint="default" w:ascii="Times New Roman" w:hAnsi="Times New Roman" w:eastAsia="宋体" w:cs="Times New Roman"/>
                <w:color w:val="0070C0"/>
                <w:sz w:val="24"/>
                <w:szCs w:val="24"/>
                <w:lang w:val="en-US" w:eastAsia="zh-CN"/>
              </w:rPr>
            </w:pPr>
            <w:r>
              <w:rPr>
                <w:rFonts w:hint="default" w:ascii="Times New Roman" w:hAnsi="Times New Roman" w:eastAsia="宋体" w:cs="Times New Roman"/>
                <w:bCs/>
                <w:color w:val="0070C0"/>
                <w:sz w:val="24"/>
                <w:lang w:val="en-US" w:eastAsia="zh-CN"/>
              </w:rPr>
              <w:t>针对所在区域的现状，根据《镇江市2024年大气污染防治工作计划》</w:t>
            </w:r>
            <w:r>
              <w:rPr>
                <w:rFonts w:hint="default" w:ascii="Times New Roman" w:hAnsi="Times New Roman" w:cs="Times New Roman"/>
                <w:bCs/>
                <w:color w:val="0070C0"/>
                <w:sz w:val="24"/>
                <w:lang w:val="en-US" w:eastAsia="zh-CN"/>
              </w:rPr>
              <w:t>，</w:t>
            </w:r>
            <w:r>
              <w:rPr>
                <w:rFonts w:hint="default" w:ascii="Times New Roman" w:hAnsi="Times New Roman" w:eastAsia="宋体" w:cs="Times New Roman"/>
                <w:bCs/>
                <w:color w:val="0070C0"/>
                <w:sz w:val="24"/>
                <w:lang w:val="en-US" w:eastAsia="zh-CN"/>
              </w:rPr>
              <w:t>“坚持源头治理、标本兼治，突出重点攻坚、靶向治污，以“减煤、汰后、控车、治污和抑尘”为工作重点，要求推进各项工作取得实效。坚持项目化减排，围绕产业结构调整、VOCs综合整治、重点行业专项整治等工作，全市推进治气重点工程项目534项”。通过上述大气污染防治工作的实施，预计大气环境质量状况可以得到逐步改善。</w:t>
            </w:r>
          </w:p>
          <w:p w14:paraId="6DC3528C">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right="0" w:firstLine="480" w:firstLineChars="200"/>
              <w:textAlignment w:val="auto"/>
              <w:outlineLvl w:val="9"/>
              <w:rPr>
                <w:rFonts w:hint="default" w:ascii="Times New Roman" w:hAnsi="Times New Roman" w:eastAsia="宋体" w:cs="Times New Roman"/>
                <w:color w:val="0070C0"/>
                <w:sz w:val="24"/>
                <w:szCs w:val="24"/>
                <w:lang w:val="en-US" w:eastAsia="zh-CN"/>
              </w:rPr>
            </w:pPr>
            <w:r>
              <w:rPr>
                <w:rFonts w:hint="default" w:ascii="Times New Roman" w:hAnsi="Times New Roman" w:eastAsia="宋体" w:cs="Times New Roman"/>
                <w:color w:val="0070C0"/>
                <w:sz w:val="24"/>
                <w:szCs w:val="24"/>
                <w:lang w:val="en-US" w:eastAsia="zh-CN"/>
              </w:rPr>
              <w:t>根据《2024年度镇江市生态环境状况公报》，2024年，全市地表水环境质量总体为优。列入《江苏省水污染防治工作计划》地表水环境质量考核的10个国考断面中，水质符合《地表水环境质量标准》（GB 3838-2002）优Ⅲ类断面比例为100%，优Ⅱ类断面比例为60%。省考45个断面中，优Ⅲ类断面比例为100%，优Ⅱ类断面比例为71.1%。与上年相比，国考断面优Ⅲ类断面占比持平，优Ⅱ类断面占比上升20个百分点。省考断面优Ⅲ类断面占比持平，优Ⅱ类断面占比上升24.4个百分点。</w:t>
            </w:r>
          </w:p>
          <w:p w14:paraId="18164A73">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right="0" w:firstLine="480" w:firstLineChars="200"/>
              <w:textAlignment w:val="auto"/>
              <w:outlineLvl w:val="9"/>
              <w:rPr>
                <w:rFonts w:hint="default" w:ascii="Times New Roman" w:hAnsi="Times New Roman" w:eastAsia="宋体" w:cs="Times New Roman"/>
                <w:color w:val="0070C0"/>
                <w:sz w:val="24"/>
                <w:szCs w:val="24"/>
                <w:lang w:val="en-US" w:eastAsia="zh-CN"/>
              </w:rPr>
            </w:pPr>
            <w:r>
              <w:rPr>
                <w:rFonts w:hint="default" w:ascii="Times New Roman" w:hAnsi="Times New Roman" w:eastAsia="宋体" w:cs="Times New Roman"/>
                <w:color w:val="0070C0"/>
                <w:sz w:val="24"/>
                <w:szCs w:val="24"/>
                <w:lang w:val="en-US" w:eastAsia="zh-CN"/>
              </w:rPr>
              <w:t>根据《2024年度镇江市生态环境状况公报》，2024年，全市1~4类功能区声环境昼间和夜间等效声级年均值均达到国家标准。与上年相比，1类功能区昼间和夜间等效声级均略有下降，2类、3类、4类功能区昼间和夜间等效声级均略有上升。根据《声环境质量标准》（GB 3096-2008）标准，镇江市1~4类功能区声环境昼间达标率分别为96.8%、100.0%、100.0%、100.0%，夜间达标率分别为80.6%、100.0%、91.7%、95.0%。与上年相比，1类功能区噪声昼间达标率上升9.3个百分点，夜间达标率下降0.7个百分点；2类功能区昼间和夜间达标率均上升4.2个百分点；3类功能区昼间达标率持平，夜间达标率下降2.7个百分点；4类功能区昼间达标率持平，夜间达标率下降5.0个百分点。根据《环境噪声监测技术规范 城市声环境常规监测》（HJ 640-2012），全市道路交通噪声强度等级为一级，处于“好”水平。其中昼间平均等效声级为63.2分贝，与上年相比，下降0.6分贝。</w:t>
            </w:r>
          </w:p>
          <w:p w14:paraId="04336130">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综上，</w:t>
            </w:r>
            <w:r>
              <w:rPr>
                <w:rFonts w:hint="default" w:ascii="Times New Roman" w:hAnsi="Times New Roman" w:eastAsia="宋体" w:cs="Times New Roman"/>
                <w:color w:val="auto"/>
                <w:kern w:val="0"/>
                <w:sz w:val="24"/>
                <w:szCs w:val="24"/>
                <w:highlight w:val="none"/>
                <w:lang w:val="en-US" w:eastAsia="zh-CN" w:bidi="ar"/>
              </w:rPr>
              <w:t>本项目运营过程中会产生一定的污染物，采取相应的污染防治措施后，各类污染物的排放一般不会对周围环境造成不良影响，不会降低当地环境质量。</w:t>
            </w:r>
          </w:p>
          <w:p w14:paraId="3476218F">
            <w:pPr>
              <w:snapToGrid w:val="0"/>
              <w:spacing w:line="360" w:lineRule="auto"/>
              <w:ind w:firstLine="482" w:firstLineChars="200"/>
              <w:rPr>
                <w:b/>
                <w:bCs/>
                <w:color w:val="auto"/>
                <w:sz w:val="24"/>
                <w:highlight w:val="none"/>
              </w:rPr>
            </w:pPr>
            <w:r>
              <w:rPr>
                <w:b/>
                <w:bCs/>
                <w:color w:val="auto"/>
                <w:sz w:val="24"/>
                <w:highlight w:val="none"/>
              </w:rPr>
              <w:t>（3）资源利用上线</w:t>
            </w:r>
          </w:p>
          <w:p w14:paraId="1AD2C528">
            <w:pPr>
              <w:snapToGrid w:val="0"/>
              <w:spacing w:line="360" w:lineRule="auto"/>
              <w:ind w:firstLine="480" w:firstLineChars="200"/>
              <w:rPr>
                <w:rFonts w:hint="eastAsia"/>
                <w:color w:val="auto"/>
                <w:sz w:val="24"/>
                <w:highlight w:val="none"/>
              </w:rPr>
            </w:pPr>
            <w:r>
              <w:rPr>
                <w:rFonts w:hint="eastAsia"/>
                <w:color w:val="auto"/>
                <w:sz w:val="24"/>
                <w:highlight w:val="none"/>
              </w:rPr>
              <w:t>土地资源方面：本项目购买</w:t>
            </w:r>
            <w:r>
              <w:rPr>
                <w:rFonts w:hint="eastAsia"/>
                <w:color w:val="auto"/>
                <w:sz w:val="24"/>
                <w:highlight w:val="none"/>
                <w:lang w:val="en-US" w:eastAsia="zh-CN"/>
              </w:rPr>
              <w:t>句容郭庄氢能源主题产业园</w:t>
            </w:r>
            <w:r>
              <w:rPr>
                <w:rFonts w:hint="eastAsia"/>
                <w:color w:val="auto"/>
                <w:sz w:val="24"/>
                <w:highlight w:val="none"/>
              </w:rPr>
              <w:t>已建厂房，不新增用地；</w:t>
            </w:r>
          </w:p>
          <w:p w14:paraId="1F7E96BF">
            <w:pPr>
              <w:snapToGrid w:val="0"/>
              <w:spacing w:line="360" w:lineRule="auto"/>
              <w:ind w:firstLine="480" w:firstLineChars="200"/>
              <w:rPr>
                <w:rFonts w:hint="eastAsia"/>
                <w:color w:val="auto"/>
                <w:sz w:val="24"/>
                <w:highlight w:val="none"/>
              </w:rPr>
            </w:pPr>
            <w:r>
              <w:rPr>
                <w:rFonts w:hint="eastAsia"/>
                <w:color w:val="auto"/>
                <w:sz w:val="24"/>
                <w:highlight w:val="none"/>
              </w:rPr>
              <w:t>水资源方面：项目用水为市政自来水，使用量较小，当地自来水厂能够满足本项目的新鲜水使用要求；</w:t>
            </w:r>
          </w:p>
          <w:p w14:paraId="0877C7EF">
            <w:pPr>
              <w:snapToGrid w:val="0"/>
              <w:spacing w:line="360" w:lineRule="auto"/>
              <w:ind w:firstLine="480" w:firstLineChars="200"/>
              <w:rPr>
                <w:rFonts w:hint="eastAsia"/>
                <w:color w:val="auto"/>
                <w:sz w:val="24"/>
                <w:highlight w:val="none"/>
              </w:rPr>
            </w:pPr>
            <w:r>
              <w:rPr>
                <w:rFonts w:hint="eastAsia"/>
                <w:color w:val="auto"/>
                <w:sz w:val="24"/>
                <w:highlight w:val="none"/>
              </w:rPr>
              <w:t>能源方面：项目生产设备主要利用电能，为清洁能源。当地电网能够满足本项目用电量；</w:t>
            </w:r>
          </w:p>
          <w:p w14:paraId="7AB7F83F">
            <w:pPr>
              <w:snapToGrid w:val="0"/>
              <w:spacing w:line="360" w:lineRule="auto"/>
              <w:ind w:firstLine="480" w:firstLineChars="200"/>
              <w:rPr>
                <w:rFonts w:hint="eastAsia"/>
                <w:color w:val="auto"/>
                <w:sz w:val="24"/>
                <w:highlight w:val="none"/>
              </w:rPr>
            </w:pPr>
            <w:r>
              <w:rPr>
                <w:rFonts w:hint="eastAsia"/>
                <w:color w:val="auto"/>
                <w:sz w:val="24"/>
                <w:highlight w:val="none"/>
              </w:rPr>
              <w:t>由此可知，土地、用水、能源均能满足项目需求，不突破当地资源利用上线。</w:t>
            </w:r>
          </w:p>
          <w:p w14:paraId="6E2047A9">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b/>
                <w:bCs/>
                <w:color w:val="auto"/>
                <w:sz w:val="24"/>
                <w:szCs w:val="24"/>
                <w:highlight w:val="none"/>
              </w:rPr>
              <w:t>（4）环境准入负面清单</w:t>
            </w:r>
          </w:p>
          <w:p w14:paraId="737F87B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70C0"/>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对照</w:t>
            </w:r>
            <w:r>
              <w:rPr>
                <w:rFonts w:hint="default" w:ascii="Times New Roman" w:hAnsi="Times New Roman" w:eastAsia="宋体" w:cs="Times New Roman"/>
                <w:color w:val="0070C0"/>
                <w:kern w:val="0"/>
                <w:sz w:val="24"/>
                <w:szCs w:val="24"/>
                <w:lang w:val="en-US" w:eastAsia="zh-CN" w:bidi="ar"/>
              </w:rPr>
              <w:t>《市场准入负面清单》（202</w:t>
            </w:r>
            <w:r>
              <w:rPr>
                <w:rFonts w:hint="default" w:ascii="Times New Roman" w:hAnsi="Times New Roman" w:cs="Times New Roman"/>
                <w:color w:val="0070C0"/>
                <w:kern w:val="0"/>
                <w:sz w:val="24"/>
                <w:szCs w:val="24"/>
                <w:lang w:val="en-US" w:eastAsia="zh-CN" w:bidi="ar"/>
              </w:rPr>
              <w:t>5</w:t>
            </w:r>
            <w:r>
              <w:rPr>
                <w:rFonts w:hint="default" w:ascii="Times New Roman" w:hAnsi="Times New Roman" w:eastAsia="宋体" w:cs="Times New Roman"/>
                <w:color w:val="0070C0"/>
                <w:kern w:val="0"/>
                <w:sz w:val="24"/>
                <w:szCs w:val="24"/>
                <w:lang w:val="en-US" w:eastAsia="zh-CN" w:bidi="ar"/>
              </w:rPr>
              <w:t>年版）</w:t>
            </w:r>
            <w:r>
              <w:rPr>
                <w:rFonts w:hint="default" w:ascii="Times New Roman" w:hAnsi="Times New Roman" w:cs="Times New Roman"/>
                <w:color w:val="0070C0"/>
                <w:kern w:val="0"/>
                <w:sz w:val="24"/>
                <w:szCs w:val="24"/>
                <w:lang w:val="en-US" w:eastAsia="zh-CN" w:bidi="ar"/>
              </w:rPr>
              <w:t>、《产业结构调整指导目录（2024年本）》</w:t>
            </w:r>
            <w:r>
              <w:rPr>
                <w:rFonts w:hint="default" w:ascii="Times New Roman" w:hAnsi="Times New Roman" w:eastAsia="宋体" w:cs="Times New Roman"/>
                <w:color w:val="auto"/>
                <w:kern w:val="0"/>
                <w:sz w:val="24"/>
                <w:szCs w:val="24"/>
                <w:lang w:val="en-US" w:eastAsia="zh-CN" w:bidi="ar"/>
              </w:rPr>
              <w:t>等相关政策，本项目为</w:t>
            </w:r>
            <w:r>
              <w:rPr>
                <w:rFonts w:hint="default" w:ascii="Times New Roman" w:hAnsi="Times New Roman" w:cs="Times New Roman" w:eastAsiaTheme="minorEastAsia"/>
                <w:color w:val="auto"/>
                <w:sz w:val="24"/>
                <w:highlight w:val="none"/>
                <w:lang w:eastAsia="zh-CN"/>
              </w:rPr>
              <w:t>C3052光学玻璃制造</w:t>
            </w:r>
            <w:r>
              <w:rPr>
                <w:rFonts w:hint="default" w:ascii="Times New Roman" w:hAnsi="Times New Roman" w:eastAsia="宋体" w:cs="Times New Roman"/>
                <w:color w:val="auto"/>
                <w:kern w:val="0"/>
                <w:sz w:val="24"/>
                <w:szCs w:val="24"/>
                <w:lang w:val="en-US" w:eastAsia="zh-CN" w:bidi="ar"/>
              </w:rPr>
              <w:t>，不属于禁止准入类和限制准入类项目。对照《句容市引导不再承接产业目录》（2019年版），本项目位于句容市郭庄镇，属于重点开发区域，对照目录本项目不在重点开发区域引导不再承接产业目录中，本项目不属于不再承接产业项目内。</w:t>
            </w:r>
            <w:r>
              <w:rPr>
                <w:rFonts w:hint="default" w:ascii="Times New Roman" w:hAnsi="Times New Roman" w:eastAsia="宋体" w:cs="Times New Roman"/>
                <w:color w:val="0070C0"/>
                <w:kern w:val="0"/>
                <w:sz w:val="24"/>
                <w:szCs w:val="24"/>
                <w:lang w:val="en-US" w:eastAsia="zh-CN" w:bidi="ar"/>
              </w:rPr>
              <w:t>根据</w:t>
            </w:r>
            <w:r>
              <w:rPr>
                <w:rFonts w:hint="default" w:ascii="Times New Roman" w:hAnsi="Times New Roman" w:cs="Times New Roman"/>
                <w:color w:val="0070C0"/>
                <w:kern w:val="0"/>
                <w:sz w:val="24"/>
                <w:szCs w:val="24"/>
                <w:lang w:val="en-US" w:eastAsia="zh-CN" w:bidi="ar"/>
              </w:rPr>
              <w:t>《江苏省句容高新技术产业开发区（筹）开发建设规划（2024-2035）环境影响报告书》</w:t>
            </w:r>
            <w:r>
              <w:rPr>
                <w:rFonts w:hint="default" w:ascii="Times New Roman" w:hAnsi="Times New Roman" w:eastAsia="宋体" w:cs="Times New Roman"/>
                <w:color w:val="0070C0"/>
                <w:kern w:val="0"/>
                <w:sz w:val="24"/>
                <w:szCs w:val="24"/>
                <w:lang w:val="en-US" w:eastAsia="zh-CN" w:bidi="ar"/>
              </w:rPr>
              <w:t>生态环境准入清单，本项目不属于其中禁止引入类项目，详见下表。</w:t>
            </w:r>
          </w:p>
          <w:p w14:paraId="413CAFEC">
            <w:pPr>
              <w:ind w:firstLine="482"/>
              <w:jc w:val="center"/>
              <w:rPr>
                <w:rFonts w:hint="default" w:ascii="Times New Roman" w:hAnsi="Times New Roman" w:cs="Times New Roman"/>
                <w:b/>
                <w:sz w:val="24"/>
                <w:szCs w:val="28"/>
              </w:rPr>
            </w:pPr>
            <w:r>
              <w:rPr>
                <w:rFonts w:hint="default" w:ascii="Times New Roman" w:hAnsi="Times New Roman" w:cs="Times New Roman"/>
                <w:b/>
                <w:sz w:val="24"/>
                <w:szCs w:val="28"/>
              </w:rPr>
              <w:t>表</w:t>
            </w:r>
            <w:r>
              <w:rPr>
                <w:rFonts w:hint="default" w:ascii="Times New Roman" w:hAnsi="Times New Roman" w:cs="Times New Roman"/>
                <w:b/>
                <w:sz w:val="24"/>
                <w:szCs w:val="28"/>
                <w:lang w:val="en-US" w:eastAsia="zh-CN"/>
              </w:rPr>
              <w:t>1</w:t>
            </w:r>
            <w:r>
              <w:rPr>
                <w:rFonts w:hint="default" w:ascii="Times New Roman" w:hAnsi="Times New Roman" w:cs="Times New Roman"/>
                <w:b/>
                <w:sz w:val="24"/>
                <w:szCs w:val="28"/>
              </w:rPr>
              <w:t>-5 句容高新区生态环境准</w:t>
            </w:r>
            <w:r>
              <w:rPr>
                <w:rFonts w:hint="default" w:ascii="Times New Roman" w:hAnsi="Times New Roman" w:cs="Times New Roman"/>
              </w:rPr>
              <w:commentReference w:id="5"/>
            </w:r>
            <w:r>
              <w:rPr>
                <w:rFonts w:hint="default" w:ascii="Times New Roman" w:hAnsi="Times New Roman" w:cs="Times New Roman"/>
                <w:b/>
                <w:sz w:val="24"/>
                <w:szCs w:val="28"/>
              </w:rPr>
              <w:t>入清单一览表</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681"/>
              <w:gridCol w:w="4491"/>
              <w:gridCol w:w="1677"/>
              <w:gridCol w:w="723"/>
            </w:tblGrid>
            <w:tr w14:paraId="4BF60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52" w:type="pct"/>
                  <w:gridSpan w:val="2"/>
                  <w:tcBorders>
                    <w:tl2br w:val="nil"/>
                    <w:tr2bl w:val="nil"/>
                  </w:tcBorders>
                  <w:vAlign w:val="center"/>
                </w:tcPr>
                <w:p w14:paraId="48B0745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0070C0"/>
                      <w:kern w:val="0"/>
                      <w:sz w:val="21"/>
                      <w:szCs w:val="21"/>
                    </w:rPr>
                  </w:pPr>
                  <w:r>
                    <w:rPr>
                      <w:rFonts w:hint="default" w:ascii="Times New Roman" w:hAnsi="Times New Roman" w:cs="Times New Roman"/>
                      <w:b/>
                      <w:color w:val="0070C0"/>
                      <w:kern w:val="0"/>
                      <w:sz w:val="21"/>
                      <w:szCs w:val="21"/>
                    </w:rPr>
                    <w:t>类别</w:t>
                  </w:r>
                </w:p>
              </w:tc>
              <w:tc>
                <w:tcPr>
                  <w:tcW w:w="2702" w:type="pct"/>
                  <w:tcBorders>
                    <w:tl2br w:val="nil"/>
                    <w:tr2bl w:val="nil"/>
                  </w:tcBorders>
                  <w:vAlign w:val="center"/>
                </w:tcPr>
                <w:p w14:paraId="529C2D49">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0070C0"/>
                      <w:kern w:val="0"/>
                      <w:sz w:val="21"/>
                      <w:szCs w:val="21"/>
                    </w:rPr>
                  </w:pPr>
                  <w:r>
                    <w:rPr>
                      <w:rFonts w:hint="default" w:ascii="Times New Roman" w:hAnsi="Times New Roman" w:cs="Times New Roman"/>
                      <w:b/>
                      <w:color w:val="0070C0"/>
                      <w:kern w:val="0"/>
                      <w:sz w:val="21"/>
                      <w:szCs w:val="21"/>
                    </w:rPr>
                    <w:t>准入清单、控制要求</w:t>
                  </w:r>
                </w:p>
              </w:tc>
              <w:tc>
                <w:tcPr>
                  <w:tcW w:w="1009" w:type="pct"/>
                  <w:tcBorders>
                    <w:tl2br w:val="nil"/>
                    <w:tr2bl w:val="nil"/>
                  </w:tcBorders>
                  <w:vAlign w:val="center"/>
                </w:tcPr>
                <w:p w14:paraId="2ADE75C9">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0070C0"/>
                      <w:kern w:val="0"/>
                      <w:sz w:val="21"/>
                      <w:szCs w:val="21"/>
                      <w:lang w:val="en-US" w:eastAsia="zh-CN"/>
                    </w:rPr>
                  </w:pPr>
                  <w:r>
                    <w:rPr>
                      <w:rFonts w:hint="default" w:ascii="Times New Roman" w:hAnsi="Times New Roman" w:cs="Times New Roman"/>
                      <w:b/>
                      <w:color w:val="0070C0"/>
                      <w:kern w:val="0"/>
                      <w:sz w:val="21"/>
                      <w:szCs w:val="21"/>
                      <w:lang w:val="en-US" w:eastAsia="zh-CN"/>
                    </w:rPr>
                    <w:t>本项目情况</w:t>
                  </w:r>
                </w:p>
              </w:tc>
              <w:tc>
                <w:tcPr>
                  <w:tcW w:w="435" w:type="pct"/>
                  <w:tcBorders>
                    <w:tl2br w:val="nil"/>
                    <w:tr2bl w:val="nil"/>
                  </w:tcBorders>
                  <w:vAlign w:val="center"/>
                </w:tcPr>
                <w:p w14:paraId="1CCFD0CC">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0070C0"/>
                      <w:kern w:val="0"/>
                      <w:sz w:val="21"/>
                      <w:szCs w:val="21"/>
                      <w:lang w:val="en-US" w:eastAsia="zh-CN"/>
                    </w:rPr>
                  </w:pPr>
                  <w:r>
                    <w:rPr>
                      <w:rFonts w:hint="default" w:ascii="Times New Roman" w:hAnsi="Times New Roman" w:eastAsia="宋体" w:cs="Times New Roman"/>
                      <w:b/>
                      <w:bCs/>
                      <w:color w:val="0070C0"/>
                      <w:spacing w:val="0"/>
                      <w:kern w:val="0"/>
                      <w:sz w:val="21"/>
                      <w:szCs w:val="21"/>
                    </w:rPr>
                    <w:t>相符性</w:t>
                  </w:r>
                </w:p>
              </w:tc>
            </w:tr>
            <w:tr w14:paraId="5E176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pct"/>
                  <w:gridSpan w:val="2"/>
                  <w:tcBorders>
                    <w:tl2br w:val="nil"/>
                    <w:tr2bl w:val="nil"/>
                  </w:tcBorders>
                  <w:vAlign w:val="center"/>
                </w:tcPr>
                <w:p w14:paraId="35A79778">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0070C0"/>
                      <w:kern w:val="0"/>
                      <w:sz w:val="21"/>
                      <w:szCs w:val="21"/>
                    </w:rPr>
                  </w:pPr>
                  <w:r>
                    <w:rPr>
                      <w:rFonts w:hint="default" w:ascii="Times New Roman" w:hAnsi="Times New Roman" w:cs="Times New Roman"/>
                      <w:b/>
                      <w:color w:val="0070C0"/>
                      <w:kern w:val="0"/>
                      <w:sz w:val="21"/>
                      <w:szCs w:val="21"/>
                    </w:rPr>
                    <w:t>空间布局约束</w:t>
                  </w:r>
                </w:p>
              </w:tc>
              <w:tc>
                <w:tcPr>
                  <w:tcW w:w="2702" w:type="pct"/>
                  <w:tcBorders>
                    <w:tl2br w:val="nil"/>
                    <w:tr2bl w:val="nil"/>
                  </w:tcBorders>
                  <w:vAlign w:val="center"/>
                </w:tcPr>
                <w:p w14:paraId="77C949B5">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1、提高环境准入门槛，引进项目应符合环境准入负面清单，落实入区企业的“三废”污染减缓措施，设置足够的防护距离，建立健全区域风险防范体系；禁止引入不能满足环评设置的环境防护距离，或环评事故风险防范和应急措施难以落实到位的项目；</w:t>
                  </w:r>
                </w:p>
                <w:p w14:paraId="7ABB721C">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b/>
                      <w:color w:val="0070C0"/>
                      <w:kern w:val="0"/>
                      <w:sz w:val="21"/>
                      <w:szCs w:val="21"/>
                    </w:rPr>
                  </w:pPr>
                  <w:r>
                    <w:rPr>
                      <w:rFonts w:hint="default" w:ascii="Times New Roman" w:hAnsi="Times New Roman" w:cs="Times New Roman"/>
                      <w:color w:val="0070C0"/>
                      <w:kern w:val="0"/>
                      <w:sz w:val="21"/>
                      <w:szCs w:val="21"/>
                    </w:rPr>
                    <w:t>2、邻近商住区的未开发工业用地，设置不小于50m及以上的、以道路+防护绿化为主要形式的空间隔离带，100m范围内不应布置因有机废气、酸性气体、恶臭等异味可能造成较大影响的项目和危化品仓库。</w:t>
                  </w:r>
                </w:p>
              </w:tc>
              <w:tc>
                <w:tcPr>
                  <w:tcW w:w="1009" w:type="pct"/>
                  <w:tcBorders>
                    <w:tl2br w:val="nil"/>
                    <w:tr2bl w:val="nil"/>
                  </w:tcBorders>
                  <w:vAlign w:val="center"/>
                </w:tcPr>
                <w:p w14:paraId="7A342CE7">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color w:val="0070C0"/>
                      <w:kern w:val="0"/>
                      <w:sz w:val="21"/>
                      <w:szCs w:val="21"/>
                      <w:lang w:val="en-US" w:eastAsia="zh-CN"/>
                    </w:rPr>
                  </w:pPr>
                  <w:r>
                    <w:rPr>
                      <w:rFonts w:hint="default" w:ascii="Times New Roman" w:hAnsi="Times New Roman" w:cs="Times New Roman"/>
                      <w:color w:val="0070C0"/>
                      <w:kern w:val="0"/>
                      <w:sz w:val="21"/>
                      <w:szCs w:val="21"/>
                      <w:lang w:val="en-US" w:eastAsia="zh-CN"/>
                    </w:rPr>
                    <w:t>本项目符合相关规划，环境风险可防控，项目周边无商住区。</w:t>
                  </w:r>
                </w:p>
              </w:tc>
              <w:tc>
                <w:tcPr>
                  <w:tcW w:w="435" w:type="pct"/>
                  <w:tcBorders>
                    <w:tl2br w:val="nil"/>
                    <w:tr2bl w:val="nil"/>
                  </w:tcBorders>
                  <w:vAlign w:val="center"/>
                </w:tcPr>
                <w:p w14:paraId="77A8D557">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color w:val="0070C0"/>
                      <w:kern w:val="0"/>
                      <w:sz w:val="21"/>
                      <w:szCs w:val="21"/>
                      <w:lang w:val="en-US" w:eastAsia="zh-CN"/>
                    </w:rPr>
                  </w:pPr>
                  <w:r>
                    <w:rPr>
                      <w:rFonts w:hint="default" w:ascii="Times New Roman" w:hAnsi="Times New Roman" w:cs="Times New Roman"/>
                      <w:color w:val="0070C0"/>
                      <w:kern w:val="0"/>
                      <w:sz w:val="21"/>
                      <w:szCs w:val="21"/>
                      <w:lang w:val="en-US" w:eastAsia="zh-CN"/>
                    </w:rPr>
                    <w:t>相符</w:t>
                  </w:r>
                </w:p>
              </w:tc>
            </w:tr>
            <w:tr w14:paraId="7AB1C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pct"/>
                  <w:gridSpan w:val="2"/>
                  <w:tcBorders>
                    <w:tl2br w:val="nil"/>
                    <w:tr2bl w:val="nil"/>
                  </w:tcBorders>
                  <w:vAlign w:val="center"/>
                </w:tcPr>
                <w:p w14:paraId="7749E118">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0070C0"/>
                      <w:kern w:val="0"/>
                      <w:sz w:val="21"/>
                      <w:szCs w:val="21"/>
                    </w:rPr>
                  </w:pPr>
                  <w:r>
                    <w:rPr>
                      <w:rFonts w:hint="default" w:ascii="Times New Roman" w:hAnsi="Times New Roman" w:cs="Times New Roman"/>
                      <w:b/>
                      <w:color w:val="0070C0"/>
                      <w:kern w:val="0"/>
                      <w:sz w:val="21"/>
                      <w:szCs w:val="21"/>
                    </w:rPr>
                    <w:t>污染物排放管控</w:t>
                  </w:r>
                </w:p>
              </w:tc>
              <w:tc>
                <w:tcPr>
                  <w:tcW w:w="2702" w:type="pct"/>
                  <w:tcBorders>
                    <w:tl2br w:val="nil"/>
                    <w:tr2bl w:val="nil"/>
                  </w:tcBorders>
                  <w:vAlign w:val="center"/>
                </w:tcPr>
                <w:p w14:paraId="20549070">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规划</w:t>
                  </w:r>
                  <w:r>
                    <w:rPr>
                      <w:rFonts w:hint="default" w:ascii="Times New Roman" w:hAnsi="Times New Roman" w:cs="Times New Roman"/>
                      <w:bCs/>
                      <w:color w:val="0070C0"/>
                      <w:kern w:val="0"/>
                      <w:sz w:val="21"/>
                      <w:szCs w:val="21"/>
                    </w:rPr>
                    <w:t>期</w:t>
                  </w:r>
                  <w:r>
                    <w:rPr>
                      <w:rFonts w:hint="default" w:ascii="Times New Roman" w:hAnsi="Times New Roman" w:cs="Times New Roman"/>
                      <w:b/>
                      <w:color w:val="0070C0"/>
                      <w:kern w:val="0"/>
                      <w:sz w:val="21"/>
                      <w:szCs w:val="21"/>
                    </w:rPr>
                    <w:t>大气污染物</w:t>
                  </w:r>
                  <w:r>
                    <w:rPr>
                      <w:rFonts w:hint="default" w:ascii="Times New Roman" w:hAnsi="Times New Roman" w:cs="Times New Roman"/>
                      <w:color w:val="0070C0"/>
                      <w:kern w:val="0"/>
                      <w:sz w:val="21"/>
                      <w:szCs w:val="21"/>
                    </w:rPr>
                    <w:t>外排总量：二氧化硫1.718t/a、氮氧化物3.387t/a、颗粒物5.587t/a、VOCs18.381t/a、HCl0.99t/a；</w:t>
                  </w:r>
                </w:p>
                <w:p w14:paraId="32B94E70">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0070C0"/>
                      <w:kern w:val="0"/>
                      <w:sz w:val="21"/>
                      <w:szCs w:val="21"/>
                    </w:rPr>
                  </w:pPr>
                  <w:r>
                    <w:rPr>
                      <w:rFonts w:hint="default" w:ascii="Times New Roman" w:hAnsi="Times New Roman" w:cs="Times New Roman"/>
                      <w:b/>
                      <w:bCs/>
                      <w:color w:val="0070C0"/>
                      <w:kern w:val="0"/>
                      <w:sz w:val="21"/>
                      <w:szCs w:val="21"/>
                    </w:rPr>
                    <w:t>水污染物排放量</w:t>
                  </w:r>
                  <w:r>
                    <w:rPr>
                      <w:rFonts w:hint="default" w:ascii="Times New Roman" w:hAnsi="Times New Roman" w:cs="Times New Roman"/>
                      <w:color w:val="0070C0"/>
                      <w:kern w:val="0"/>
                      <w:sz w:val="21"/>
                      <w:szCs w:val="21"/>
                    </w:rPr>
                    <w:t>（外排量）：废水量200.92万吨/年，化学需氧量100.46吨/年，氨氮8.03吨/年，总磷1.01吨/年，总氮24.1吨/年。</w:t>
                  </w:r>
                </w:p>
              </w:tc>
              <w:tc>
                <w:tcPr>
                  <w:tcW w:w="1009" w:type="pct"/>
                  <w:tcBorders>
                    <w:tl2br w:val="nil"/>
                    <w:tr2bl w:val="nil"/>
                  </w:tcBorders>
                  <w:vAlign w:val="center"/>
                </w:tcPr>
                <w:p w14:paraId="304D8819">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b/>
                      <w:bCs/>
                      <w:color w:val="0070C0"/>
                      <w:kern w:val="0"/>
                      <w:sz w:val="21"/>
                      <w:szCs w:val="21"/>
                    </w:rPr>
                  </w:pPr>
                  <w:r>
                    <w:rPr>
                      <w:rFonts w:hint="default" w:ascii="Times New Roman" w:hAnsi="Times New Roman" w:eastAsia="宋体" w:cs="Times New Roman"/>
                      <w:color w:val="0070C0"/>
                      <w:spacing w:val="0"/>
                      <w:kern w:val="0"/>
                      <w:sz w:val="21"/>
                      <w:szCs w:val="21"/>
                    </w:rPr>
                    <w:t>本项目废气及废水污染物均实行总量控制，并取得句容市生态环境局污染物排放总量指标；本项目建设不突破生态环境承载力。</w:t>
                  </w:r>
                </w:p>
              </w:tc>
              <w:tc>
                <w:tcPr>
                  <w:tcW w:w="435" w:type="pct"/>
                  <w:tcBorders>
                    <w:tl2br w:val="nil"/>
                    <w:tr2bl w:val="nil"/>
                  </w:tcBorders>
                  <w:vAlign w:val="center"/>
                </w:tcPr>
                <w:p w14:paraId="4C466A09">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b/>
                      <w:bCs/>
                      <w:color w:val="0070C0"/>
                      <w:kern w:val="0"/>
                      <w:sz w:val="21"/>
                      <w:szCs w:val="21"/>
                    </w:rPr>
                  </w:pPr>
                  <w:r>
                    <w:rPr>
                      <w:rFonts w:hint="default" w:ascii="Times New Roman" w:hAnsi="Times New Roman" w:cs="Times New Roman"/>
                      <w:color w:val="0070C0"/>
                      <w:kern w:val="0"/>
                      <w:sz w:val="21"/>
                      <w:szCs w:val="21"/>
                      <w:lang w:val="en-US" w:eastAsia="zh-CN"/>
                    </w:rPr>
                    <w:t>相符</w:t>
                  </w:r>
                </w:p>
              </w:tc>
            </w:tr>
            <w:tr w14:paraId="420B4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Merge w:val="restart"/>
                  <w:tcBorders>
                    <w:tl2br w:val="nil"/>
                    <w:tr2bl w:val="nil"/>
                  </w:tcBorders>
                  <w:vAlign w:val="center"/>
                </w:tcPr>
                <w:p w14:paraId="3EB6EC2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0070C0"/>
                      <w:kern w:val="0"/>
                      <w:sz w:val="21"/>
                      <w:szCs w:val="21"/>
                    </w:rPr>
                  </w:pPr>
                  <w:r>
                    <w:rPr>
                      <w:rFonts w:hint="default" w:ascii="Times New Roman" w:hAnsi="Times New Roman" w:cs="Times New Roman"/>
                      <w:b/>
                      <w:color w:val="0070C0"/>
                      <w:kern w:val="0"/>
                      <w:sz w:val="21"/>
                      <w:szCs w:val="21"/>
                    </w:rPr>
                    <w:t>产业准入要求</w:t>
                  </w:r>
                </w:p>
              </w:tc>
              <w:tc>
                <w:tcPr>
                  <w:tcW w:w="409" w:type="pct"/>
                  <w:tcBorders>
                    <w:tl2br w:val="nil"/>
                    <w:tr2bl w:val="nil"/>
                  </w:tcBorders>
                  <w:vAlign w:val="center"/>
                </w:tcPr>
                <w:p w14:paraId="04554A1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产业定位</w:t>
                  </w:r>
                </w:p>
              </w:tc>
              <w:tc>
                <w:tcPr>
                  <w:tcW w:w="2702" w:type="pct"/>
                  <w:tcBorders>
                    <w:tl2br w:val="nil"/>
                    <w:tr2bl w:val="nil"/>
                  </w:tcBorders>
                  <w:vAlign w:val="center"/>
                </w:tcPr>
                <w:p w14:paraId="5F7CC589">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以新能源装备、新型电力装备、机电制造为主导产业；推进现代物流、科技服务等现代服务业发展，推动先进制造业与现代服务业深度融合。</w:t>
                  </w:r>
                </w:p>
              </w:tc>
              <w:tc>
                <w:tcPr>
                  <w:tcW w:w="1009" w:type="pct"/>
                  <w:vMerge w:val="restart"/>
                  <w:tcBorders>
                    <w:tl2br w:val="nil"/>
                    <w:tr2bl w:val="nil"/>
                  </w:tcBorders>
                  <w:vAlign w:val="center"/>
                </w:tcPr>
                <w:p w14:paraId="7146EACD">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color w:val="0070C0"/>
                      <w:kern w:val="0"/>
                      <w:sz w:val="21"/>
                      <w:szCs w:val="21"/>
                      <w:lang w:eastAsia="zh-CN"/>
                    </w:rPr>
                  </w:pPr>
                  <w:r>
                    <w:rPr>
                      <w:rFonts w:hint="default" w:ascii="Times New Roman" w:hAnsi="Times New Roman" w:cs="Times New Roman"/>
                      <w:color w:val="0070C0"/>
                      <w:kern w:val="0"/>
                      <w:sz w:val="21"/>
                      <w:szCs w:val="21"/>
                    </w:rPr>
                    <w:t>本项目属于光学元器件项目制造，不属于禁止建设的类别</w:t>
                  </w:r>
                  <w:r>
                    <w:rPr>
                      <w:rFonts w:hint="default" w:ascii="Times New Roman" w:hAnsi="Times New Roman" w:cs="Times New Roman"/>
                      <w:color w:val="0070C0"/>
                      <w:kern w:val="0"/>
                      <w:sz w:val="21"/>
                      <w:szCs w:val="21"/>
                      <w:lang w:eastAsia="zh-CN"/>
                    </w:rPr>
                    <w:t>。</w:t>
                  </w:r>
                </w:p>
              </w:tc>
              <w:tc>
                <w:tcPr>
                  <w:tcW w:w="435" w:type="pct"/>
                  <w:tcBorders>
                    <w:tl2br w:val="nil"/>
                    <w:tr2bl w:val="nil"/>
                  </w:tcBorders>
                  <w:vAlign w:val="center"/>
                </w:tcPr>
                <w:p w14:paraId="544E4C85">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lang w:val="en-US" w:eastAsia="zh-CN"/>
                    </w:rPr>
                    <w:t>相符</w:t>
                  </w:r>
                </w:p>
              </w:tc>
            </w:tr>
            <w:tr w14:paraId="53EA9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Merge w:val="continue"/>
                  <w:tcBorders>
                    <w:tl2br w:val="nil"/>
                    <w:tr2bl w:val="nil"/>
                  </w:tcBorders>
                  <w:vAlign w:val="center"/>
                </w:tcPr>
                <w:p w14:paraId="4AB98E93">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70C0"/>
                      <w:kern w:val="0"/>
                      <w:sz w:val="21"/>
                      <w:szCs w:val="21"/>
                    </w:rPr>
                  </w:pPr>
                </w:p>
              </w:tc>
              <w:tc>
                <w:tcPr>
                  <w:tcW w:w="409" w:type="pct"/>
                  <w:tcBorders>
                    <w:tl2br w:val="nil"/>
                    <w:tr2bl w:val="nil"/>
                  </w:tcBorders>
                  <w:vAlign w:val="center"/>
                </w:tcPr>
                <w:p w14:paraId="30A91EF0">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优先引入</w:t>
                  </w:r>
                </w:p>
              </w:tc>
              <w:tc>
                <w:tcPr>
                  <w:tcW w:w="2702" w:type="pct"/>
                  <w:tcBorders>
                    <w:tl2br w:val="nil"/>
                    <w:tr2bl w:val="nil"/>
                  </w:tcBorders>
                  <w:vAlign w:val="center"/>
                </w:tcPr>
                <w:p w14:paraId="566C47A8">
                  <w:pPr>
                    <w:keepNext w:val="0"/>
                    <w:keepLines w:val="0"/>
                    <w:pageBreakBefore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1、符合产业定位且属于国家发展和改革委《产业结构调整指导目录》、《〈中国制造2025〉重点领域技术路线图（2015年版）》等产业政策文件中属于鼓励类和重点发展行业中的产品、工艺和技术；</w:t>
                  </w:r>
                </w:p>
                <w:p w14:paraId="7E64922A">
                  <w:pPr>
                    <w:keepNext w:val="0"/>
                    <w:keepLines w:val="0"/>
                    <w:pageBreakBefore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2、符合产业定位的国家战略需要和尖端科技事业相关的项目，高性能、技术含量高的关键性、基础性、资源优势性的项目；保障医疗卫生、军工、科研机构、重点企业应用的项目；</w:t>
                  </w:r>
                </w:p>
                <w:p w14:paraId="2D6B77DD">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3、有利于构建句容高新区及周边区域主导产业链的项目；</w:t>
                  </w:r>
                </w:p>
                <w:p w14:paraId="4250EB69">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4、优先使用水性、粉末、高固体分、无溶剂、辐射固化等低VOCs含量、低反应活性材料，源头控制VOCs产生的项目；</w:t>
                  </w:r>
                </w:p>
                <w:p w14:paraId="6AFA1AEB">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5、列入《绿色低碳转型产业指导目录》的新能源装备、新型电力装备、机电制造产业链相关项目。</w:t>
                  </w:r>
                </w:p>
              </w:tc>
              <w:tc>
                <w:tcPr>
                  <w:tcW w:w="1009" w:type="pct"/>
                  <w:vMerge w:val="continue"/>
                  <w:tcBorders>
                    <w:tl2br w:val="nil"/>
                    <w:tr2bl w:val="nil"/>
                  </w:tcBorders>
                  <w:vAlign w:val="center"/>
                </w:tcPr>
                <w:p w14:paraId="78DA528A">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0070C0"/>
                      <w:kern w:val="0"/>
                      <w:sz w:val="21"/>
                      <w:szCs w:val="21"/>
                    </w:rPr>
                  </w:pPr>
                </w:p>
              </w:tc>
              <w:tc>
                <w:tcPr>
                  <w:tcW w:w="435" w:type="pct"/>
                  <w:tcBorders>
                    <w:tl2br w:val="nil"/>
                    <w:tr2bl w:val="nil"/>
                  </w:tcBorders>
                  <w:vAlign w:val="center"/>
                </w:tcPr>
                <w:p w14:paraId="65C41E75">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lang w:val="en-US" w:eastAsia="zh-CN"/>
                    </w:rPr>
                    <w:t>相符</w:t>
                  </w:r>
                </w:p>
              </w:tc>
            </w:tr>
            <w:tr w14:paraId="69735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Merge w:val="continue"/>
                  <w:tcBorders>
                    <w:tl2br w:val="nil"/>
                    <w:tr2bl w:val="nil"/>
                  </w:tcBorders>
                  <w:vAlign w:val="center"/>
                </w:tcPr>
                <w:p w14:paraId="66A293AC">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70C0"/>
                      <w:kern w:val="0"/>
                      <w:sz w:val="21"/>
                      <w:szCs w:val="21"/>
                    </w:rPr>
                  </w:pPr>
                </w:p>
              </w:tc>
              <w:tc>
                <w:tcPr>
                  <w:tcW w:w="409" w:type="pct"/>
                  <w:vMerge w:val="restart"/>
                  <w:tcBorders>
                    <w:tl2br w:val="nil"/>
                    <w:tr2bl w:val="nil"/>
                  </w:tcBorders>
                  <w:vAlign w:val="center"/>
                </w:tcPr>
                <w:p w14:paraId="5BEC4D3B">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禁止引入</w:t>
                  </w:r>
                </w:p>
              </w:tc>
              <w:tc>
                <w:tcPr>
                  <w:tcW w:w="2702" w:type="pct"/>
                  <w:tcBorders>
                    <w:tl2br w:val="nil"/>
                    <w:tr2bl w:val="nil"/>
                  </w:tcBorders>
                  <w:vAlign w:val="center"/>
                </w:tcPr>
                <w:p w14:paraId="0E1289D7">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1、禁止引入《产业结构调整指导目录》、《外商投资准入特别管理措施（负面清单）》等产业政策文件中属于禁止及淘汰类的项目；</w:t>
                  </w:r>
                </w:p>
                <w:p w14:paraId="75829330">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2、禁止引入《长江经济带发展负面清单指南（试行，2022年版）》、《〈长江经济带发展负面清单指南（试行，2022年版）〉江苏省实施细则》中列明的禁止建设的产业；</w:t>
                  </w:r>
                </w:p>
                <w:p w14:paraId="7C83E923">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3、禁止引入《江苏省“两高”项目管理目录(2024年版)》的“两高”项目；</w:t>
                  </w:r>
                </w:p>
                <w:p w14:paraId="17AD2990">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4、原则上禁止项目外排废水涉及《污水综合排放标准》中第一类污染物，《有毒有害水污染物名录》、《优先控制化学品名录》涉及的难生化降解物质，如确需排放应达到直排标准并开展技术评估工作，确保不对污水处理厂造成冲击；</w:t>
                  </w:r>
                </w:p>
                <w:p w14:paraId="65E36660">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5、禁止新建、改建、扩建生产和使用高VOCs含量的涂料、油墨、胶黏剂等项目。使用粉末、水性、无溶剂、辐射固化涂料应符合《低挥发性有机化合物含量涂料产品技术要求》（GB/T 38597—2020）；使用水性油墨和能量固化油墨应符合《油墨中可挥发性有机化合物（VOCs）含量的限值》（GB38507—2020）；使用水基、半水基清洗剂应符合《清洗剂挥发性有机化合物含量限值》（GB 38508—2020）；使用水基型、本体型胶粘剂应符合《胶粘剂挥发性有机化合物限量》（GB 33372—2020）规定的；若确实无法达到上述要求，应组织开展相关论证说明；</w:t>
                  </w:r>
                </w:p>
                <w:p w14:paraId="4A153FA0">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6、禁止引入专门从事喷涂、酸洗、电镀等表面处理加工的建设项目（属于项目配套的喷涂、酸洗、电镀等表面处理工序不作为禁止类）；</w:t>
                  </w:r>
                </w:p>
                <w:p w14:paraId="0D28F5CF">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7、禁止专门从事危险化学品贮存、装卸、危险化学品车辆停放的物流产业。</w:t>
                  </w:r>
                </w:p>
              </w:tc>
              <w:tc>
                <w:tcPr>
                  <w:tcW w:w="1009" w:type="pct"/>
                  <w:vMerge w:val="continue"/>
                  <w:tcBorders>
                    <w:tl2br w:val="nil"/>
                    <w:tr2bl w:val="nil"/>
                  </w:tcBorders>
                  <w:vAlign w:val="center"/>
                </w:tcPr>
                <w:p w14:paraId="3DE290C3">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0070C0"/>
                      <w:kern w:val="0"/>
                      <w:sz w:val="21"/>
                      <w:szCs w:val="21"/>
                    </w:rPr>
                  </w:pPr>
                </w:p>
              </w:tc>
              <w:tc>
                <w:tcPr>
                  <w:tcW w:w="435" w:type="pct"/>
                  <w:tcBorders>
                    <w:tl2br w:val="nil"/>
                    <w:tr2bl w:val="nil"/>
                  </w:tcBorders>
                  <w:vAlign w:val="center"/>
                </w:tcPr>
                <w:p w14:paraId="47885AEC">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0070C0"/>
                      <w:kern w:val="0"/>
                      <w:sz w:val="21"/>
                      <w:szCs w:val="21"/>
                    </w:rPr>
                  </w:pPr>
                </w:p>
              </w:tc>
            </w:tr>
            <w:tr w14:paraId="725D2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Merge w:val="continue"/>
                  <w:tcBorders>
                    <w:tl2br w:val="nil"/>
                    <w:tr2bl w:val="nil"/>
                  </w:tcBorders>
                  <w:vAlign w:val="center"/>
                </w:tcPr>
                <w:p w14:paraId="1148F9DA">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70C0"/>
                      <w:kern w:val="0"/>
                      <w:sz w:val="21"/>
                      <w:szCs w:val="21"/>
                    </w:rPr>
                  </w:pPr>
                </w:p>
              </w:tc>
              <w:tc>
                <w:tcPr>
                  <w:tcW w:w="409" w:type="pct"/>
                  <w:vMerge w:val="continue"/>
                  <w:tcBorders>
                    <w:tl2br w:val="nil"/>
                    <w:tr2bl w:val="nil"/>
                  </w:tcBorders>
                  <w:vAlign w:val="center"/>
                </w:tcPr>
                <w:p w14:paraId="7DB66A3E">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70C0"/>
                      <w:kern w:val="0"/>
                      <w:sz w:val="21"/>
                      <w:szCs w:val="21"/>
                    </w:rPr>
                  </w:pPr>
                </w:p>
              </w:tc>
              <w:tc>
                <w:tcPr>
                  <w:tcW w:w="2702" w:type="pct"/>
                  <w:tcBorders>
                    <w:tl2br w:val="nil"/>
                    <w:tr2bl w:val="nil"/>
                  </w:tcBorders>
                  <w:vAlign w:val="center"/>
                </w:tcPr>
                <w:p w14:paraId="2DC8B23D">
                  <w:pPr>
                    <w:keepNext w:val="0"/>
                    <w:keepLines w:val="0"/>
                    <w:pageBreakBefore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color w:val="0070C0"/>
                      <w:kern w:val="0"/>
                      <w:sz w:val="21"/>
                      <w:szCs w:val="21"/>
                    </w:rPr>
                  </w:pPr>
                  <w:r>
                    <w:rPr>
                      <w:rFonts w:hint="default" w:ascii="Times New Roman" w:hAnsi="Times New Roman" w:cs="Times New Roman"/>
                      <w:b/>
                      <w:color w:val="0070C0"/>
                      <w:kern w:val="0"/>
                      <w:sz w:val="21"/>
                      <w:szCs w:val="21"/>
                    </w:rPr>
                    <w:t>机电制造：</w:t>
                  </w:r>
                  <w:r>
                    <w:rPr>
                      <w:rFonts w:hint="default" w:ascii="Times New Roman" w:hAnsi="Times New Roman" w:cs="Times New Roman"/>
                      <w:color w:val="0070C0"/>
                      <w:kern w:val="0"/>
                      <w:sz w:val="21"/>
                      <w:szCs w:val="21"/>
                    </w:rPr>
                    <w:t>禁止引入使用落后设备的项目，包括：热处理铅浴炉、强制驱动式简易电梯、砂型铸造粘土烘干砂型及型芯、中频发电机感应加热电源、燃煤火焰反射加热炉、粘土砂干型/芯铸造工艺、无芯工频感应电炉。</w:t>
                  </w:r>
                </w:p>
              </w:tc>
              <w:tc>
                <w:tcPr>
                  <w:tcW w:w="1009" w:type="pct"/>
                  <w:vMerge w:val="continue"/>
                  <w:tcBorders>
                    <w:tl2br w:val="nil"/>
                    <w:tr2bl w:val="nil"/>
                  </w:tcBorders>
                  <w:vAlign w:val="center"/>
                </w:tcPr>
                <w:p w14:paraId="7BF11C43">
                  <w:pPr>
                    <w:keepNext w:val="0"/>
                    <w:keepLines w:val="0"/>
                    <w:pageBreakBefore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b/>
                      <w:color w:val="0070C0"/>
                      <w:kern w:val="0"/>
                      <w:sz w:val="21"/>
                      <w:szCs w:val="21"/>
                    </w:rPr>
                  </w:pPr>
                </w:p>
              </w:tc>
              <w:tc>
                <w:tcPr>
                  <w:tcW w:w="435" w:type="pct"/>
                  <w:tcBorders>
                    <w:tl2br w:val="nil"/>
                    <w:tr2bl w:val="nil"/>
                  </w:tcBorders>
                  <w:vAlign w:val="center"/>
                </w:tcPr>
                <w:p w14:paraId="66FA057B">
                  <w:pPr>
                    <w:keepNext w:val="0"/>
                    <w:keepLines w:val="0"/>
                    <w:pageBreakBefore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b/>
                      <w:color w:val="0070C0"/>
                      <w:kern w:val="0"/>
                      <w:sz w:val="21"/>
                      <w:szCs w:val="21"/>
                    </w:rPr>
                  </w:pPr>
                  <w:r>
                    <w:rPr>
                      <w:rFonts w:hint="default" w:ascii="Times New Roman" w:hAnsi="Times New Roman" w:cs="Times New Roman"/>
                      <w:color w:val="0070C0"/>
                      <w:kern w:val="0"/>
                      <w:sz w:val="21"/>
                      <w:szCs w:val="21"/>
                      <w:lang w:val="en-US" w:eastAsia="zh-CN"/>
                    </w:rPr>
                    <w:t>相符</w:t>
                  </w:r>
                </w:p>
              </w:tc>
            </w:tr>
            <w:tr w14:paraId="305D8D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Merge w:val="continue"/>
                  <w:tcBorders>
                    <w:tl2br w:val="nil"/>
                    <w:tr2bl w:val="nil"/>
                  </w:tcBorders>
                  <w:vAlign w:val="center"/>
                </w:tcPr>
                <w:p w14:paraId="6C3D3140">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70C0"/>
                      <w:kern w:val="0"/>
                      <w:sz w:val="21"/>
                      <w:szCs w:val="21"/>
                    </w:rPr>
                  </w:pPr>
                </w:p>
              </w:tc>
              <w:tc>
                <w:tcPr>
                  <w:tcW w:w="409" w:type="pct"/>
                  <w:vMerge w:val="continue"/>
                  <w:tcBorders>
                    <w:tl2br w:val="nil"/>
                    <w:tr2bl w:val="nil"/>
                  </w:tcBorders>
                  <w:vAlign w:val="center"/>
                </w:tcPr>
                <w:p w14:paraId="5038F02C">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70C0"/>
                      <w:kern w:val="0"/>
                      <w:sz w:val="21"/>
                      <w:szCs w:val="21"/>
                    </w:rPr>
                  </w:pPr>
                </w:p>
              </w:tc>
              <w:tc>
                <w:tcPr>
                  <w:tcW w:w="2702" w:type="pct"/>
                  <w:tcBorders>
                    <w:tl2br w:val="nil"/>
                    <w:tr2bl w:val="nil"/>
                  </w:tcBorders>
                  <w:vAlign w:val="center"/>
                </w:tcPr>
                <w:p w14:paraId="737A2F69">
                  <w:pPr>
                    <w:keepNext w:val="0"/>
                    <w:keepLines w:val="0"/>
                    <w:pageBreakBefore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b/>
                      <w:color w:val="0070C0"/>
                      <w:kern w:val="0"/>
                      <w:sz w:val="21"/>
                      <w:szCs w:val="21"/>
                    </w:rPr>
                  </w:pPr>
                  <w:r>
                    <w:rPr>
                      <w:rFonts w:hint="default" w:ascii="Times New Roman" w:hAnsi="Times New Roman" w:cs="Times New Roman"/>
                      <w:b/>
                      <w:color w:val="0070C0"/>
                      <w:kern w:val="0"/>
                      <w:sz w:val="21"/>
                      <w:szCs w:val="21"/>
                    </w:rPr>
                    <w:t>新能源：</w:t>
                  </w:r>
                  <w:r>
                    <w:rPr>
                      <w:rFonts w:hint="default" w:ascii="Times New Roman" w:hAnsi="Times New Roman" w:cs="Times New Roman"/>
                      <w:color w:val="0070C0"/>
                      <w:kern w:val="0"/>
                      <w:sz w:val="21"/>
                      <w:szCs w:val="21"/>
                    </w:rPr>
                    <w:t>禁止引入硅冶炼项目</w:t>
                  </w:r>
                </w:p>
              </w:tc>
              <w:tc>
                <w:tcPr>
                  <w:tcW w:w="1009" w:type="pct"/>
                  <w:vMerge w:val="continue"/>
                  <w:tcBorders>
                    <w:tl2br w:val="nil"/>
                    <w:tr2bl w:val="nil"/>
                  </w:tcBorders>
                  <w:vAlign w:val="center"/>
                </w:tcPr>
                <w:p w14:paraId="59A14117">
                  <w:pPr>
                    <w:keepNext w:val="0"/>
                    <w:keepLines w:val="0"/>
                    <w:pageBreakBefore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b/>
                      <w:color w:val="0070C0"/>
                      <w:kern w:val="0"/>
                      <w:sz w:val="21"/>
                      <w:szCs w:val="21"/>
                    </w:rPr>
                  </w:pPr>
                </w:p>
              </w:tc>
              <w:tc>
                <w:tcPr>
                  <w:tcW w:w="435" w:type="pct"/>
                  <w:tcBorders>
                    <w:tl2br w:val="nil"/>
                    <w:tr2bl w:val="nil"/>
                  </w:tcBorders>
                  <w:vAlign w:val="center"/>
                </w:tcPr>
                <w:p w14:paraId="5940D5DA">
                  <w:pPr>
                    <w:keepNext w:val="0"/>
                    <w:keepLines w:val="0"/>
                    <w:pageBreakBefore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b/>
                      <w:color w:val="0070C0"/>
                      <w:kern w:val="0"/>
                      <w:sz w:val="21"/>
                      <w:szCs w:val="21"/>
                    </w:rPr>
                  </w:pPr>
                  <w:r>
                    <w:rPr>
                      <w:rFonts w:hint="default" w:ascii="Times New Roman" w:hAnsi="Times New Roman" w:cs="Times New Roman"/>
                      <w:color w:val="0070C0"/>
                      <w:kern w:val="0"/>
                      <w:sz w:val="21"/>
                      <w:szCs w:val="21"/>
                      <w:lang w:val="en-US" w:eastAsia="zh-CN"/>
                    </w:rPr>
                    <w:t>相符</w:t>
                  </w:r>
                </w:p>
              </w:tc>
            </w:tr>
            <w:tr w14:paraId="7BC23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pct"/>
                  <w:gridSpan w:val="2"/>
                  <w:tcBorders>
                    <w:tl2br w:val="nil"/>
                    <w:tr2bl w:val="nil"/>
                  </w:tcBorders>
                  <w:vAlign w:val="center"/>
                </w:tcPr>
                <w:p w14:paraId="7A4F2A1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0070C0"/>
                      <w:kern w:val="0"/>
                      <w:sz w:val="21"/>
                      <w:szCs w:val="21"/>
                    </w:rPr>
                  </w:pPr>
                  <w:r>
                    <w:rPr>
                      <w:rFonts w:hint="default" w:ascii="Times New Roman" w:hAnsi="Times New Roman" w:cs="Times New Roman"/>
                      <w:b/>
                      <w:color w:val="0070C0"/>
                      <w:kern w:val="0"/>
                      <w:sz w:val="21"/>
                      <w:szCs w:val="21"/>
                    </w:rPr>
                    <w:t>环境风险防控</w:t>
                  </w:r>
                </w:p>
              </w:tc>
              <w:tc>
                <w:tcPr>
                  <w:tcW w:w="2702" w:type="pct"/>
                  <w:tcBorders>
                    <w:tl2br w:val="nil"/>
                    <w:tr2bl w:val="nil"/>
                  </w:tcBorders>
                  <w:vAlign w:val="center"/>
                </w:tcPr>
                <w:p w14:paraId="7319407B">
                  <w:pPr>
                    <w:keepNext w:val="0"/>
                    <w:keepLines w:val="0"/>
                    <w:pageBreakBefore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1、及时编制并定期更新园区应急预案，充分考虑后续入区项目的规划，督促企业修订完善应急救援预案，风险防范及应急救援预案做好园区及区内企业的衔接，构建一体化风险防范及应急管理系统。</w:t>
                  </w:r>
                </w:p>
                <w:p w14:paraId="0DD3F55F">
                  <w:pPr>
                    <w:keepNext w:val="0"/>
                    <w:keepLines w:val="0"/>
                    <w:pageBreakBefore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2、每年至少组织一次环境应急演练和培训。</w:t>
                  </w:r>
                </w:p>
                <w:p w14:paraId="4FA7E84C">
                  <w:pPr>
                    <w:keepNext w:val="0"/>
                    <w:keepLines w:val="0"/>
                    <w:pageBreakBefore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3、建立突发环境事件隐患排查整改及突发环境事件应急管理长效机制。强化突发环境事件隐患排查及整改、环境应急物资管理、环境应急演练拉练、环境应急预案备案及修编等工作。</w:t>
                  </w:r>
                </w:p>
                <w:p w14:paraId="2FB8390B">
                  <w:pPr>
                    <w:keepNext w:val="0"/>
                    <w:keepLines w:val="0"/>
                    <w:pageBreakBefore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4、加强环境应急队伍能力建设，配备必要的污染物吸附、拦截、消减等应急物资。</w:t>
                  </w:r>
                </w:p>
                <w:p w14:paraId="37B00AFE">
                  <w:pPr>
                    <w:keepNext w:val="0"/>
                    <w:keepLines w:val="0"/>
                    <w:pageBreakBefore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rPr>
                    <w:t>5、对建设用地污染风险重点管控区内关闭搬迁、拟变更土地利用方式和土地使用权人的重点行业企业用地，由土地使用权人负责开展土壤环境状况调查评估。暂不开发利用或现阶段不具备治理与修复条件的污染地块，实施以防止污染扩散为目的的风险管控。</w:t>
                  </w:r>
                </w:p>
              </w:tc>
              <w:tc>
                <w:tcPr>
                  <w:tcW w:w="1009" w:type="pct"/>
                  <w:tcBorders>
                    <w:tl2br w:val="nil"/>
                    <w:tr2bl w:val="nil"/>
                  </w:tcBorders>
                  <w:vAlign w:val="center"/>
                </w:tcPr>
                <w:p w14:paraId="06382293">
                  <w:pPr>
                    <w:keepNext w:val="0"/>
                    <w:keepLines w:val="0"/>
                    <w:pageBreakBefore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color w:val="0070C0"/>
                      <w:kern w:val="0"/>
                      <w:sz w:val="21"/>
                      <w:szCs w:val="21"/>
                    </w:rPr>
                  </w:pPr>
                  <w:r>
                    <w:rPr>
                      <w:rFonts w:hint="default" w:ascii="Times New Roman" w:hAnsi="Times New Roman" w:eastAsia="宋体" w:cs="Times New Roman"/>
                      <w:b w:val="0"/>
                      <w:bCs w:val="0"/>
                      <w:snapToGrid w:val="0"/>
                      <w:color w:val="0070C0"/>
                      <w:spacing w:val="0"/>
                      <w:kern w:val="0"/>
                      <w:sz w:val="21"/>
                      <w:szCs w:val="21"/>
                    </w:rPr>
                    <w:t>建设单位</w:t>
                  </w:r>
                  <w:r>
                    <w:rPr>
                      <w:rFonts w:hint="default" w:ascii="Times New Roman" w:hAnsi="Times New Roman" w:eastAsia="宋体" w:cs="Times New Roman"/>
                      <w:b w:val="0"/>
                      <w:bCs w:val="0"/>
                      <w:snapToGrid w:val="0"/>
                      <w:color w:val="0070C0"/>
                      <w:spacing w:val="0"/>
                      <w:kern w:val="0"/>
                      <w:sz w:val="21"/>
                      <w:szCs w:val="21"/>
                      <w:lang w:val="en-US" w:eastAsia="zh-CN"/>
                    </w:rPr>
                    <w:t>后续将</w:t>
                  </w:r>
                  <w:r>
                    <w:rPr>
                      <w:rFonts w:hint="default" w:ascii="Times New Roman" w:hAnsi="Times New Roman" w:eastAsia="宋体" w:cs="Times New Roman"/>
                      <w:b w:val="0"/>
                      <w:bCs w:val="0"/>
                      <w:snapToGrid w:val="0"/>
                      <w:color w:val="0070C0"/>
                      <w:spacing w:val="0"/>
                      <w:kern w:val="0"/>
                      <w:sz w:val="21"/>
                      <w:szCs w:val="21"/>
                    </w:rPr>
                    <w:t>制定</w:t>
                  </w:r>
                  <w:r>
                    <w:rPr>
                      <w:rFonts w:hint="default" w:ascii="Times New Roman" w:hAnsi="Times New Roman" w:eastAsia="宋体" w:cs="Times New Roman"/>
                      <w:b w:val="0"/>
                      <w:bCs w:val="0"/>
                      <w:snapToGrid w:val="0"/>
                      <w:color w:val="0070C0"/>
                      <w:spacing w:val="0"/>
                      <w:kern w:val="0"/>
                      <w:sz w:val="21"/>
                      <w:szCs w:val="21"/>
                      <w:lang w:val="en-US" w:eastAsia="zh-CN"/>
                    </w:rPr>
                    <w:t>相关</w:t>
                  </w:r>
                  <w:r>
                    <w:rPr>
                      <w:rFonts w:hint="default" w:ascii="Times New Roman" w:hAnsi="Times New Roman" w:eastAsia="宋体" w:cs="Times New Roman"/>
                      <w:b w:val="0"/>
                      <w:bCs w:val="0"/>
                      <w:snapToGrid w:val="0"/>
                      <w:color w:val="0070C0"/>
                      <w:spacing w:val="0"/>
                      <w:kern w:val="0"/>
                      <w:sz w:val="21"/>
                      <w:szCs w:val="21"/>
                    </w:rPr>
                    <w:t>风险防范措施</w:t>
                  </w:r>
                  <w:r>
                    <w:rPr>
                      <w:rFonts w:hint="default" w:ascii="Times New Roman" w:hAnsi="Times New Roman" w:eastAsia="宋体" w:cs="Times New Roman"/>
                      <w:b w:val="0"/>
                      <w:bCs w:val="0"/>
                      <w:snapToGrid w:val="0"/>
                      <w:color w:val="0070C0"/>
                      <w:spacing w:val="0"/>
                      <w:kern w:val="0"/>
                      <w:sz w:val="21"/>
                      <w:szCs w:val="21"/>
                      <w:lang w:val="en-US" w:eastAsia="zh-CN"/>
                    </w:rPr>
                    <w:t>并</w:t>
                  </w:r>
                  <w:r>
                    <w:rPr>
                      <w:rFonts w:hint="default" w:ascii="Times New Roman" w:hAnsi="Times New Roman" w:eastAsia="宋体" w:cs="Times New Roman"/>
                      <w:b w:val="0"/>
                      <w:bCs w:val="0"/>
                      <w:snapToGrid w:val="0"/>
                      <w:color w:val="0070C0"/>
                      <w:spacing w:val="0"/>
                      <w:kern w:val="0"/>
                      <w:sz w:val="21"/>
                      <w:szCs w:val="21"/>
                    </w:rPr>
                    <w:t>编制突发环境事件应急预案，后续将按照要求对应急预案进行备案，定期开展应急演练。</w:t>
                  </w:r>
                </w:p>
              </w:tc>
              <w:tc>
                <w:tcPr>
                  <w:tcW w:w="435" w:type="pct"/>
                  <w:tcBorders>
                    <w:tl2br w:val="nil"/>
                    <w:tr2bl w:val="nil"/>
                  </w:tcBorders>
                  <w:vAlign w:val="center"/>
                </w:tcPr>
                <w:p w14:paraId="46DE3037">
                  <w:pPr>
                    <w:keepNext w:val="0"/>
                    <w:keepLines w:val="0"/>
                    <w:pageBreakBefore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color w:val="0070C0"/>
                      <w:kern w:val="0"/>
                      <w:sz w:val="21"/>
                      <w:szCs w:val="21"/>
                    </w:rPr>
                  </w:pPr>
                  <w:r>
                    <w:rPr>
                      <w:rFonts w:hint="default" w:ascii="Times New Roman" w:hAnsi="Times New Roman" w:cs="Times New Roman"/>
                      <w:color w:val="0070C0"/>
                      <w:kern w:val="0"/>
                      <w:sz w:val="21"/>
                      <w:szCs w:val="21"/>
                      <w:lang w:val="en-US" w:eastAsia="zh-CN"/>
                    </w:rPr>
                    <w:t>相符</w:t>
                  </w:r>
                </w:p>
              </w:tc>
            </w:tr>
          </w:tbl>
          <w:p w14:paraId="4704BA1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color w:val="auto"/>
                <w:lang w:val="en-US"/>
              </w:rPr>
            </w:pPr>
            <w:r>
              <w:rPr>
                <w:rFonts w:hint="default" w:ascii="Times New Roman" w:hAnsi="Times New Roman" w:eastAsia="宋体" w:cs="Times New Roman"/>
                <w:b w:val="0"/>
                <w:bCs w:val="0"/>
                <w:color w:val="auto"/>
                <w:kern w:val="0"/>
                <w:sz w:val="24"/>
                <w:szCs w:val="24"/>
                <w:lang w:val="en-US" w:eastAsia="zh-CN" w:bidi="ar"/>
              </w:rPr>
              <w:t>与长江经济带发展负面清单指南</w:t>
            </w:r>
            <w:r>
              <w:rPr>
                <w:rFonts w:hint="eastAsia" w:ascii="Times New Roman" w:hAnsi="Times New Roman" w:cs="Times New Roman"/>
                <w:b w:val="0"/>
                <w:bCs w:val="0"/>
                <w:color w:val="auto"/>
                <w:kern w:val="0"/>
                <w:sz w:val="24"/>
                <w:szCs w:val="24"/>
                <w:lang w:val="en-US" w:eastAsia="zh-CN" w:bidi="ar"/>
              </w:rPr>
              <w:t>相关内容相符性分析见表1-6和表1-7。</w:t>
            </w:r>
          </w:p>
          <w:p w14:paraId="245D6460">
            <w:pPr>
              <w:spacing w:before="120" w:beforeLines="50"/>
              <w:jc w:val="center"/>
              <w:rPr>
                <w:b/>
                <w:bCs/>
                <w:color w:val="auto"/>
                <w:sz w:val="24"/>
                <w:szCs w:val="24"/>
                <w:highlight w:val="none"/>
                <w:lang w:bidi="ar"/>
              </w:rPr>
            </w:pPr>
            <w:r>
              <w:rPr>
                <w:rFonts w:hint="eastAsia"/>
                <w:b/>
                <w:bCs/>
                <w:color w:val="auto"/>
                <w:sz w:val="24"/>
                <w:szCs w:val="24"/>
                <w:highlight w:val="none"/>
                <w:lang w:bidi="ar"/>
              </w:rPr>
              <w:t>表1</w:t>
            </w:r>
            <w:r>
              <w:rPr>
                <w:b/>
                <w:bCs/>
                <w:color w:val="auto"/>
                <w:sz w:val="24"/>
                <w:szCs w:val="24"/>
                <w:highlight w:val="none"/>
                <w:lang w:bidi="ar"/>
              </w:rPr>
              <w:t>-</w:t>
            </w:r>
            <w:r>
              <w:rPr>
                <w:rFonts w:hint="eastAsia"/>
                <w:b/>
                <w:bCs/>
                <w:color w:val="auto"/>
                <w:sz w:val="24"/>
                <w:szCs w:val="24"/>
                <w:highlight w:val="none"/>
                <w:lang w:val="en-US" w:eastAsia="zh-CN" w:bidi="ar"/>
              </w:rPr>
              <w:t>6</w:t>
            </w:r>
            <w:r>
              <w:rPr>
                <w:rFonts w:hint="eastAsia"/>
                <w:b/>
                <w:bCs/>
                <w:color w:val="auto"/>
                <w:sz w:val="24"/>
                <w:szCs w:val="24"/>
                <w:highlight w:val="none"/>
                <w:lang w:bidi="ar"/>
              </w:rPr>
              <w:t xml:space="preserve"> 《长江经济带发展负面清单指南（试行，2022年版）》对照分析</w:t>
            </w:r>
          </w:p>
          <w:tbl>
            <w:tblPr>
              <w:tblStyle w:val="37"/>
              <w:tblW w:w="4972" w:type="pct"/>
              <w:tblInd w:w="0" w:type="dxa"/>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autofit"/>
              <w:tblCellMar>
                <w:top w:w="0" w:type="dxa"/>
                <w:left w:w="0" w:type="dxa"/>
                <w:bottom w:w="0" w:type="dxa"/>
                <w:right w:w="0" w:type="dxa"/>
              </w:tblCellMar>
            </w:tblPr>
            <w:tblGrid>
              <w:gridCol w:w="448"/>
              <w:gridCol w:w="5248"/>
              <w:gridCol w:w="1438"/>
              <w:gridCol w:w="1129"/>
            </w:tblGrid>
            <w:tr w14:paraId="59C097AC">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0" w:type="dxa"/>
                  <w:bottom w:w="0" w:type="dxa"/>
                  <w:right w:w="0" w:type="dxa"/>
                </w:tblCellMar>
              </w:tblPrEx>
              <w:trPr>
                <w:trHeight w:val="417" w:hRule="atLeast"/>
                <w:tblHeader/>
              </w:trPr>
              <w:tc>
                <w:tcPr>
                  <w:tcW w:w="410" w:type="dxa"/>
                  <w:tcBorders>
                    <w:bottom w:val="single" w:color="auto" w:sz="12" w:space="0"/>
                  </w:tcBorders>
                  <w:noWrap/>
                  <w:tcMar>
                    <w:top w:w="15" w:type="dxa"/>
                    <w:left w:w="15" w:type="dxa"/>
                    <w:bottom w:w="0" w:type="dxa"/>
                    <w:right w:w="15" w:type="dxa"/>
                  </w:tcMar>
                  <w:vAlign w:val="center"/>
                </w:tcPr>
                <w:p w14:paraId="34430B7D">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b/>
                      <w:color w:val="auto"/>
                      <w:sz w:val="21"/>
                      <w:szCs w:val="21"/>
                      <w:highlight w:val="none"/>
                    </w:rPr>
                  </w:pPr>
                  <w:r>
                    <w:rPr>
                      <w:rFonts w:eastAsia="宋体" w:cs="Times New Roman"/>
                      <w:b/>
                      <w:color w:val="auto"/>
                      <w:sz w:val="21"/>
                      <w:szCs w:val="21"/>
                      <w:highlight w:val="none"/>
                    </w:rPr>
                    <w:t>序号</w:t>
                  </w:r>
                </w:p>
              </w:tc>
              <w:tc>
                <w:tcPr>
                  <w:tcW w:w="4800" w:type="dxa"/>
                  <w:tcBorders>
                    <w:bottom w:val="single" w:color="auto" w:sz="12" w:space="0"/>
                  </w:tcBorders>
                  <w:noWrap/>
                  <w:tcMar>
                    <w:top w:w="15" w:type="dxa"/>
                    <w:left w:w="15" w:type="dxa"/>
                    <w:bottom w:w="0" w:type="dxa"/>
                    <w:right w:w="15" w:type="dxa"/>
                  </w:tcMar>
                  <w:vAlign w:val="center"/>
                </w:tcPr>
                <w:p w14:paraId="4A20EC28">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b/>
                      <w:color w:val="auto"/>
                      <w:sz w:val="21"/>
                      <w:szCs w:val="21"/>
                      <w:highlight w:val="none"/>
                    </w:rPr>
                  </w:pPr>
                  <w:r>
                    <w:rPr>
                      <w:rFonts w:eastAsia="宋体" w:cs="Times New Roman"/>
                      <w:b/>
                      <w:color w:val="auto"/>
                      <w:sz w:val="21"/>
                      <w:szCs w:val="21"/>
                      <w:highlight w:val="none"/>
                    </w:rPr>
                    <w:t>管控条款</w:t>
                  </w:r>
                </w:p>
              </w:tc>
              <w:tc>
                <w:tcPr>
                  <w:tcW w:w="1315" w:type="dxa"/>
                  <w:tcBorders>
                    <w:bottom w:val="single" w:color="auto" w:sz="12" w:space="0"/>
                  </w:tcBorders>
                  <w:noWrap/>
                  <w:tcMar>
                    <w:top w:w="15" w:type="dxa"/>
                    <w:left w:w="15" w:type="dxa"/>
                    <w:bottom w:w="0" w:type="dxa"/>
                    <w:right w:w="15" w:type="dxa"/>
                  </w:tcMar>
                  <w:vAlign w:val="center"/>
                </w:tcPr>
                <w:p w14:paraId="6260EB3A">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b/>
                      <w:color w:val="auto"/>
                      <w:sz w:val="21"/>
                      <w:szCs w:val="21"/>
                      <w:highlight w:val="none"/>
                    </w:rPr>
                  </w:pPr>
                  <w:r>
                    <w:rPr>
                      <w:rFonts w:eastAsia="宋体" w:cs="Times New Roman"/>
                      <w:b/>
                      <w:color w:val="auto"/>
                      <w:sz w:val="21"/>
                      <w:szCs w:val="21"/>
                      <w:highlight w:val="none"/>
                    </w:rPr>
                    <w:t>本项目情况</w:t>
                  </w:r>
                </w:p>
              </w:tc>
              <w:tc>
                <w:tcPr>
                  <w:tcW w:w="1033" w:type="dxa"/>
                  <w:tcBorders>
                    <w:bottom w:val="single" w:color="auto" w:sz="12" w:space="0"/>
                  </w:tcBorders>
                  <w:noWrap/>
                  <w:tcMar>
                    <w:top w:w="15" w:type="dxa"/>
                    <w:left w:w="15" w:type="dxa"/>
                    <w:bottom w:w="0" w:type="dxa"/>
                    <w:right w:w="15" w:type="dxa"/>
                  </w:tcMar>
                  <w:vAlign w:val="center"/>
                </w:tcPr>
                <w:p w14:paraId="5AEDB2F6">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b/>
                      <w:color w:val="auto"/>
                      <w:sz w:val="21"/>
                      <w:szCs w:val="21"/>
                      <w:highlight w:val="none"/>
                    </w:rPr>
                  </w:pPr>
                  <w:r>
                    <w:rPr>
                      <w:rFonts w:eastAsia="宋体" w:cs="Times New Roman"/>
                      <w:b/>
                      <w:color w:val="auto"/>
                      <w:sz w:val="21"/>
                      <w:szCs w:val="21"/>
                      <w:highlight w:val="none"/>
                    </w:rPr>
                    <w:t>是否属于禁止范畴</w:t>
                  </w:r>
                </w:p>
              </w:tc>
            </w:tr>
            <w:tr w14:paraId="118634CA">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0" w:type="dxa"/>
                  <w:bottom w:w="0" w:type="dxa"/>
                  <w:right w:w="0" w:type="dxa"/>
                </w:tblCellMar>
              </w:tblPrEx>
              <w:trPr>
                <w:trHeight w:val="340" w:hRule="atLeast"/>
              </w:trPr>
              <w:tc>
                <w:tcPr>
                  <w:tcW w:w="410" w:type="dxa"/>
                  <w:tcBorders>
                    <w:top w:val="single" w:color="auto" w:sz="12" w:space="0"/>
                  </w:tcBorders>
                  <w:noWrap/>
                  <w:tcMar>
                    <w:top w:w="15" w:type="dxa"/>
                    <w:left w:w="15" w:type="dxa"/>
                    <w:bottom w:w="0" w:type="dxa"/>
                    <w:right w:w="15" w:type="dxa"/>
                  </w:tcMar>
                  <w:vAlign w:val="center"/>
                </w:tcPr>
                <w:p w14:paraId="6EB341B1">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color w:val="auto"/>
                      <w:sz w:val="21"/>
                      <w:szCs w:val="21"/>
                      <w:highlight w:val="none"/>
                    </w:rPr>
                  </w:pPr>
                  <w:r>
                    <w:rPr>
                      <w:rFonts w:eastAsia="宋体" w:cs="Times New Roman"/>
                      <w:color w:val="auto"/>
                      <w:sz w:val="21"/>
                      <w:szCs w:val="21"/>
                      <w:highlight w:val="none"/>
                    </w:rPr>
                    <w:t>1</w:t>
                  </w:r>
                </w:p>
              </w:tc>
              <w:tc>
                <w:tcPr>
                  <w:tcW w:w="4800" w:type="dxa"/>
                  <w:tcBorders>
                    <w:top w:val="single" w:color="auto" w:sz="12" w:space="0"/>
                  </w:tcBorders>
                  <w:noWrap/>
                  <w:tcMar>
                    <w:top w:w="15" w:type="dxa"/>
                    <w:left w:w="15" w:type="dxa"/>
                    <w:bottom w:w="0" w:type="dxa"/>
                    <w:right w:w="15" w:type="dxa"/>
                  </w:tcMar>
                  <w:vAlign w:val="center"/>
                </w:tcPr>
                <w:p w14:paraId="7713857A">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rPr>
                  </w:pPr>
                  <w:r>
                    <w:rPr>
                      <w:rFonts w:eastAsia="宋体" w:cs="Times New Roman"/>
                      <w:color w:val="auto"/>
                      <w:sz w:val="21"/>
                      <w:szCs w:val="21"/>
                      <w:highlight w:val="none"/>
                    </w:rPr>
                    <w:t>禁止建设</w:t>
                  </w:r>
                  <w:r>
                    <w:rPr>
                      <w:rFonts w:hint="eastAsia" w:eastAsia="宋体" w:cs="Times New Roman"/>
                      <w:color w:val="auto"/>
                      <w:sz w:val="21"/>
                      <w:szCs w:val="21"/>
                      <w:highlight w:val="none"/>
                      <w:lang w:val="en-US"/>
                    </w:rPr>
                    <w:t>不符合全国和省级港口布局规划以及港口总体规划的码头项目，禁止建设不符合《长江干线过江通道布局规划》的过长江通道项目</w:t>
                  </w:r>
                  <w:r>
                    <w:rPr>
                      <w:rFonts w:eastAsia="宋体" w:cs="Times New Roman"/>
                      <w:color w:val="auto"/>
                      <w:sz w:val="21"/>
                      <w:szCs w:val="21"/>
                      <w:highlight w:val="none"/>
                    </w:rPr>
                    <w:t>。</w:t>
                  </w:r>
                </w:p>
              </w:tc>
              <w:tc>
                <w:tcPr>
                  <w:tcW w:w="1315" w:type="dxa"/>
                  <w:tcBorders>
                    <w:top w:val="single" w:color="auto" w:sz="12" w:space="0"/>
                  </w:tcBorders>
                  <w:noWrap/>
                  <w:tcMar>
                    <w:top w:w="15" w:type="dxa"/>
                    <w:left w:w="15" w:type="dxa"/>
                    <w:bottom w:w="0" w:type="dxa"/>
                    <w:right w:w="15" w:type="dxa"/>
                  </w:tcMar>
                  <w:vAlign w:val="center"/>
                </w:tcPr>
                <w:p w14:paraId="3408C93E">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rPr>
                  </w:pPr>
                  <w:r>
                    <w:rPr>
                      <w:rFonts w:eastAsia="宋体" w:cs="Times New Roman"/>
                      <w:color w:val="auto"/>
                      <w:sz w:val="21"/>
                      <w:szCs w:val="21"/>
                      <w:highlight w:val="none"/>
                    </w:rPr>
                    <w:t>本项目不属于码头或过江通道项目</w:t>
                  </w:r>
                </w:p>
              </w:tc>
              <w:tc>
                <w:tcPr>
                  <w:tcW w:w="1033" w:type="dxa"/>
                  <w:tcBorders>
                    <w:top w:val="single" w:color="auto" w:sz="12" w:space="0"/>
                  </w:tcBorders>
                  <w:noWrap/>
                  <w:tcMar>
                    <w:top w:w="15" w:type="dxa"/>
                    <w:left w:w="15" w:type="dxa"/>
                    <w:bottom w:w="0" w:type="dxa"/>
                    <w:right w:w="15" w:type="dxa"/>
                  </w:tcMar>
                  <w:vAlign w:val="center"/>
                </w:tcPr>
                <w:p w14:paraId="014CAF5D">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color w:val="auto"/>
                      <w:sz w:val="21"/>
                      <w:szCs w:val="21"/>
                      <w:highlight w:val="none"/>
                    </w:rPr>
                  </w:pPr>
                  <w:r>
                    <w:rPr>
                      <w:rFonts w:eastAsia="宋体" w:cs="Times New Roman"/>
                      <w:color w:val="auto"/>
                      <w:sz w:val="21"/>
                      <w:szCs w:val="21"/>
                      <w:highlight w:val="none"/>
                    </w:rPr>
                    <w:t>否</w:t>
                  </w:r>
                </w:p>
              </w:tc>
            </w:tr>
            <w:tr w14:paraId="0333CD71">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0" w:type="dxa"/>
                  <w:bottom w:w="0" w:type="dxa"/>
                  <w:right w:w="0" w:type="dxa"/>
                </w:tblCellMar>
              </w:tblPrEx>
              <w:trPr>
                <w:trHeight w:val="340" w:hRule="atLeast"/>
              </w:trPr>
              <w:tc>
                <w:tcPr>
                  <w:tcW w:w="410" w:type="dxa"/>
                  <w:noWrap/>
                  <w:tcMar>
                    <w:top w:w="15" w:type="dxa"/>
                    <w:left w:w="15" w:type="dxa"/>
                    <w:bottom w:w="0" w:type="dxa"/>
                    <w:right w:w="15" w:type="dxa"/>
                  </w:tcMar>
                  <w:vAlign w:val="center"/>
                </w:tcPr>
                <w:p w14:paraId="1236BD43">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color w:val="auto"/>
                      <w:sz w:val="21"/>
                      <w:szCs w:val="21"/>
                      <w:highlight w:val="none"/>
                    </w:rPr>
                  </w:pPr>
                  <w:r>
                    <w:rPr>
                      <w:rFonts w:eastAsia="宋体" w:cs="Times New Roman"/>
                      <w:color w:val="auto"/>
                      <w:sz w:val="21"/>
                      <w:szCs w:val="21"/>
                      <w:highlight w:val="none"/>
                    </w:rPr>
                    <w:t>2</w:t>
                  </w:r>
                </w:p>
              </w:tc>
              <w:tc>
                <w:tcPr>
                  <w:tcW w:w="4800" w:type="dxa"/>
                  <w:noWrap/>
                  <w:tcMar>
                    <w:top w:w="15" w:type="dxa"/>
                    <w:left w:w="15" w:type="dxa"/>
                    <w:bottom w:w="0" w:type="dxa"/>
                    <w:right w:w="15" w:type="dxa"/>
                  </w:tcMar>
                  <w:vAlign w:val="center"/>
                </w:tcPr>
                <w:p w14:paraId="5473C2E4">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rPr>
                  </w:pPr>
                  <w:r>
                    <w:rPr>
                      <w:rFonts w:eastAsia="宋体" w:cs="Times New Roman"/>
                      <w:color w:val="auto"/>
                      <w:sz w:val="21"/>
                      <w:szCs w:val="21"/>
                      <w:highlight w:val="none"/>
                    </w:rPr>
                    <w:t>禁止在自然保护区核心区、缓冲区的岸线和河段范围内投资建设旅游和生产经营项目。禁止在风景名胜区核心景区的岸线和河段范围内投资建设与风景名胜资源保护无关的项目。</w:t>
                  </w:r>
                </w:p>
              </w:tc>
              <w:tc>
                <w:tcPr>
                  <w:tcW w:w="1315" w:type="dxa"/>
                  <w:noWrap/>
                  <w:tcMar>
                    <w:top w:w="15" w:type="dxa"/>
                    <w:left w:w="15" w:type="dxa"/>
                    <w:bottom w:w="0" w:type="dxa"/>
                    <w:right w:w="15" w:type="dxa"/>
                  </w:tcMar>
                  <w:vAlign w:val="center"/>
                </w:tcPr>
                <w:p w14:paraId="2BBC61C1">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rPr>
                  </w:pPr>
                  <w:r>
                    <w:rPr>
                      <w:rFonts w:eastAsia="宋体" w:cs="Times New Roman"/>
                      <w:color w:val="auto"/>
                      <w:sz w:val="21"/>
                      <w:szCs w:val="21"/>
                      <w:highlight w:val="none"/>
                    </w:rPr>
                    <w:t>本项目不涉及自然保护区或风景名胜区</w:t>
                  </w:r>
                </w:p>
              </w:tc>
              <w:tc>
                <w:tcPr>
                  <w:tcW w:w="1033" w:type="dxa"/>
                  <w:noWrap/>
                  <w:tcMar>
                    <w:top w:w="15" w:type="dxa"/>
                    <w:left w:w="15" w:type="dxa"/>
                    <w:bottom w:w="0" w:type="dxa"/>
                    <w:right w:w="15" w:type="dxa"/>
                  </w:tcMar>
                  <w:vAlign w:val="center"/>
                </w:tcPr>
                <w:p w14:paraId="1A3C2D18">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color w:val="auto"/>
                      <w:sz w:val="21"/>
                      <w:szCs w:val="21"/>
                      <w:highlight w:val="none"/>
                    </w:rPr>
                  </w:pPr>
                  <w:r>
                    <w:rPr>
                      <w:rFonts w:eastAsia="宋体" w:cs="Times New Roman"/>
                      <w:color w:val="auto"/>
                      <w:sz w:val="21"/>
                      <w:szCs w:val="21"/>
                      <w:highlight w:val="none"/>
                    </w:rPr>
                    <w:t>否</w:t>
                  </w:r>
                </w:p>
              </w:tc>
            </w:tr>
            <w:tr w14:paraId="6EEF2545">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0" w:type="dxa"/>
                  <w:bottom w:w="0" w:type="dxa"/>
                  <w:right w:w="0" w:type="dxa"/>
                </w:tblCellMar>
              </w:tblPrEx>
              <w:trPr>
                <w:trHeight w:val="340" w:hRule="atLeast"/>
              </w:trPr>
              <w:tc>
                <w:tcPr>
                  <w:tcW w:w="410" w:type="dxa"/>
                  <w:noWrap/>
                  <w:tcMar>
                    <w:top w:w="15" w:type="dxa"/>
                    <w:left w:w="15" w:type="dxa"/>
                    <w:bottom w:w="0" w:type="dxa"/>
                    <w:right w:w="15" w:type="dxa"/>
                  </w:tcMar>
                  <w:vAlign w:val="center"/>
                </w:tcPr>
                <w:p w14:paraId="22984871">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color w:val="auto"/>
                      <w:sz w:val="21"/>
                      <w:szCs w:val="21"/>
                      <w:highlight w:val="none"/>
                    </w:rPr>
                  </w:pPr>
                  <w:r>
                    <w:rPr>
                      <w:rFonts w:eastAsia="宋体" w:cs="Times New Roman"/>
                      <w:color w:val="auto"/>
                      <w:sz w:val="21"/>
                      <w:szCs w:val="21"/>
                      <w:highlight w:val="none"/>
                    </w:rPr>
                    <w:t>3</w:t>
                  </w:r>
                </w:p>
              </w:tc>
              <w:tc>
                <w:tcPr>
                  <w:tcW w:w="4800" w:type="dxa"/>
                  <w:noWrap/>
                  <w:tcMar>
                    <w:top w:w="15" w:type="dxa"/>
                    <w:left w:w="15" w:type="dxa"/>
                    <w:bottom w:w="0" w:type="dxa"/>
                    <w:right w:w="15" w:type="dxa"/>
                  </w:tcMar>
                  <w:vAlign w:val="center"/>
                </w:tcPr>
                <w:p w14:paraId="7F560AB3">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rPr>
                  </w:pPr>
                  <w:r>
                    <w:rPr>
                      <w:rFonts w:eastAsia="宋体" w:cs="Times New Roman"/>
                      <w:color w:val="auto"/>
                      <w:sz w:val="21"/>
                      <w:szCs w:val="21"/>
                      <w:highlight w:val="none"/>
                    </w:rPr>
                    <w:t>禁止在饮用水源一级保护区的岸线和河段范围内新建、改建、扩建与供水设施和保护无关的项目，以及网箱养殖、</w:t>
                  </w:r>
                  <w:r>
                    <w:rPr>
                      <w:rFonts w:hint="eastAsia" w:eastAsia="宋体" w:cs="Times New Roman"/>
                      <w:color w:val="auto"/>
                      <w:sz w:val="21"/>
                      <w:szCs w:val="21"/>
                      <w:highlight w:val="none"/>
                      <w:lang w:val="en-US"/>
                    </w:rPr>
                    <w:t>畜禽养殖、</w:t>
                  </w:r>
                  <w:r>
                    <w:rPr>
                      <w:rFonts w:eastAsia="宋体" w:cs="Times New Roman"/>
                      <w:color w:val="auto"/>
                      <w:sz w:val="21"/>
                      <w:szCs w:val="21"/>
                      <w:highlight w:val="none"/>
                    </w:rPr>
                    <w:t>旅游等可能污染饮用水体的投资建设项目</w:t>
                  </w:r>
                  <w:r>
                    <w:rPr>
                      <w:rFonts w:hint="eastAsia" w:eastAsia="宋体" w:cs="Times New Roman"/>
                      <w:color w:val="auto"/>
                      <w:sz w:val="21"/>
                      <w:szCs w:val="21"/>
                      <w:highlight w:val="none"/>
                    </w:rPr>
                    <w:t>。</w:t>
                  </w:r>
                  <w:r>
                    <w:rPr>
                      <w:rFonts w:eastAsia="宋体" w:cs="Times New Roman"/>
                      <w:color w:val="auto"/>
                      <w:sz w:val="21"/>
                      <w:szCs w:val="21"/>
                      <w:highlight w:val="none"/>
                    </w:rPr>
                    <w:t>禁止在饮用水水源二级保护区的岸线和河段范围内新建、改建、扩建排放污染物的投资建设项目。</w:t>
                  </w:r>
                </w:p>
              </w:tc>
              <w:tc>
                <w:tcPr>
                  <w:tcW w:w="1315" w:type="dxa"/>
                  <w:noWrap/>
                  <w:tcMar>
                    <w:top w:w="15" w:type="dxa"/>
                    <w:left w:w="15" w:type="dxa"/>
                    <w:bottom w:w="0" w:type="dxa"/>
                    <w:right w:w="15" w:type="dxa"/>
                  </w:tcMar>
                  <w:vAlign w:val="center"/>
                </w:tcPr>
                <w:p w14:paraId="2001F428">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rPr>
                  </w:pPr>
                  <w:r>
                    <w:rPr>
                      <w:rFonts w:eastAsia="宋体" w:cs="Times New Roman"/>
                      <w:color w:val="auto"/>
                      <w:sz w:val="21"/>
                      <w:szCs w:val="21"/>
                      <w:highlight w:val="none"/>
                    </w:rPr>
                    <w:t>本项目不涉及饮用水水源保护区</w:t>
                  </w:r>
                </w:p>
              </w:tc>
              <w:tc>
                <w:tcPr>
                  <w:tcW w:w="1033" w:type="dxa"/>
                  <w:noWrap/>
                  <w:tcMar>
                    <w:top w:w="15" w:type="dxa"/>
                    <w:left w:w="15" w:type="dxa"/>
                    <w:bottom w:w="0" w:type="dxa"/>
                    <w:right w:w="15" w:type="dxa"/>
                  </w:tcMar>
                  <w:vAlign w:val="center"/>
                </w:tcPr>
                <w:p w14:paraId="291B7828">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color w:val="auto"/>
                      <w:sz w:val="21"/>
                      <w:szCs w:val="21"/>
                      <w:highlight w:val="none"/>
                    </w:rPr>
                  </w:pPr>
                  <w:r>
                    <w:rPr>
                      <w:rFonts w:eastAsia="宋体" w:cs="Times New Roman"/>
                      <w:color w:val="auto"/>
                      <w:sz w:val="21"/>
                      <w:szCs w:val="21"/>
                      <w:highlight w:val="none"/>
                    </w:rPr>
                    <w:t>否</w:t>
                  </w:r>
                </w:p>
              </w:tc>
            </w:tr>
            <w:tr w14:paraId="5BF40397">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0" w:type="dxa"/>
                  <w:bottom w:w="0" w:type="dxa"/>
                  <w:right w:w="0" w:type="dxa"/>
                </w:tblCellMar>
              </w:tblPrEx>
              <w:trPr>
                <w:trHeight w:val="340" w:hRule="atLeast"/>
              </w:trPr>
              <w:tc>
                <w:tcPr>
                  <w:tcW w:w="410" w:type="dxa"/>
                  <w:noWrap/>
                  <w:tcMar>
                    <w:top w:w="15" w:type="dxa"/>
                    <w:left w:w="15" w:type="dxa"/>
                    <w:bottom w:w="0" w:type="dxa"/>
                    <w:right w:w="15" w:type="dxa"/>
                  </w:tcMar>
                  <w:vAlign w:val="center"/>
                </w:tcPr>
                <w:p w14:paraId="714B7780">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color w:val="auto"/>
                      <w:sz w:val="21"/>
                      <w:szCs w:val="21"/>
                      <w:highlight w:val="none"/>
                    </w:rPr>
                  </w:pPr>
                  <w:r>
                    <w:rPr>
                      <w:rFonts w:eastAsia="宋体" w:cs="Times New Roman"/>
                      <w:color w:val="auto"/>
                      <w:sz w:val="21"/>
                      <w:szCs w:val="21"/>
                      <w:highlight w:val="none"/>
                    </w:rPr>
                    <w:t>4</w:t>
                  </w:r>
                </w:p>
              </w:tc>
              <w:tc>
                <w:tcPr>
                  <w:tcW w:w="4800" w:type="dxa"/>
                  <w:noWrap/>
                  <w:tcMar>
                    <w:top w:w="15" w:type="dxa"/>
                    <w:left w:w="15" w:type="dxa"/>
                    <w:bottom w:w="0" w:type="dxa"/>
                    <w:right w:w="15" w:type="dxa"/>
                  </w:tcMar>
                  <w:vAlign w:val="center"/>
                </w:tcPr>
                <w:p w14:paraId="49ACE20D">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rPr>
                  </w:pPr>
                  <w:r>
                    <w:rPr>
                      <w:rFonts w:eastAsia="宋体" w:cs="Times New Roman"/>
                      <w:color w:val="auto"/>
                      <w:sz w:val="21"/>
                      <w:szCs w:val="21"/>
                      <w:highlight w:val="none"/>
                    </w:rPr>
                    <w:t>禁止在水产种质资源保护区的岸线和河段范围内新</w:t>
                  </w:r>
                  <w:r>
                    <w:rPr>
                      <w:rFonts w:hint="eastAsia" w:eastAsia="宋体" w:cs="Times New Roman"/>
                      <w:color w:val="auto"/>
                      <w:sz w:val="21"/>
                      <w:szCs w:val="21"/>
                      <w:highlight w:val="none"/>
                      <w:lang w:val="en-US"/>
                    </w:rPr>
                    <w:t>建围湖造田、围海造地或围填海等投资建设项目</w:t>
                  </w:r>
                  <w:r>
                    <w:rPr>
                      <w:rFonts w:eastAsia="宋体" w:cs="Times New Roman"/>
                      <w:color w:val="auto"/>
                      <w:sz w:val="21"/>
                      <w:szCs w:val="21"/>
                      <w:highlight w:val="none"/>
                    </w:rPr>
                    <w:t>。禁止在国家湿地公园的岸线和河段范围内挖沙、采矿，以及任何不符合主</w:t>
                  </w:r>
                  <w:r>
                    <w:rPr>
                      <w:rFonts w:hint="eastAsia" w:cs="Times New Roman"/>
                      <w:color w:val="auto"/>
                      <w:sz w:val="21"/>
                      <w:szCs w:val="21"/>
                      <w:highlight w:val="none"/>
                      <w:lang w:val="en-US" w:eastAsia="zh-CN"/>
                    </w:rPr>
                    <w:t>体</w:t>
                  </w:r>
                  <w:r>
                    <w:rPr>
                      <w:rFonts w:eastAsia="宋体" w:cs="Times New Roman"/>
                      <w:color w:val="auto"/>
                      <w:sz w:val="21"/>
                      <w:szCs w:val="21"/>
                      <w:highlight w:val="none"/>
                    </w:rPr>
                    <w:t>功能定位的投资建设项目。</w:t>
                  </w:r>
                </w:p>
              </w:tc>
              <w:tc>
                <w:tcPr>
                  <w:tcW w:w="1315" w:type="dxa"/>
                  <w:noWrap/>
                  <w:tcMar>
                    <w:top w:w="15" w:type="dxa"/>
                    <w:left w:w="15" w:type="dxa"/>
                    <w:bottom w:w="0" w:type="dxa"/>
                    <w:right w:w="15" w:type="dxa"/>
                  </w:tcMar>
                  <w:vAlign w:val="center"/>
                </w:tcPr>
                <w:p w14:paraId="1A2BA825">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rPr>
                  </w:pPr>
                  <w:r>
                    <w:rPr>
                      <w:rFonts w:eastAsia="宋体" w:cs="Times New Roman"/>
                      <w:color w:val="auto"/>
                      <w:sz w:val="21"/>
                      <w:szCs w:val="21"/>
                      <w:highlight w:val="none"/>
                    </w:rPr>
                    <w:t>本项目不涉及水产种质资源保护区或湿地公园</w:t>
                  </w:r>
                </w:p>
              </w:tc>
              <w:tc>
                <w:tcPr>
                  <w:tcW w:w="1033" w:type="dxa"/>
                  <w:noWrap/>
                  <w:tcMar>
                    <w:top w:w="15" w:type="dxa"/>
                    <w:left w:w="15" w:type="dxa"/>
                    <w:bottom w:w="0" w:type="dxa"/>
                    <w:right w:w="15" w:type="dxa"/>
                  </w:tcMar>
                  <w:vAlign w:val="center"/>
                </w:tcPr>
                <w:p w14:paraId="376B1B69">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color w:val="auto"/>
                      <w:sz w:val="21"/>
                      <w:szCs w:val="21"/>
                      <w:highlight w:val="none"/>
                    </w:rPr>
                  </w:pPr>
                  <w:r>
                    <w:rPr>
                      <w:rFonts w:eastAsia="宋体" w:cs="Times New Roman"/>
                      <w:color w:val="auto"/>
                      <w:sz w:val="21"/>
                      <w:szCs w:val="21"/>
                      <w:highlight w:val="none"/>
                    </w:rPr>
                    <w:t>否</w:t>
                  </w:r>
                </w:p>
              </w:tc>
            </w:tr>
            <w:tr w14:paraId="365810E6">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0" w:type="dxa"/>
                  <w:bottom w:w="0" w:type="dxa"/>
                  <w:right w:w="0" w:type="dxa"/>
                </w:tblCellMar>
              </w:tblPrEx>
              <w:trPr>
                <w:trHeight w:val="340" w:hRule="atLeast"/>
              </w:trPr>
              <w:tc>
                <w:tcPr>
                  <w:tcW w:w="410" w:type="dxa"/>
                  <w:noWrap/>
                  <w:tcMar>
                    <w:top w:w="15" w:type="dxa"/>
                    <w:left w:w="15" w:type="dxa"/>
                    <w:bottom w:w="0" w:type="dxa"/>
                    <w:right w:w="15" w:type="dxa"/>
                  </w:tcMar>
                  <w:vAlign w:val="center"/>
                </w:tcPr>
                <w:p w14:paraId="52535D86">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color w:val="auto"/>
                      <w:sz w:val="21"/>
                      <w:szCs w:val="21"/>
                      <w:highlight w:val="none"/>
                    </w:rPr>
                  </w:pPr>
                  <w:r>
                    <w:rPr>
                      <w:rFonts w:eastAsia="宋体" w:cs="Times New Roman"/>
                      <w:color w:val="auto"/>
                      <w:sz w:val="21"/>
                      <w:szCs w:val="21"/>
                      <w:highlight w:val="none"/>
                    </w:rPr>
                    <w:t>5</w:t>
                  </w:r>
                </w:p>
              </w:tc>
              <w:tc>
                <w:tcPr>
                  <w:tcW w:w="4800" w:type="dxa"/>
                  <w:noWrap/>
                  <w:tcMar>
                    <w:top w:w="15" w:type="dxa"/>
                    <w:left w:w="15" w:type="dxa"/>
                    <w:bottom w:w="0" w:type="dxa"/>
                    <w:right w:w="15" w:type="dxa"/>
                  </w:tcMar>
                  <w:vAlign w:val="center"/>
                </w:tcPr>
                <w:p w14:paraId="1A5B81FC">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rPr>
                  </w:pPr>
                  <w:r>
                    <w:rPr>
                      <w:rFonts w:hint="eastAsia" w:eastAsia="宋体" w:cs="Times New Roman"/>
                      <w:color w:val="auto"/>
                      <w:sz w:val="21"/>
                      <w:szCs w:val="21"/>
                      <w:highlight w:val="none"/>
                      <w:lang w:val="en-US"/>
                    </w:rPr>
                    <w:t>禁止违法利用、占用长江流域河湖岸线。</w:t>
                  </w:r>
                  <w:r>
                    <w:rPr>
                      <w:rFonts w:eastAsia="宋体" w:cs="Times New Roman"/>
                      <w:color w:val="auto"/>
                      <w:sz w:val="21"/>
                      <w:szCs w:val="21"/>
                      <w:highlight w:val="none"/>
                    </w:rPr>
                    <w:t>禁止在《长江岸线保护和开发利用总体规划》划定的岸线保护区内投资建设除</w:t>
                  </w:r>
                  <w:r>
                    <w:rPr>
                      <w:rFonts w:hint="eastAsia" w:eastAsia="宋体" w:cs="Times New Roman"/>
                      <w:color w:val="auto"/>
                      <w:sz w:val="21"/>
                      <w:szCs w:val="21"/>
                      <w:highlight w:val="none"/>
                      <w:lang w:val="en-US"/>
                    </w:rPr>
                    <w:t>事关公共安全及公众利益的防洪护岸、河道治理、供水、生态环境保护、航道整治、国家重要基础设施以外的项目</w:t>
                  </w:r>
                  <w:r>
                    <w:rPr>
                      <w:rFonts w:eastAsia="宋体" w:cs="Times New Roman"/>
                      <w:color w:val="auto"/>
                      <w:sz w:val="21"/>
                      <w:szCs w:val="21"/>
                      <w:highlight w:val="none"/>
                    </w:rPr>
                    <w:t>。禁止在《全国重要江河湖泊水功能区划》划定的河段</w:t>
                  </w:r>
                  <w:r>
                    <w:rPr>
                      <w:rFonts w:hint="eastAsia" w:eastAsia="宋体" w:cs="Times New Roman"/>
                      <w:color w:val="auto"/>
                      <w:sz w:val="21"/>
                      <w:szCs w:val="21"/>
                      <w:highlight w:val="none"/>
                      <w:lang w:val="en-US"/>
                    </w:rPr>
                    <w:t>及湖泊</w:t>
                  </w:r>
                  <w:r>
                    <w:rPr>
                      <w:rFonts w:eastAsia="宋体" w:cs="Times New Roman"/>
                      <w:color w:val="auto"/>
                      <w:sz w:val="21"/>
                      <w:szCs w:val="21"/>
                      <w:highlight w:val="none"/>
                    </w:rPr>
                    <w:t>保护区、保留区内投资建设不利于水资源及自然生态保护的项目。</w:t>
                  </w:r>
                </w:p>
              </w:tc>
              <w:tc>
                <w:tcPr>
                  <w:tcW w:w="1315" w:type="dxa"/>
                  <w:noWrap/>
                  <w:tcMar>
                    <w:top w:w="15" w:type="dxa"/>
                    <w:left w:w="15" w:type="dxa"/>
                    <w:bottom w:w="0" w:type="dxa"/>
                    <w:right w:w="15" w:type="dxa"/>
                  </w:tcMar>
                  <w:vAlign w:val="center"/>
                </w:tcPr>
                <w:p w14:paraId="19BD2C87">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rPr>
                  </w:pPr>
                  <w:r>
                    <w:rPr>
                      <w:rFonts w:eastAsia="宋体" w:cs="Times New Roman"/>
                      <w:color w:val="auto"/>
                      <w:sz w:val="21"/>
                      <w:szCs w:val="21"/>
                      <w:highlight w:val="none"/>
                    </w:rPr>
                    <w:t>本项目不占用划定的岸线保护区</w:t>
                  </w:r>
                </w:p>
              </w:tc>
              <w:tc>
                <w:tcPr>
                  <w:tcW w:w="1033" w:type="dxa"/>
                  <w:noWrap/>
                  <w:tcMar>
                    <w:top w:w="15" w:type="dxa"/>
                    <w:left w:w="15" w:type="dxa"/>
                    <w:bottom w:w="0" w:type="dxa"/>
                    <w:right w:w="15" w:type="dxa"/>
                  </w:tcMar>
                  <w:vAlign w:val="center"/>
                </w:tcPr>
                <w:p w14:paraId="771AAFB1">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color w:val="auto"/>
                      <w:sz w:val="21"/>
                      <w:szCs w:val="21"/>
                      <w:highlight w:val="none"/>
                    </w:rPr>
                  </w:pPr>
                  <w:r>
                    <w:rPr>
                      <w:rFonts w:eastAsia="宋体" w:cs="Times New Roman"/>
                      <w:color w:val="auto"/>
                      <w:sz w:val="21"/>
                      <w:szCs w:val="21"/>
                      <w:highlight w:val="none"/>
                    </w:rPr>
                    <w:t>否</w:t>
                  </w:r>
                </w:p>
              </w:tc>
            </w:tr>
            <w:tr w14:paraId="73B63B06">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0" w:type="dxa"/>
                  <w:bottom w:w="0" w:type="dxa"/>
                  <w:right w:w="0" w:type="dxa"/>
                </w:tblCellMar>
              </w:tblPrEx>
              <w:trPr>
                <w:trHeight w:val="340" w:hRule="atLeast"/>
              </w:trPr>
              <w:tc>
                <w:tcPr>
                  <w:tcW w:w="410" w:type="dxa"/>
                  <w:noWrap/>
                  <w:tcMar>
                    <w:top w:w="15" w:type="dxa"/>
                    <w:left w:w="15" w:type="dxa"/>
                    <w:bottom w:w="0" w:type="dxa"/>
                    <w:right w:w="15" w:type="dxa"/>
                  </w:tcMar>
                  <w:vAlign w:val="center"/>
                </w:tcPr>
                <w:p w14:paraId="625CD574">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color w:val="auto"/>
                      <w:sz w:val="21"/>
                      <w:szCs w:val="21"/>
                      <w:highlight w:val="none"/>
                    </w:rPr>
                  </w:pPr>
                  <w:r>
                    <w:rPr>
                      <w:rFonts w:eastAsia="宋体" w:cs="Times New Roman"/>
                      <w:color w:val="auto"/>
                      <w:sz w:val="21"/>
                      <w:szCs w:val="21"/>
                      <w:highlight w:val="none"/>
                    </w:rPr>
                    <w:t>6</w:t>
                  </w:r>
                </w:p>
              </w:tc>
              <w:tc>
                <w:tcPr>
                  <w:tcW w:w="4800" w:type="dxa"/>
                  <w:noWrap/>
                  <w:tcMar>
                    <w:top w:w="15" w:type="dxa"/>
                    <w:left w:w="15" w:type="dxa"/>
                    <w:bottom w:w="0" w:type="dxa"/>
                    <w:right w:w="15" w:type="dxa"/>
                  </w:tcMar>
                  <w:vAlign w:val="center"/>
                </w:tcPr>
                <w:p w14:paraId="34687545">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rPr>
                  </w:pPr>
                  <w:r>
                    <w:rPr>
                      <w:rFonts w:eastAsia="宋体" w:cs="Times New Roman"/>
                      <w:color w:val="auto"/>
                      <w:sz w:val="21"/>
                      <w:szCs w:val="21"/>
                      <w:highlight w:val="none"/>
                    </w:rPr>
                    <w:t>禁止</w:t>
                  </w:r>
                  <w:r>
                    <w:rPr>
                      <w:rFonts w:hint="eastAsia" w:eastAsia="宋体" w:cs="Times New Roman"/>
                      <w:color w:val="auto"/>
                      <w:sz w:val="21"/>
                      <w:szCs w:val="21"/>
                      <w:highlight w:val="none"/>
                      <w:lang w:val="en-US"/>
                    </w:rPr>
                    <w:t>未经许可在长江干支流及湖泊新设、改设或扩大排污口</w:t>
                  </w:r>
                  <w:r>
                    <w:rPr>
                      <w:rFonts w:eastAsia="宋体" w:cs="Times New Roman"/>
                      <w:color w:val="auto"/>
                      <w:sz w:val="21"/>
                      <w:szCs w:val="21"/>
                      <w:highlight w:val="none"/>
                    </w:rPr>
                    <w:t>。</w:t>
                  </w:r>
                </w:p>
              </w:tc>
              <w:tc>
                <w:tcPr>
                  <w:tcW w:w="1315" w:type="dxa"/>
                  <w:noWrap/>
                  <w:tcMar>
                    <w:top w:w="15" w:type="dxa"/>
                    <w:left w:w="15" w:type="dxa"/>
                    <w:bottom w:w="0" w:type="dxa"/>
                    <w:right w:w="15" w:type="dxa"/>
                  </w:tcMar>
                  <w:vAlign w:val="center"/>
                </w:tcPr>
                <w:p w14:paraId="1B1251E1">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lang w:val="en-US"/>
                    </w:rPr>
                  </w:pPr>
                  <w:r>
                    <w:rPr>
                      <w:rFonts w:eastAsia="宋体" w:cs="Times New Roman"/>
                      <w:color w:val="auto"/>
                      <w:sz w:val="21"/>
                      <w:szCs w:val="21"/>
                      <w:highlight w:val="none"/>
                    </w:rPr>
                    <w:t>本项目</w:t>
                  </w:r>
                  <w:r>
                    <w:rPr>
                      <w:rFonts w:hint="eastAsia" w:eastAsia="宋体" w:cs="Times New Roman"/>
                      <w:color w:val="auto"/>
                      <w:sz w:val="21"/>
                      <w:szCs w:val="21"/>
                      <w:highlight w:val="none"/>
                      <w:lang w:val="en-US"/>
                    </w:rPr>
                    <w:t>不在长江干支流及湖泊新设、改设或扩大排污口</w:t>
                  </w:r>
                </w:p>
              </w:tc>
              <w:tc>
                <w:tcPr>
                  <w:tcW w:w="1033" w:type="dxa"/>
                  <w:noWrap/>
                  <w:tcMar>
                    <w:top w:w="15" w:type="dxa"/>
                    <w:left w:w="15" w:type="dxa"/>
                    <w:bottom w:w="0" w:type="dxa"/>
                    <w:right w:w="15" w:type="dxa"/>
                  </w:tcMar>
                  <w:vAlign w:val="center"/>
                </w:tcPr>
                <w:p w14:paraId="4A1D529B">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color w:val="auto"/>
                      <w:sz w:val="21"/>
                      <w:szCs w:val="21"/>
                      <w:highlight w:val="none"/>
                    </w:rPr>
                  </w:pPr>
                  <w:r>
                    <w:rPr>
                      <w:rFonts w:eastAsia="宋体" w:cs="Times New Roman"/>
                      <w:color w:val="auto"/>
                      <w:sz w:val="21"/>
                      <w:szCs w:val="21"/>
                      <w:highlight w:val="none"/>
                    </w:rPr>
                    <w:t>否</w:t>
                  </w:r>
                </w:p>
              </w:tc>
            </w:tr>
            <w:tr w14:paraId="62DF633C">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0" w:type="dxa"/>
                  <w:bottom w:w="0" w:type="dxa"/>
                  <w:right w:w="0" w:type="dxa"/>
                </w:tblCellMar>
              </w:tblPrEx>
              <w:trPr>
                <w:trHeight w:val="340" w:hRule="atLeast"/>
              </w:trPr>
              <w:tc>
                <w:tcPr>
                  <w:tcW w:w="410" w:type="dxa"/>
                  <w:noWrap/>
                  <w:tcMar>
                    <w:top w:w="15" w:type="dxa"/>
                    <w:left w:w="15" w:type="dxa"/>
                    <w:bottom w:w="0" w:type="dxa"/>
                    <w:right w:w="15" w:type="dxa"/>
                  </w:tcMar>
                  <w:vAlign w:val="center"/>
                </w:tcPr>
                <w:p w14:paraId="5C416D05">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color w:val="auto"/>
                      <w:sz w:val="21"/>
                      <w:szCs w:val="21"/>
                      <w:highlight w:val="none"/>
                    </w:rPr>
                  </w:pPr>
                  <w:r>
                    <w:rPr>
                      <w:rFonts w:eastAsia="宋体" w:cs="Times New Roman"/>
                      <w:color w:val="auto"/>
                      <w:sz w:val="21"/>
                      <w:szCs w:val="21"/>
                      <w:highlight w:val="none"/>
                    </w:rPr>
                    <w:t>7</w:t>
                  </w:r>
                </w:p>
              </w:tc>
              <w:tc>
                <w:tcPr>
                  <w:tcW w:w="4800" w:type="dxa"/>
                  <w:noWrap/>
                  <w:tcMar>
                    <w:top w:w="15" w:type="dxa"/>
                    <w:left w:w="15" w:type="dxa"/>
                    <w:bottom w:w="0" w:type="dxa"/>
                    <w:right w:w="15" w:type="dxa"/>
                  </w:tcMar>
                  <w:vAlign w:val="center"/>
                </w:tcPr>
                <w:p w14:paraId="321D705D">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rPr>
                  </w:pPr>
                  <w:r>
                    <w:rPr>
                      <w:rFonts w:eastAsia="宋体" w:cs="Times New Roman"/>
                      <w:color w:val="auto"/>
                      <w:sz w:val="21"/>
                      <w:szCs w:val="21"/>
                      <w:highlight w:val="none"/>
                    </w:rPr>
                    <w:t>禁止在</w:t>
                  </w:r>
                  <w:r>
                    <w:rPr>
                      <w:rFonts w:hint="eastAsia" w:eastAsia="宋体" w:cs="Times New Roman"/>
                      <w:color w:val="auto"/>
                      <w:sz w:val="21"/>
                      <w:szCs w:val="21"/>
                      <w:highlight w:val="none"/>
                    </w:rPr>
                    <w:t>“</w:t>
                  </w:r>
                  <w:r>
                    <w:rPr>
                      <w:rFonts w:hint="eastAsia" w:eastAsia="宋体" w:cs="Times New Roman"/>
                      <w:color w:val="auto"/>
                      <w:sz w:val="21"/>
                      <w:szCs w:val="21"/>
                      <w:highlight w:val="none"/>
                      <w:lang w:val="en-US"/>
                    </w:rPr>
                    <w:t>一江一口两湖七河</w:t>
                  </w:r>
                  <w:r>
                    <w:rPr>
                      <w:rFonts w:hint="eastAsia" w:eastAsia="宋体" w:cs="Times New Roman"/>
                      <w:color w:val="auto"/>
                      <w:sz w:val="21"/>
                      <w:szCs w:val="21"/>
                      <w:highlight w:val="none"/>
                    </w:rPr>
                    <w:t>”</w:t>
                  </w:r>
                  <w:r>
                    <w:rPr>
                      <w:rFonts w:hint="eastAsia" w:eastAsia="宋体" w:cs="Times New Roman"/>
                      <w:color w:val="auto"/>
                      <w:sz w:val="21"/>
                      <w:szCs w:val="21"/>
                      <w:highlight w:val="none"/>
                      <w:lang w:val="en-US"/>
                    </w:rPr>
                    <w:t>和332个水生生物保护区开展生产性捕捞</w:t>
                  </w:r>
                  <w:r>
                    <w:rPr>
                      <w:rFonts w:eastAsia="宋体" w:cs="Times New Roman"/>
                      <w:color w:val="auto"/>
                      <w:sz w:val="21"/>
                      <w:szCs w:val="21"/>
                      <w:highlight w:val="none"/>
                    </w:rPr>
                    <w:t>。</w:t>
                  </w:r>
                </w:p>
              </w:tc>
              <w:tc>
                <w:tcPr>
                  <w:tcW w:w="1315" w:type="dxa"/>
                  <w:noWrap/>
                  <w:tcMar>
                    <w:top w:w="15" w:type="dxa"/>
                    <w:left w:w="15" w:type="dxa"/>
                    <w:bottom w:w="0" w:type="dxa"/>
                    <w:right w:w="15" w:type="dxa"/>
                  </w:tcMar>
                  <w:vAlign w:val="center"/>
                </w:tcPr>
                <w:p w14:paraId="1F14E65C">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lang w:val="en-US"/>
                    </w:rPr>
                  </w:pPr>
                  <w:r>
                    <w:rPr>
                      <w:rFonts w:eastAsia="宋体" w:cs="Times New Roman"/>
                      <w:color w:val="auto"/>
                      <w:sz w:val="21"/>
                      <w:szCs w:val="21"/>
                      <w:highlight w:val="none"/>
                    </w:rPr>
                    <w:t>本项目</w:t>
                  </w:r>
                  <w:r>
                    <w:rPr>
                      <w:rFonts w:hint="eastAsia" w:eastAsia="宋体" w:cs="Times New Roman"/>
                      <w:color w:val="auto"/>
                      <w:sz w:val="21"/>
                      <w:szCs w:val="21"/>
                      <w:highlight w:val="none"/>
                      <w:lang w:val="en-US"/>
                    </w:rPr>
                    <w:t>不涉及捕捞</w:t>
                  </w:r>
                </w:p>
              </w:tc>
              <w:tc>
                <w:tcPr>
                  <w:tcW w:w="1033" w:type="dxa"/>
                  <w:noWrap/>
                  <w:tcMar>
                    <w:top w:w="15" w:type="dxa"/>
                    <w:left w:w="15" w:type="dxa"/>
                    <w:bottom w:w="0" w:type="dxa"/>
                    <w:right w:w="15" w:type="dxa"/>
                  </w:tcMar>
                  <w:vAlign w:val="center"/>
                </w:tcPr>
                <w:p w14:paraId="3F2A9D39">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color w:val="auto"/>
                      <w:sz w:val="21"/>
                      <w:szCs w:val="21"/>
                      <w:highlight w:val="none"/>
                    </w:rPr>
                  </w:pPr>
                  <w:r>
                    <w:rPr>
                      <w:rFonts w:eastAsia="宋体" w:cs="Times New Roman"/>
                      <w:color w:val="auto"/>
                      <w:sz w:val="21"/>
                      <w:szCs w:val="21"/>
                      <w:highlight w:val="none"/>
                    </w:rPr>
                    <w:t>否</w:t>
                  </w:r>
                </w:p>
              </w:tc>
            </w:tr>
            <w:tr w14:paraId="7961A429">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0" w:type="dxa"/>
                  <w:bottom w:w="0" w:type="dxa"/>
                  <w:right w:w="0" w:type="dxa"/>
                </w:tblCellMar>
              </w:tblPrEx>
              <w:trPr>
                <w:trHeight w:val="340" w:hRule="atLeast"/>
              </w:trPr>
              <w:tc>
                <w:tcPr>
                  <w:tcW w:w="410" w:type="dxa"/>
                  <w:noWrap/>
                  <w:tcMar>
                    <w:top w:w="15" w:type="dxa"/>
                    <w:left w:w="15" w:type="dxa"/>
                    <w:bottom w:w="0" w:type="dxa"/>
                    <w:right w:w="15" w:type="dxa"/>
                  </w:tcMar>
                  <w:vAlign w:val="center"/>
                </w:tcPr>
                <w:p w14:paraId="7E0EECB4">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color w:val="auto"/>
                      <w:sz w:val="21"/>
                      <w:szCs w:val="21"/>
                      <w:highlight w:val="none"/>
                      <w:lang w:val="en-US"/>
                    </w:rPr>
                  </w:pPr>
                  <w:r>
                    <w:rPr>
                      <w:rFonts w:hint="eastAsia" w:eastAsia="宋体" w:cs="Times New Roman"/>
                      <w:color w:val="auto"/>
                      <w:sz w:val="21"/>
                      <w:szCs w:val="21"/>
                      <w:highlight w:val="none"/>
                      <w:lang w:val="en-US"/>
                    </w:rPr>
                    <w:t>8</w:t>
                  </w:r>
                </w:p>
              </w:tc>
              <w:tc>
                <w:tcPr>
                  <w:tcW w:w="4800" w:type="dxa"/>
                  <w:noWrap/>
                  <w:tcMar>
                    <w:top w:w="15" w:type="dxa"/>
                    <w:left w:w="15" w:type="dxa"/>
                    <w:bottom w:w="0" w:type="dxa"/>
                    <w:right w:w="15" w:type="dxa"/>
                  </w:tcMar>
                  <w:vAlign w:val="center"/>
                </w:tcPr>
                <w:p w14:paraId="3225726A">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lang w:val="en-US"/>
                    </w:rPr>
                  </w:pPr>
                  <w:r>
                    <w:rPr>
                      <w:rFonts w:eastAsia="宋体" w:cs="Times New Roman"/>
                      <w:color w:val="auto"/>
                      <w:sz w:val="21"/>
                      <w:szCs w:val="21"/>
                      <w:highlight w:val="none"/>
                    </w:rPr>
                    <w:t>禁止</w:t>
                  </w:r>
                  <w:r>
                    <w:rPr>
                      <w:rFonts w:hint="eastAsia" w:eastAsia="宋体" w:cs="Times New Roman"/>
                      <w:color w:val="auto"/>
                      <w:sz w:val="21"/>
                      <w:szCs w:val="21"/>
                      <w:highlight w:val="none"/>
                      <w:lang w:val="en-US"/>
                    </w:rPr>
                    <w:t>在长江干支流、重要湖泊岸线一公里范围内新建、扩建化工园区和化工项目</w:t>
                  </w:r>
                  <w:r>
                    <w:rPr>
                      <w:rFonts w:eastAsia="宋体" w:cs="Times New Roman"/>
                      <w:color w:val="auto"/>
                      <w:sz w:val="21"/>
                      <w:szCs w:val="21"/>
                      <w:highlight w:val="none"/>
                    </w:rPr>
                    <w:t>。</w:t>
                  </w:r>
                  <w:r>
                    <w:rPr>
                      <w:rFonts w:hint="eastAsia" w:eastAsia="宋体" w:cs="Times New Roman"/>
                      <w:color w:val="auto"/>
                      <w:sz w:val="21"/>
                      <w:szCs w:val="21"/>
                      <w:highlight w:val="none"/>
                      <w:lang w:val="en-US"/>
                    </w:rPr>
                    <w:t>禁止在长江干流岸线三公里范围内和重要支流岸线一公里范围内新建、改建、扩建尾矿库、冶炼渣库和磷石膏库，以提升安全、生态环境保护水平为目的的改建除外。</w:t>
                  </w:r>
                </w:p>
              </w:tc>
              <w:tc>
                <w:tcPr>
                  <w:tcW w:w="1315" w:type="dxa"/>
                  <w:noWrap/>
                  <w:tcMar>
                    <w:top w:w="15" w:type="dxa"/>
                    <w:left w:w="15" w:type="dxa"/>
                    <w:bottom w:w="0" w:type="dxa"/>
                    <w:right w:w="15" w:type="dxa"/>
                  </w:tcMar>
                  <w:vAlign w:val="center"/>
                </w:tcPr>
                <w:p w14:paraId="43726AF3">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lang w:val="en-US"/>
                    </w:rPr>
                  </w:pPr>
                  <w:r>
                    <w:rPr>
                      <w:rFonts w:eastAsia="宋体" w:cs="Times New Roman"/>
                      <w:color w:val="auto"/>
                      <w:sz w:val="21"/>
                      <w:szCs w:val="21"/>
                      <w:highlight w:val="none"/>
                    </w:rPr>
                    <w:t>本项目</w:t>
                  </w:r>
                  <w:r>
                    <w:rPr>
                      <w:rFonts w:hint="eastAsia" w:eastAsia="宋体" w:cs="Times New Roman"/>
                      <w:color w:val="auto"/>
                      <w:sz w:val="21"/>
                      <w:szCs w:val="21"/>
                      <w:highlight w:val="none"/>
                      <w:lang w:val="en-US"/>
                    </w:rPr>
                    <w:t>不属于化工项目及尾矿库、冶炼渣库和磷石膏库项目</w:t>
                  </w:r>
                </w:p>
              </w:tc>
              <w:tc>
                <w:tcPr>
                  <w:tcW w:w="1033" w:type="dxa"/>
                  <w:noWrap/>
                  <w:tcMar>
                    <w:top w:w="15" w:type="dxa"/>
                    <w:left w:w="15" w:type="dxa"/>
                    <w:bottom w:w="0" w:type="dxa"/>
                    <w:right w:w="15" w:type="dxa"/>
                  </w:tcMar>
                  <w:vAlign w:val="center"/>
                </w:tcPr>
                <w:p w14:paraId="550A73CE">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color w:val="auto"/>
                      <w:sz w:val="21"/>
                      <w:szCs w:val="21"/>
                      <w:highlight w:val="none"/>
                    </w:rPr>
                  </w:pPr>
                  <w:r>
                    <w:rPr>
                      <w:rFonts w:eastAsia="宋体" w:cs="Times New Roman"/>
                      <w:color w:val="auto"/>
                      <w:sz w:val="21"/>
                      <w:szCs w:val="21"/>
                      <w:highlight w:val="none"/>
                    </w:rPr>
                    <w:t>否</w:t>
                  </w:r>
                </w:p>
              </w:tc>
            </w:tr>
            <w:tr w14:paraId="0FB24578">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0" w:type="dxa"/>
                  <w:bottom w:w="0" w:type="dxa"/>
                  <w:right w:w="0" w:type="dxa"/>
                </w:tblCellMar>
              </w:tblPrEx>
              <w:trPr>
                <w:trHeight w:val="340" w:hRule="atLeast"/>
              </w:trPr>
              <w:tc>
                <w:tcPr>
                  <w:tcW w:w="410" w:type="dxa"/>
                  <w:noWrap/>
                  <w:tcMar>
                    <w:top w:w="15" w:type="dxa"/>
                    <w:left w:w="15" w:type="dxa"/>
                    <w:bottom w:w="0" w:type="dxa"/>
                    <w:right w:w="15" w:type="dxa"/>
                  </w:tcMar>
                  <w:vAlign w:val="center"/>
                </w:tcPr>
                <w:p w14:paraId="6DB72E17">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color w:val="auto"/>
                      <w:sz w:val="21"/>
                      <w:szCs w:val="21"/>
                      <w:highlight w:val="none"/>
                      <w:lang w:val="en-US"/>
                    </w:rPr>
                  </w:pPr>
                  <w:r>
                    <w:rPr>
                      <w:rFonts w:hint="eastAsia" w:eastAsia="宋体" w:cs="Times New Roman"/>
                      <w:color w:val="auto"/>
                      <w:sz w:val="21"/>
                      <w:szCs w:val="21"/>
                      <w:highlight w:val="none"/>
                      <w:lang w:val="en-US"/>
                    </w:rPr>
                    <w:t>9</w:t>
                  </w:r>
                </w:p>
              </w:tc>
              <w:tc>
                <w:tcPr>
                  <w:tcW w:w="4800" w:type="dxa"/>
                  <w:noWrap/>
                  <w:tcMar>
                    <w:top w:w="15" w:type="dxa"/>
                    <w:left w:w="15" w:type="dxa"/>
                    <w:bottom w:w="0" w:type="dxa"/>
                    <w:right w:w="15" w:type="dxa"/>
                  </w:tcMar>
                  <w:vAlign w:val="center"/>
                </w:tcPr>
                <w:p w14:paraId="53BD8CBC">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rPr>
                  </w:pPr>
                  <w:r>
                    <w:rPr>
                      <w:rFonts w:eastAsia="宋体" w:cs="Times New Roman"/>
                      <w:color w:val="auto"/>
                      <w:sz w:val="21"/>
                      <w:szCs w:val="21"/>
                      <w:highlight w:val="none"/>
                    </w:rPr>
                    <w:t>禁止</w:t>
                  </w:r>
                  <w:r>
                    <w:rPr>
                      <w:rFonts w:hint="eastAsia" w:eastAsia="宋体" w:cs="Times New Roman"/>
                      <w:color w:val="auto"/>
                      <w:sz w:val="21"/>
                      <w:szCs w:val="21"/>
                      <w:highlight w:val="none"/>
                      <w:lang w:val="en-US"/>
                    </w:rPr>
                    <w:t>新建、扩建不符合国家石化、现代煤化工等产业布局规划的项目</w:t>
                  </w:r>
                  <w:r>
                    <w:rPr>
                      <w:rFonts w:eastAsia="宋体" w:cs="Times New Roman"/>
                      <w:color w:val="auto"/>
                      <w:sz w:val="21"/>
                      <w:szCs w:val="21"/>
                      <w:highlight w:val="none"/>
                    </w:rPr>
                    <w:t>。</w:t>
                  </w:r>
                </w:p>
              </w:tc>
              <w:tc>
                <w:tcPr>
                  <w:tcW w:w="1315" w:type="dxa"/>
                  <w:noWrap/>
                  <w:tcMar>
                    <w:top w:w="15" w:type="dxa"/>
                    <w:left w:w="15" w:type="dxa"/>
                    <w:bottom w:w="0" w:type="dxa"/>
                    <w:right w:w="15" w:type="dxa"/>
                  </w:tcMar>
                  <w:vAlign w:val="center"/>
                </w:tcPr>
                <w:p w14:paraId="3D9009D2">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rPr>
                  </w:pPr>
                  <w:r>
                    <w:rPr>
                      <w:rFonts w:eastAsia="宋体" w:cs="Times New Roman"/>
                      <w:color w:val="auto"/>
                      <w:sz w:val="21"/>
                      <w:szCs w:val="21"/>
                      <w:highlight w:val="none"/>
                    </w:rPr>
                    <w:t>本项目不属于</w:t>
                  </w:r>
                  <w:r>
                    <w:rPr>
                      <w:rFonts w:hint="eastAsia" w:eastAsia="宋体" w:cs="Times New Roman"/>
                      <w:color w:val="auto"/>
                      <w:sz w:val="21"/>
                      <w:szCs w:val="21"/>
                      <w:highlight w:val="none"/>
                      <w:lang w:val="en-US"/>
                    </w:rPr>
                    <w:t>石化、现代煤化工</w:t>
                  </w:r>
                  <w:r>
                    <w:rPr>
                      <w:rFonts w:eastAsia="宋体" w:cs="Times New Roman"/>
                      <w:color w:val="auto"/>
                      <w:sz w:val="21"/>
                      <w:szCs w:val="21"/>
                      <w:highlight w:val="none"/>
                    </w:rPr>
                    <w:t>项目</w:t>
                  </w:r>
                </w:p>
              </w:tc>
              <w:tc>
                <w:tcPr>
                  <w:tcW w:w="1033" w:type="dxa"/>
                  <w:noWrap/>
                  <w:tcMar>
                    <w:top w:w="15" w:type="dxa"/>
                    <w:left w:w="15" w:type="dxa"/>
                    <w:bottom w:w="0" w:type="dxa"/>
                    <w:right w:w="15" w:type="dxa"/>
                  </w:tcMar>
                  <w:vAlign w:val="center"/>
                </w:tcPr>
                <w:p w14:paraId="6573C000">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color w:val="auto"/>
                      <w:sz w:val="21"/>
                      <w:szCs w:val="21"/>
                      <w:highlight w:val="none"/>
                    </w:rPr>
                  </w:pPr>
                  <w:r>
                    <w:rPr>
                      <w:rFonts w:eastAsia="宋体" w:cs="Times New Roman"/>
                      <w:color w:val="auto"/>
                      <w:sz w:val="21"/>
                      <w:szCs w:val="21"/>
                      <w:highlight w:val="none"/>
                    </w:rPr>
                    <w:t>否</w:t>
                  </w:r>
                </w:p>
              </w:tc>
            </w:tr>
            <w:tr w14:paraId="592A7FCC">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0" w:type="dxa"/>
                  <w:bottom w:w="0" w:type="dxa"/>
                  <w:right w:w="0" w:type="dxa"/>
                </w:tblCellMar>
              </w:tblPrEx>
              <w:trPr>
                <w:trHeight w:val="340" w:hRule="atLeast"/>
              </w:trPr>
              <w:tc>
                <w:tcPr>
                  <w:tcW w:w="410" w:type="dxa"/>
                  <w:noWrap/>
                  <w:tcMar>
                    <w:top w:w="15" w:type="dxa"/>
                    <w:left w:w="15" w:type="dxa"/>
                    <w:bottom w:w="0" w:type="dxa"/>
                    <w:right w:w="15" w:type="dxa"/>
                  </w:tcMar>
                  <w:vAlign w:val="center"/>
                </w:tcPr>
                <w:p w14:paraId="53013100">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color w:val="auto"/>
                      <w:sz w:val="21"/>
                      <w:szCs w:val="21"/>
                      <w:highlight w:val="none"/>
                      <w:lang w:val="en-US"/>
                    </w:rPr>
                  </w:pPr>
                  <w:r>
                    <w:rPr>
                      <w:rFonts w:eastAsia="宋体" w:cs="Times New Roman"/>
                      <w:color w:val="auto"/>
                      <w:sz w:val="21"/>
                      <w:szCs w:val="21"/>
                      <w:highlight w:val="none"/>
                    </w:rPr>
                    <w:t>1</w:t>
                  </w:r>
                  <w:r>
                    <w:rPr>
                      <w:rFonts w:hint="eastAsia" w:eastAsia="宋体" w:cs="Times New Roman"/>
                      <w:color w:val="auto"/>
                      <w:sz w:val="21"/>
                      <w:szCs w:val="21"/>
                      <w:highlight w:val="none"/>
                      <w:lang w:val="en-US"/>
                    </w:rPr>
                    <w:t>0</w:t>
                  </w:r>
                </w:p>
              </w:tc>
              <w:tc>
                <w:tcPr>
                  <w:tcW w:w="4800" w:type="dxa"/>
                  <w:noWrap/>
                  <w:tcMar>
                    <w:top w:w="15" w:type="dxa"/>
                    <w:left w:w="15" w:type="dxa"/>
                    <w:bottom w:w="0" w:type="dxa"/>
                    <w:right w:w="15" w:type="dxa"/>
                  </w:tcMar>
                  <w:vAlign w:val="center"/>
                </w:tcPr>
                <w:p w14:paraId="3502A394">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lang w:val="en-US"/>
                    </w:rPr>
                  </w:pPr>
                  <w:r>
                    <w:rPr>
                      <w:rFonts w:eastAsia="宋体" w:cs="Times New Roman"/>
                      <w:color w:val="auto"/>
                      <w:sz w:val="21"/>
                      <w:szCs w:val="21"/>
                      <w:highlight w:val="none"/>
                    </w:rPr>
                    <w:t>禁止</w:t>
                  </w:r>
                  <w:r>
                    <w:rPr>
                      <w:rFonts w:hint="eastAsia" w:eastAsia="宋体" w:cs="Times New Roman"/>
                      <w:color w:val="auto"/>
                      <w:sz w:val="21"/>
                      <w:szCs w:val="21"/>
                      <w:highlight w:val="none"/>
                      <w:lang w:val="en-US"/>
                    </w:rPr>
                    <w:t>新建、扩建法律法规和相关政策明令禁止的落后产能项目</w:t>
                  </w:r>
                  <w:r>
                    <w:rPr>
                      <w:rFonts w:eastAsia="宋体" w:cs="Times New Roman"/>
                      <w:color w:val="auto"/>
                      <w:sz w:val="21"/>
                      <w:szCs w:val="21"/>
                      <w:highlight w:val="none"/>
                    </w:rPr>
                    <w:t>。</w:t>
                  </w:r>
                  <w:r>
                    <w:rPr>
                      <w:rFonts w:hint="eastAsia" w:eastAsia="宋体" w:cs="Times New Roman"/>
                      <w:color w:val="auto"/>
                      <w:sz w:val="21"/>
                      <w:szCs w:val="21"/>
                      <w:highlight w:val="none"/>
                      <w:lang w:val="en-US"/>
                    </w:rPr>
                    <w:t>禁止新建、扩建不符合国家产能置换要求的严重过剩产能行业的项目。禁止新建、扩建不符合要求的高耗能高排放项目。</w:t>
                  </w:r>
                </w:p>
              </w:tc>
              <w:tc>
                <w:tcPr>
                  <w:tcW w:w="1315" w:type="dxa"/>
                  <w:noWrap/>
                  <w:tcMar>
                    <w:top w:w="15" w:type="dxa"/>
                    <w:left w:w="15" w:type="dxa"/>
                    <w:bottom w:w="0" w:type="dxa"/>
                    <w:right w:w="15" w:type="dxa"/>
                  </w:tcMar>
                  <w:vAlign w:val="center"/>
                </w:tcPr>
                <w:p w14:paraId="13669DBC">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rPr>
                  </w:pPr>
                  <w:r>
                    <w:rPr>
                      <w:rFonts w:eastAsia="宋体" w:cs="Times New Roman"/>
                      <w:color w:val="auto"/>
                      <w:sz w:val="21"/>
                      <w:szCs w:val="21"/>
                      <w:highlight w:val="none"/>
                    </w:rPr>
                    <w:t>本项目不属于</w:t>
                  </w:r>
                  <w:r>
                    <w:rPr>
                      <w:rFonts w:hint="eastAsia" w:eastAsia="宋体" w:cs="Times New Roman"/>
                      <w:color w:val="auto"/>
                      <w:sz w:val="21"/>
                      <w:szCs w:val="21"/>
                      <w:highlight w:val="none"/>
                      <w:lang w:val="en-US"/>
                    </w:rPr>
                    <w:t>过剩产能项目，不属于</w:t>
                  </w:r>
                  <w:r>
                    <w:rPr>
                      <w:rFonts w:eastAsia="宋体" w:cs="Times New Roman"/>
                      <w:color w:val="auto"/>
                      <w:sz w:val="21"/>
                      <w:szCs w:val="21"/>
                      <w:highlight w:val="none"/>
                    </w:rPr>
                    <w:t>高</w:t>
                  </w:r>
                  <w:r>
                    <w:rPr>
                      <w:rFonts w:hint="eastAsia" w:eastAsia="宋体" w:cs="Times New Roman"/>
                      <w:color w:val="auto"/>
                      <w:sz w:val="21"/>
                      <w:szCs w:val="21"/>
                      <w:highlight w:val="none"/>
                      <w:lang w:val="en-US"/>
                    </w:rPr>
                    <w:t>耗能</w:t>
                  </w:r>
                  <w:r>
                    <w:rPr>
                      <w:rFonts w:hint="eastAsia" w:eastAsia="宋体" w:cs="Times New Roman"/>
                      <w:color w:val="auto"/>
                      <w:sz w:val="21"/>
                      <w:szCs w:val="21"/>
                      <w:highlight w:val="none"/>
                    </w:rPr>
                    <w:t>、</w:t>
                  </w:r>
                  <w:r>
                    <w:rPr>
                      <w:rFonts w:hint="eastAsia" w:eastAsia="宋体" w:cs="Times New Roman"/>
                      <w:color w:val="auto"/>
                      <w:sz w:val="21"/>
                      <w:szCs w:val="21"/>
                      <w:highlight w:val="none"/>
                      <w:lang w:val="en-US"/>
                    </w:rPr>
                    <w:t>高排放</w:t>
                  </w:r>
                  <w:r>
                    <w:rPr>
                      <w:rFonts w:eastAsia="宋体" w:cs="Times New Roman"/>
                      <w:color w:val="auto"/>
                      <w:sz w:val="21"/>
                      <w:szCs w:val="21"/>
                      <w:highlight w:val="none"/>
                    </w:rPr>
                    <w:t>项目</w:t>
                  </w:r>
                </w:p>
              </w:tc>
              <w:tc>
                <w:tcPr>
                  <w:tcW w:w="1033" w:type="dxa"/>
                  <w:noWrap/>
                  <w:tcMar>
                    <w:top w:w="15" w:type="dxa"/>
                    <w:left w:w="15" w:type="dxa"/>
                    <w:bottom w:w="0" w:type="dxa"/>
                    <w:right w:w="15" w:type="dxa"/>
                  </w:tcMar>
                  <w:vAlign w:val="center"/>
                </w:tcPr>
                <w:p w14:paraId="30761BEE">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color w:val="auto"/>
                      <w:sz w:val="21"/>
                      <w:szCs w:val="21"/>
                      <w:highlight w:val="none"/>
                    </w:rPr>
                  </w:pPr>
                  <w:r>
                    <w:rPr>
                      <w:rFonts w:eastAsia="宋体" w:cs="Times New Roman"/>
                      <w:color w:val="auto"/>
                      <w:sz w:val="21"/>
                      <w:szCs w:val="21"/>
                      <w:highlight w:val="none"/>
                    </w:rPr>
                    <w:t>否</w:t>
                  </w:r>
                </w:p>
              </w:tc>
            </w:tr>
            <w:tr w14:paraId="06A06FD6">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0" w:type="dxa"/>
                  <w:bottom w:w="0" w:type="dxa"/>
                  <w:right w:w="0" w:type="dxa"/>
                </w:tblCellMar>
              </w:tblPrEx>
              <w:trPr>
                <w:trHeight w:val="340" w:hRule="atLeast"/>
              </w:trPr>
              <w:tc>
                <w:tcPr>
                  <w:tcW w:w="410" w:type="dxa"/>
                  <w:noWrap/>
                  <w:tcMar>
                    <w:top w:w="15" w:type="dxa"/>
                    <w:left w:w="15" w:type="dxa"/>
                    <w:bottom w:w="0" w:type="dxa"/>
                    <w:right w:w="15" w:type="dxa"/>
                  </w:tcMar>
                  <w:vAlign w:val="center"/>
                </w:tcPr>
                <w:p w14:paraId="3BFE2641">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color w:val="auto"/>
                      <w:sz w:val="21"/>
                      <w:szCs w:val="21"/>
                      <w:highlight w:val="none"/>
                      <w:lang w:val="en-US"/>
                    </w:rPr>
                  </w:pPr>
                  <w:r>
                    <w:rPr>
                      <w:rFonts w:eastAsia="宋体" w:cs="Times New Roman"/>
                      <w:color w:val="auto"/>
                      <w:sz w:val="21"/>
                      <w:szCs w:val="21"/>
                      <w:highlight w:val="none"/>
                    </w:rPr>
                    <w:t>1</w:t>
                  </w:r>
                  <w:r>
                    <w:rPr>
                      <w:rFonts w:hint="eastAsia" w:eastAsia="宋体" w:cs="Times New Roman"/>
                      <w:color w:val="auto"/>
                      <w:sz w:val="21"/>
                      <w:szCs w:val="21"/>
                      <w:highlight w:val="none"/>
                      <w:lang w:val="en-US"/>
                    </w:rPr>
                    <w:t>1</w:t>
                  </w:r>
                </w:p>
              </w:tc>
              <w:tc>
                <w:tcPr>
                  <w:tcW w:w="4800" w:type="dxa"/>
                  <w:noWrap/>
                  <w:tcMar>
                    <w:top w:w="15" w:type="dxa"/>
                    <w:left w:w="15" w:type="dxa"/>
                    <w:bottom w:w="0" w:type="dxa"/>
                    <w:right w:w="15" w:type="dxa"/>
                  </w:tcMar>
                  <w:vAlign w:val="center"/>
                </w:tcPr>
                <w:p w14:paraId="4DFE848E">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rPr>
                  </w:pPr>
                  <w:r>
                    <w:rPr>
                      <w:rFonts w:hint="eastAsia" w:eastAsia="宋体" w:cs="Times New Roman"/>
                      <w:color w:val="auto"/>
                      <w:sz w:val="21"/>
                      <w:szCs w:val="21"/>
                      <w:highlight w:val="none"/>
                      <w:lang w:val="en-US"/>
                    </w:rPr>
                    <w:t>法律法规及相关政策文件有更加严格规定的从其规定</w:t>
                  </w:r>
                  <w:r>
                    <w:rPr>
                      <w:rFonts w:eastAsia="宋体" w:cs="Times New Roman"/>
                      <w:color w:val="auto"/>
                      <w:sz w:val="21"/>
                      <w:szCs w:val="21"/>
                      <w:highlight w:val="none"/>
                    </w:rPr>
                    <w:t>。</w:t>
                  </w:r>
                </w:p>
              </w:tc>
              <w:tc>
                <w:tcPr>
                  <w:tcW w:w="1315" w:type="dxa"/>
                  <w:noWrap/>
                  <w:tcMar>
                    <w:top w:w="15" w:type="dxa"/>
                    <w:left w:w="15" w:type="dxa"/>
                    <w:bottom w:w="0" w:type="dxa"/>
                    <w:right w:w="15" w:type="dxa"/>
                  </w:tcMar>
                  <w:vAlign w:val="center"/>
                </w:tcPr>
                <w:p w14:paraId="18D805E8">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宋体" w:cs="Times New Roman"/>
                      <w:color w:val="auto"/>
                      <w:sz w:val="21"/>
                      <w:szCs w:val="21"/>
                      <w:highlight w:val="none"/>
                      <w:lang w:val="en-US"/>
                    </w:rPr>
                  </w:pPr>
                  <w:r>
                    <w:rPr>
                      <w:rFonts w:eastAsia="宋体" w:cs="Times New Roman"/>
                      <w:color w:val="auto"/>
                      <w:sz w:val="21"/>
                      <w:szCs w:val="21"/>
                      <w:highlight w:val="none"/>
                    </w:rPr>
                    <w:t>本项目</w:t>
                  </w:r>
                  <w:r>
                    <w:rPr>
                      <w:rFonts w:hint="eastAsia" w:eastAsia="宋体" w:cs="Times New Roman"/>
                      <w:color w:val="auto"/>
                      <w:sz w:val="21"/>
                      <w:szCs w:val="21"/>
                      <w:highlight w:val="none"/>
                      <w:lang w:val="en-US"/>
                    </w:rPr>
                    <w:t>严格执行法律法规等相关文件要求</w:t>
                  </w:r>
                </w:p>
              </w:tc>
              <w:tc>
                <w:tcPr>
                  <w:tcW w:w="1033" w:type="dxa"/>
                  <w:noWrap/>
                  <w:tcMar>
                    <w:top w:w="15" w:type="dxa"/>
                    <w:left w:w="15" w:type="dxa"/>
                    <w:bottom w:w="0" w:type="dxa"/>
                    <w:right w:w="15" w:type="dxa"/>
                  </w:tcMar>
                  <w:vAlign w:val="center"/>
                </w:tcPr>
                <w:p w14:paraId="05C48EF0">
                  <w:pPr>
                    <w:pStyle w:val="81"/>
                    <w:keepNext w:val="0"/>
                    <w:keepLines w:val="0"/>
                    <w:pageBreakBefore w:val="0"/>
                    <w:widowControl w:val="0"/>
                    <w:kinsoku/>
                    <w:wordWrap/>
                    <w:overflowPunct/>
                    <w:topLinePunct w:val="0"/>
                    <w:autoSpaceDE/>
                    <w:autoSpaceDN/>
                    <w:bidi w:val="0"/>
                    <w:adjustRightInd/>
                    <w:snapToGrid/>
                    <w:spacing w:line="240" w:lineRule="auto"/>
                    <w:textAlignment w:val="auto"/>
                    <w:rPr>
                      <w:rFonts w:eastAsia="宋体" w:cs="Times New Roman"/>
                      <w:color w:val="auto"/>
                      <w:sz w:val="21"/>
                      <w:szCs w:val="21"/>
                      <w:highlight w:val="none"/>
                    </w:rPr>
                  </w:pPr>
                  <w:r>
                    <w:rPr>
                      <w:rFonts w:eastAsia="宋体" w:cs="Times New Roman"/>
                      <w:color w:val="auto"/>
                      <w:sz w:val="21"/>
                      <w:szCs w:val="21"/>
                      <w:highlight w:val="none"/>
                    </w:rPr>
                    <w:t>否</w:t>
                  </w:r>
                </w:p>
              </w:tc>
            </w:tr>
          </w:tbl>
          <w:p w14:paraId="7139BE18">
            <w:pPr>
              <w:jc w:val="center"/>
              <w:rPr>
                <w:b/>
                <w:color w:val="auto"/>
                <w:sz w:val="24"/>
                <w:highlight w:val="none"/>
              </w:rPr>
            </w:pPr>
          </w:p>
          <w:p w14:paraId="1640D290">
            <w:pPr>
              <w:jc w:val="center"/>
              <w:rPr>
                <w:b/>
                <w:color w:val="auto"/>
                <w:sz w:val="24"/>
                <w:highlight w:val="none"/>
              </w:rPr>
            </w:pPr>
          </w:p>
          <w:p w14:paraId="71CD3D4F">
            <w:pPr>
              <w:jc w:val="center"/>
              <w:rPr>
                <w:b/>
                <w:color w:val="auto"/>
                <w:sz w:val="24"/>
                <w:highlight w:val="none"/>
              </w:rPr>
            </w:pPr>
          </w:p>
          <w:p w14:paraId="55D41A52">
            <w:pPr>
              <w:jc w:val="center"/>
              <w:rPr>
                <w:color w:val="auto"/>
                <w:sz w:val="24"/>
                <w:highlight w:val="none"/>
              </w:rPr>
            </w:pPr>
            <w:r>
              <w:rPr>
                <w:b/>
                <w:color w:val="auto"/>
                <w:sz w:val="24"/>
                <w:highlight w:val="none"/>
              </w:rPr>
              <w:t>表1-</w:t>
            </w:r>
            <w:r>
              <w:rPr>
                <w:rFonts w:hint="eastAsia"/>
                <w:b/>
                <w:color w:val="auto"/>
                <w:sz w:val="24"/>
                <w:highlight w:val="none"/>
                <w:lang w:val="en-US" w:eastAsia="zh-CN"/>
              </w:rPr>
              <w:t>7</w:t>
            </w:r>
            <w:r>
              <w:rPr>
                <w:b/>
                <w:color w:val="auto"/>
                <w:sz w:val="24"/>
                <w:highlight w:val="none"/>
              </w:rPr>
              <w:t xml:space="preserve"> </w:t>
            </w:r>
            <w:r>
              <w:rPr>
                <w:b/>
                <w:bCs/>
                <w:color w:val="auto"/>
                <w:kern w:val="0"/>
                <w:sz w:val="24"/>
                <w:highlight w:val="none"/>
              </w:rPr>
              <w:t>苏长江办发〔2022〕55号文对照分析</w:t>
            </w:r>
          </w:p>
          <w:tbl>
            <w:tblPr>
              <w:tblStyle w:val="3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21"/>
              <w:gridCol w:w="5405"/>
              <w:gridCol w:w="1569"/>
              <w:gridCol w:w="915"/>
            </w:tblGrid>
            <w:tr w14:paraId="0D198E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3" w:type="pct"/>
                  <w:tcBorders>
                    <w:top w:val="single" w:color="000000" w:sz="12" w:space="0"/>
                    <w:bottom w:val="single" w:color="000000" w:sz="12" w:space="0"/>
                  </w:tcBorders>
                  <w:noWrap w:val="0"/>
                  <w:tcMar>
                    <w:top w:w="15" w:type="dxa"/>
                    <w:left w:w="0" w:type="dxa"/>
                    <w:right w:w="0" w:type="dxa"/>
                  </w:tcMar>
                  <w:vAlign w:val="center"/>
                </w:tcPr>
                <w:p w14:paraId="505A32C8">
                  <w:pPr>
                    <w:pStyle w:val="91"/>
                    <w:rPr>
                      <w:b/>
                      <w:bCs/>
                      <w:color w:val="auto"/>
                      <w:highlight w:val="none"/>
                    </w:rPr>
                  </w:pPr>
                  <w:r>
                    <w:rPr>
                      <w:b/>
                      <w:bCs/>
                      <w:color w:val="auto"/>
                      <w:highlight w:val="none"/>
                    </w:rPr>
                    <w:t>序号</w:t>
                  </w:r>
                </w:p>
              </w:tc>
              <w:tc>
                <w:tcPr>
                  <w:tcW w:w="3251" w:type="pct"/>
                  <w:tcBorders>
                    <w:top w:val="single" w:color="000000" w:sz="12" w:space="0"/>
                    <w:bottom w:val="single" w:color="000000" w:sz="12" w:space="0"/>
                  </w:tcBorders>
                  <w:noWrap w:val="0"/>
                  <w:vAlign w:val="center"/>
                </w:tcPr>
                <w:p w14:paraId="6952BF25">
                  <w:pPr>
                    <w:pStyle w:val="91"/>
                    <w:rPr>
                      <w:b/>
                      <w:bCs/>
                      <w:color w:val="auto"/>
                      <w:highlight w:val="none"/>
                    </w:rPr>
                  </w:pPr>
                  <w:r>
                    <w:rPr>
                      <w:b/>
                      <w:bCs/>
                      <w:color w:val="auto"/>
                      <w:highlight w:val="none"/>
                    </w:rPr>
                    <w:t>文件要求</w:t>
                  </w:r>
                </w:p>
              </w:tc>
              <w:tc>
                <w:tcPr>
                  <w:tcW w:w="944" w:type="pct"/>
                  <w:tcBorders>
                    <w:top w:val="single" w:color="000000" w:sz="12" w:space="0"/>
                    <w:bottom w:val="single" w:color="000000" w:sz="12" w:space="0"/>
                  </w:tcBorders>
                  <w:noWrap w:val="0"/>
                  <w:tcMar>
                    <w:top w:w="15" w:type="dxa"/>
                    <w:left w:w="0" w:type="dxa"/>
                    <w:right w:w="0" w:type="dxa"/>
                  </w:tcMar>
                  <w:vAlign w:val="center"/>
                </w:tcPr>
                <w:p w14:paraId="38229367">
                  <w:pPr>
                    <w:pStyle w:val="91"/>
                    <w:rPr>
                      <w:b/>
                      <w:bCs/>
                      <w:color w:val="auto"/>
                      <w:highlight w:val="none"/>
                    </w:rPr>
                  </w:pPr>
                  <w:r>
                    <w:rPr>
                      <w:b/>
                      <w:bCs/>
                      <w:color w:val="auto"/>
                      <w:highlight w:val="none"/>
                    </w:rPr>
                    <w:t>本项目情况</w:t>
                  </w:r>
                </w:p>
              </w:tc>
              <w:tc>
                <w:tcPr>
                  <w:tcW w:w="550" w:type="pct"/>
                  <w:tcBorders>
                    <w:top w:val="single" w:color="000000" w:sz="12" w:space="0"/>
                    <w:bottom w:val="single" w:color="000000" w:sz="12" w:space="0"/>
                  </w:tcBorders>
                  <w:noWrap w:val="0"/>
                  <w:vAlign w:val="center"/>
                </w:tcPr>
                <w:p w14:paraId="33927A8C">
                  <w:pPr>
                    <w:pStyle w:val="91"/>
                    <w:rPr>
                      <w:b/>
                      <w:bCs/>
                      <w:color w:val="auto"/>
                      <w:highlight w:val="none"/>
                    </w:rPr>
                  </w:pPr>
                  <w:r>
                    <w:rPr>
                      <w:b/>
                      <w:bCs/>
                      <w:color w:val="auto"/>
                      <w:highlight w:val="none"/>
                    </w:rPr>
                    <w:t>是否属于禁止范畴</w:t>
                  </w:r>
                </w:p>
              </w:tc>
            </w:tr>
            <w:tr w14:paraId="6E422D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3" w:type="pct"/>
                  <w:tcBorders>
                    <w:top w:val="single" w:color="000000" w:sz="12" w:space="0"/>
                  </w:tcBorders>
                  <w:noWrap w:val="0"/>
                  <w:tcMar>
                    <w:top w:w="15" w:type="dxa"/>
                    <w:left w:w="0" w:type="dxa"/>
                    <w:right w:w="0" w:type="dxa"/>
                  </w:tcMar>
                  <w:vAlign w:val="center"/>
                </w:tcPr>
                <w:p w14:paraId="44B71364">
                  <w:pPr>
                    <w:pStyle w:val="91"/>
                    <w:rPr>
                      <w:color w:val="auto"/>
                      <w:highlight w:val="none"/>
                    </w:rPr>
                  </w:pPr>
                  <w:r>
                    <w:rPr>
                      <w:color w:val="auto"/>
                      <w:highlight w:val="none"/>
                    </w:rPr>
                    <w:t>1</w:t>
                  </w:r>
                </w:p>
              </w:tc>
              <w:tc>
                <w:tcPr>
                  <w:tcW w:w="3251" w:type="pct"/>
                  <w:tcBorders>
                    <w:top w:val="single" w:color="000000" w:sz="12" w:space="0"/>
                  </w:tcBorders>
                  <w:noWrap w:val="0"/>
                  <w:vAlign w:val="center"/>
                </w:tcPr>
                <w:p w14:paraId="7426867A">
                  <w:pPr>
                    <w:pStyle w:val="91"/>
                    <w:jc w:val="both"/>
                    <w:rPr>
                      <w:color w:val="auto"/>
                      <w:highlight w:val="none"/>
                    </w:rPr>
                  </w:pPr>
                  <w:r>
                    <w:rPr>
                      <w:color w:val="auto"/>
                      <w:highlight w:val="none"/>
                    </w:rPr>
                    <w:t>禁止建设不属于国家港口布局规划和《江苏省沿江沿海港口布局规划（2015-2030年）》《江苏省内河港口布局规划（2017-2035年）》以及我省有关港口总体规划的码头项目，禁止建设未纳入《长江干线过江通道布局规划》的过长江干线通道项目。</w:t>
                  </w:r>
                </w:p>
              </w:tc>
              <w:tc>
                <w:tcPr>
                  <w:tcW w:w="944" w:type="pct"/>
                  <w:tcBorders>
                    <w:top w:val="single" w:color="000000" w:sz="12" w:space="0"/>
                  </w:tcBorders>
                  <w:noWrap w:val="0"/>
                  <w:tcMar>
                    <w:top w:w="15" w:type="dxa"/>
                    <w:left w:w="0" w:type="dxa"/>
                    <w:right w:w="0" w:type="dxa"/>
                  </w:tcMar>
                  <w:vAlign w:val="center"/>
                </w:tcPr>
                <w:p w14:paraId="1E08EE65">
                  <w:pPr>
                    <w:pStyle w:val="91"/>
                    <w:jc w:val="center"/>
                    <w:rPr>
                      <w:color w:val="auto"/>
                      <w:highlight w:val="none"/>
                    </w:rPr>
                  </w:pPr>
                  <w:r>
                    <w:rPr>
                      <w:color w:val="auto"/>
                      <w:highlight w:val="none"/>
                    </w:rPr>
                    <w:t>本项目不属于码头或过江通道项目</w:t>
                  </w:r>
                </w:p>
              </w:tc>
              <w:tc>
                <w:tcPr>
                  <w:tcW w:w="550" w:type="pct"/>
                  <w:tcBorders>
                    <w:top w:val="single" w:color="000000" w:sz="12" w:space="0"/>
                  </w:tcBorders>
                  <w:noWrap w:val="0"/>
                  <w:vAlign w:val="center"/>
                </w:tcPr>
                <w:p w14:paraId="1B3C9699">
                  <w:pPr>
                    <w:pStyle w:val="91"/>
                    <w:rPr>
                      <w:color w:val="auto"/>
                      <w:highlight w:val="none"/>
                    </w:rPr>
                  </w:pPr>
                  <w:r>
                    <w:rPr>
                      <w:color w:val="auto"/>
                      <w:highlight w:val="none"/>
                    </w:rPr>
                    <w:t>否</w:t>
                  </w:r>
                </w:p>
              </w:tc>
            </w:tr>
            <w:tr w14:paraId="03CD31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3" w:type="pct"/>
                  <w:noWrap w:val="0"/>
                  <w:tcMar>
                    <w:top w:w="15" w:type="dxa"/>
                    <w:left w:w="0" w:type="dxa"/>
                    <w:right w:w="0" w:type="dxa"/>
                  </w:tcMar>
                  <w:vAlign w:val="center"/>
                </w:tcPr>
                <w:p w14:paraId="6F425505">
                  <w:pPr>
                    <w:pStyle w:val="91"/>
                    <w:rPr>
                      <w:color w:val="auto"/>
                      <w:highlight w:val="none"/>
                    </w:rPr>
                  </w:pPr>
                  <w:r>
                    <w:rPr>
                      <w:color w:val="auto"/>
                      <w:highlight w:val="none"/>
                    </w:rPr>
                    <w:t>2</w:t>
                  </w:r>
                </w:p>
              </w:tc>
              <w:tc>
                <w:tcPr>
                  <w:tcW w:w="3251" w:type="pct"/>
                  <w:noWrap w:val="0"/>
                  <w:vAlign w:val="center"/>
                </w:tcPr>
                <w:p w14:paraId="37E1114D">
                  <w:pPr>
                    <w:pStyle w:val="91"/>
                    <w:jc w:val="both"/>
                    <w:rPr>
                      <w:color w:val="auto"/>
                      <w:highlight w:val="none"/>
                    </w:rPr>
                  </w:pPr>
                  <w:r>
                    <w:rPr>
                      <w:color w:val="auto"/>
                      <w:highlight w:val="none"/>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自然保护区、风景名胜区由省林业局会同有关方面界定并落实管控责任。</w:t>
                  </w:r>
                </w:p>
              </w:tc>
              <w:tc>
                <w:tcPr>
                  <w:tcW w:w="944" w:type="pct"/>
                  <w:noWrap w:val="0"/>
                  <w:tcMar>
                    <w:top w:w="15" w:type="dxa"/>
                    <w:left w:w="0" w:type="dxa"/>
                    <w:right w:w="0" w:type="dxa"/>
                  </w:tcMar>
                  <w:vAlign w:val="center"/>
                </w:tcPr>
                <w:p w14:paraId="243FCCDE">
                  <w:pPr>
                    <w:pStyle w:val="91"/>
                    <w:jc w:val="center"/>
                    <w:rPr>
                      <w:color w:val="auto"/>
                      <w:highlight w:val="none"/>
                    </w:rPr>
                  </w:pPr>
                  <w:r>
                    <w:rPr>
                      <w:color w:val="auto"/>
                      <w:highlight w:val="none"/>
                    </w:rPr>
                    <w:t>本项目不涉及自然保护区或风景名胜区</w:t>
                  </w:r>
                </w:p>
              </w:tc>
              <w:tc>
                <w:tcPr>
                  <w:tcW w:w="550" w:type="pct"/>
                  <w:noWrap w:val="0"/>
                  <w:vAlign w:val="center"/>
                </w:tcPr>
                <w:p w14:paraId="08EAEE65">
                  <w:pPr>
                    <w:pStyle w:val="91"/>
                    <w:rPr>
                      <w:color w:val="auto"/>
                      <w:highlight w:val="none"/>
                    </w:rPr>
                  </w:pPr>
                  <w:r>
                    <w:rPr>
                      <w:color w:val="auto"/>
                      <w:highlight w:val="none"/>
                    </w:rPr>
                    <w:t>否</w:t>
                  </w:r>
                </w:p>
              </w:tc>
            </w:tr>
            <w:tr w14:paraId="78923A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3" w:type="pct"/>
                  <w:noWrap w:val="0"/>
                  <w:tcMar>
                    <w:top w:w="15" w:type="dxa"/>
                    <w:left w:w="0" w:type="dxa"/>
                    <w:right w:w="0" w:type="dxa"/>
                  </w:tcMar>
                  <w:vAlign w:val="center"/>
                </w:tcPr>
                <w:p w14:paraId="2ED5E602">
                  <w:pPr>
                    <w:pStyle w:val="91"/>
                    <w:rPr>
                      <w:color w:val="auto"/>
                      <w:highlight w:val="none"/>
                    </w:rPr>
                  </w:pPr>
                  <w:r>
                    <w:rPr>
                      <w:color w:val="auto"/>
                      <w:highlight w:val="none"/>
                    </w:rPr>
                    <w:t>3</w:t>
                  </w:r>
                </w:p>
              </w:tc>
              <w:tc>
                <w:tcPr>
                  <w:tcW w:w="3251" w:type="pct"/>
                  <w:noWrap w:val="0"/>
                  <w:vAlign w:val="center"/>
                </w:tcPr>
                <w:p w14:paraId="54CE8F94">
                  <w:pPr>
                    <w:pStyle w:val="91"/>
                    <w:jc w:val="both"/>
                    <w:rPr>
                      <w:color w:val="auto"/>
                      <w:highlight w:val="none"/>
                    </w:rPr>
                  </w:pPr>
                  <w:r>
                    <w:rPr>
                      <w:color w:val="auto"/>
                      <w:highlight w:val="none"/>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944" w:type="pct"/>
                  <w:noWrap w:val="0"/>
                  <w:tcMar>
                    <w:top w:w="15" w:type="dxa"/>
                    <w:left w:w="0" w:type="dxa"/>
                    <w:right w:w="0" w:type="dxa"/>
                  </w:tcMar>
                  <w:vAlign w:val="center"/>
                </w:tcPr>
                <w:p w14:paraId="4582208A">
                  <w:pPr>
                    <w:pStyle w:val="91"/>
                    <w:jc w:val="center"/>
                    <w:rPr>
                      <w:color w:val="auto"/>
                      <w:highlight w:val="none"/>
                    </w:rPr>
                  </w:pPr>
                  <w:r>
                    <w:rPr>
                      <w:color w:val="auto"/>
                      <w:highlight w:val="none"/>
                    </w:rPr>
                    <w:t>本项目不涉及饮用水水源保护区</w:t>
                  </w:r>
                </w:p>
              </w:tc>
              <w:tc>
                <w:tcPr>
                  <w:tcW w:w="550" w:type="pct"/>
                  <w:noWrap w:val="0"/>
                  <w:vAlign w:val="center"/>
                </w:tcPr>
                <w:p w14:paraId="31E749C2">
                  <w:pPr>
                    <w:pStyle w:val="91"/>
                    <w:rPr>
                      <w:color w:val="auto"/>
                      <w:highlight w:val="none"/>
                    </w:rPr>
                  </w:pPr>
                  <w:r>
                    <w:rPr>
                      <w:color w:val="auto"/>
                      <w:highlight w:val="none"/>
                    </w:rPr>
                    <w:t>否</w:t>
                  </w:r>
                </w:p>
              </w:tc>
            </w:tr>
            <w:tr w14:paraId="63F657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3" w:type="pct"/>
                  <w:noWrap w:val="0"/>
                  <w:tcMar>
                    <w:top w:w="15" w:type="dxa"/>
                    <w:left w:w="0" w:type="dxa"/>
                    <w:right w:w="0" w:type="dxa"/>
                  </w:tcMar>
                  <w:vAlign w:val="center"/>
                </w:tcPr>
                <w:p w14:paraId="29F0333A">
                  <w:pPr>
                    <w:pStyle w:val="91"/>
                    <w:rPr>
                      <w:color w:val="auto"/>
                      <w:highlight w:val="none"/>
                    </w:rPr>
                  </w:pPr>
                  <w:r>
                    <w:rPr>
                      <w:color w:val="auto"/>
                      <w:highlight w:val="none"/>
                    </w:rPr>
                    <w:t>4</w:t>
                  </w:r>
                </w:p>
              </w:tc>
              <w:tc>
                <w:tcPr>
                  <w:tcW w:w="3251" w:type="pct"/>
                  <w:noWrap w:val="0"/>
                  <w:vAlign w:val="center"/>
                </w:tcPr>
                <w:p w14:paraId="434BED62">
                  <w:pPr>
                    <w:pStyle w:val="91"/>
                    <w:jc w:val="both"/>
                    <w:rPr>
                      <w:color w:val="auto"/>
                      <w:highlight w:val="none"/>
                    </w:rPr>
                  </w:pPr>
                  <w:r>
                    <w:rPr>
                      <w:color w:val="auto"/>
                      <w:highlight w:val="none"/>
                    </w:rPr>
                    <w:t>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tc>
              <w:tc>
                <w:tcPr>
                  <w:tcW w:w="944" w:type="pct"/>
                  <w:noWrap w:val="0"/>
                  <w:tcMar>
                    <w:top w:w="15" w:type="dxa"/>
                    <w:left w:w="0" w:type="dxa"/>
                    <w:right w:w="0" w:type="dxa"/>
                  </w:tcMar>
                  <w:vAlign w:val="center"/>
                </w:tcPr>
                <w:p w14:paraId="5E6652AD">
                  <w:pPr>
                    <w:pStyle w:val="91"/>
                    <w:jc w:val="center"/>
                    <w:rPr>
                      <w:color w:val="auto"/>
                      <w:highlight w:val="none"/>
                    </w:rPr>
                  </w:pPr>
                  <w:r>
                    <w:rPr>
                      <w:color w:val="auto"/>
                      <w:highlight w:val="none"/>
                    </w:rPr>
                    <w:t>本项目不涉及水产种质资源保护区或湿地公园</w:t>
                  </w:r>
                </w:p>
              </w:tc>
              <w:tc>
                <w:tcPr>
                  <w:tcW w:w="550" w:type="pct"/>
                  <w:noWrap w:val="0"/>
                  <w:vAlign w:val="center"/>
                </w:tcPr>
                <w:p w14:paraId="0D181F3E">
                  <w:pPr>
                    <w:pStyle w:val="91"/>
                    <w:rPr>
                      <w:color w:val="auto"/>
                      <w:highlight w:val="none"/>
                    </w:rPr>
                  </w:pPr>
                  <w:r>
                    <w:rPr>
                      <w:color w:val="auto"/>
                      <w:highlight w:val="none"/>
                    </w:rPr>
                    <w:t>否</w:t>
                  </w:r>
                </w:p>
              </w:tc>
            </w:tr>
            <w:tr w14:paraId="3EA59D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3" w:type="pct"/>
                  <w:noWrap w:val="0"/>
                  <w:tcMar>
                    <w:top w:w="15" w:type="dxa"/>
                    <w:left w:w="0" w:type="dxa"/>
                    <w:right w:w="0" w:type="dxa"/>
                  </w:tcMar>
                  <w:vAlign w:val="center"/>
                </w:tcPr>
                <w:p w14:paraId="2032C680">
                  <w:pPr>
                    <w:pStyle w:val="91"/>
                    <w:rPr>
                      <w:color w:val="auto"/>
                      <w:highlight w:val="none"/>
                    </w:rPr>
                  </w:pPr>
                  <w:r>
                    <w:rPr>
                      <w:color w:val="auto"/>
                      <w:highlight w:val="none"/>
                    </w:rPr>
                    <w:t>5</w:t>
                  </w:r>
                </w:p>
              </w:tc>
              <w:tc>
                <w:tcPr>
                  <w:tcW w:w="3251" w:type="pct"/>
                  <w:noWrap w:val="0"/>
                  <w:vAlign w:val="center"/>
                </w:tcPr>
                <w:p w14:paraId="68615E51">
                  <w:pPr>
                    <w:pStyle w:val="91"/>
                    <w:jc w:val="both"/>
                    <w:rPr>
                      <w:color w:val="auto"/>
                      <w:highlight w:val="none"/>
                    </w:rPr>
                  </w:pPr>
                  <w:r>
                    <w:rPr>
                      <w:color w:val="auto"/>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944" w:type="pct"/>
                  <w:noWrap w:val="0"/>
                  <w:tcMar>
                    <w:top w:w="15" w:type="dxa"/>
                    <w:left w:w="0" w:type="dxa"/>
                    <w:right w:w="0" w:type="dxa"/>
                  </w:tcMar>
                  <w:vAlign w:val="center"/>
                </w:tcPr>
                <w:p w14:paraId="5D431990">
                  <w:pPr>
                    <w:pStyle w:val="91"/>
                    <w:jc w:val="center"/>
                    <w:rPr>
                      <w:color w:val="auto"/>
                      <w:highlight w:val="none"/>
                    </w:rPr>
                  </w:pPr>
                  <w:r>
                    <w:rPr>
                      <w:color w:val="auto"/>
                      <w:highlight w:val="none"/>
                    </w:rPr>
                    <w:t>本项目不占用长江流域河湖岸线及划定的岸线保护区</w:t>
                  </w:r>
                </w:p>
              </w:tc>
              <w:tc>
                <w:tcPr>
                  <w:tcW w:w="550" w:type="pct"/>
                  <w:noWrap w:val="0"/>
                  <w:vAlign w:val="center"/>
                </w:tcPr>
                <w:p w14:paraId="1AA749B8">
                  <w:pPr>
                    <w:pStyle w:val="91"/>
                    <w:rPr>
                      <w:color w:val="auto"/>
                      <w:highlight w:val="none"/>
                    </w:rPr>
                  </w:pPr>
                  <w:r>
                    <w:rPr>
                      <w:color w:val="auto"/>
                      <w:highlight w:val="none"/>
                    </w:rPr>
                    <w:t>否</w:t>
                  </w:r>
                </w:p>
              </w:tc>
            </w:tr>
            <w:tr w14:paraId="45B738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3" w:type="pct"/>
                  <w:noWrap w:val="0"/>
                  <w:tcMar>
                    <w:top w:w="15" w:type="dxa"/>
                    <w:left w:w="0" w:type="dxa"/>
                    <w:right w:w="0" w:type="dxa"/>
                  </w:tcMar>
                  <w:vAlign w:val="center"/>
                </w:tcPr>
                <w:p w14:paraId="7520410B">
                  <w:pPr>
                    <w:pStyle w:val="91"/>
                    <w:rPr>
                      <w:color w:val="auto"/>
                      <w:highlight w:val="none"/>
                    </w:rPr>
                  </w:pPr>
                  <w:r>
                    <w:rPr>
                      <w:color w:val="auto"/>
                      <w:highlight w:val="none"/>
                    </w:rPr>
                    <w:t>6</w:t>
                  </w:r>
                </w:p>
              </w:tc>
              <w:tc>
                <w:tcPr>
                  <w:tcW w:w="3251" w:type="pct"/>
                  <w:noWrap w:val="0"/>
                  <w:vAlign w:val="center"/>
                </w:tcPr>
                <w:p w14:paraId="401C5D45">
                  <w:pPr>
                    <w:pStyle w:val="91"/>
                    <w:jc w:val="both"/>
                    <w:rPr>
                      <w:color w:val="auto"/>
                      <w:highlight w:val="none"/>
                    </w:rPr>
                  </w:pPr>
                  <w:r>
                    <w:rPr>
                      <w:color w:val="auto"/>
                      <w:highlight w:val="none"/>
                    </w:rPr>
                    <w:t>禁止未经许可在长江干支流及湖泊新设、改设或扩大排污口。</w:t>
                  </w:r>
                </w:p>
              </w:tc>
              <w:tc>
                <w:tcPr>
                  <w:tcW w:w="944" w:type="pct"/>
                  <w:noWrap w:val="0"/>
                  <w:tcMar>
                    <w:top w:w="15" w:type="dxa"/>
                    <w:left w:w="0" w:type="dxa"/>
                    <w:right w:w="0" w:type="dxa"/>
                  </w:tcMar>
                  <w:vAlign w:val="center"/>
                </w:tcPr>
                <w:p w14:paraId="69E70897">
                  <w:pPr>
                    <w:pStyle w:val="91"/>
                    <w:jc w:val="center"/>
                    <w:rPr>
                      <w:rFonts w:hint="eastAsia"/>
                      <w:color w:val="auto"/>
                      <w:highlight w:val="none"/>
                    </w:rPr>
                  </w:pPr>
                  <w:r>
                    <w:rPr>
                      <w:color w:val="auto"/>
                      <w:highlight w:val="none"/>
                    </w:rPr>
                    <w:t>本项目</w:t>
                  </w:r>
                  <w:r>
                    <w:rPr>
                      <w:rFonts w:hint="eastAsia"/>
                      <w:color w:val="auto"/>
                      <w:highlight w:val="none"/>
                    </w:rPr>
                    <w:t>不在</w:t>
                  </w:r>
                  <w:r>
                    <w:rPr>
                      <w:color w:val="auto"/>
                      <w:highlight w:val="none"/>
                    </w:rPr>
                    <w:t>长江干支流及湖泊新设、改设或扩大排污口。</w:t>
                  </w:r>
                </w:p>
              </w:tc>
              <w:tc>
                <w:tcPr>
                  <w:tcW w:w="550" w:type="pct"/>
                  <w:noWrap w:val="0"/>
                  <w:vAlign w:val="center"/>
                </w:tcPr>
                <w:p w14:paraId="05C350D2">
                  <w:pPr>
                    <w:pStyle w:val="91"/>
                    <w:rPr>
                      <w:color w:val="auto"/>
                      <w:highlight w:val="none"/>
                    </w:rPr>
                  </w:pPr>
                  <w:r>
                    <w:rPr>
                      <w:color w:val="auto"/>
                      <w:highlight w:val="none"/>
                    </w:rPr>
                    <w:t>否</w:t>
                  </w:r>
                </w:p>
              </w:tc>
            </w:tr>
            <w:tr w14:paraId="5DA428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3" w:type="pct"/>
                  <w:noWrap w:val="0"/>
                  <w:tcMar>
                    <w:top w:w="15" w:type="dxa"/>
                    <w:left w:w="0" w:type="dxa"/>
                    <w:right w:w="0" w:type="dxa"/>
                  </w:tcMar>
                  <w:vAlign w:val="center"/>
                </w:tcPr>
                <w:p w14:paraId="56C2272B">
                  <w:pPr>
                    <w:pStyle w:val="91"/>
                    <w:rPr>
                      <w:color w:val="auto"/>
                      <w:highlight w:val="none"/>
                    </w:rPr>
                  </w:pPr>
                  <w:r>
                    <w:rPr>
                      <w:color w:val="auto"/>
                      <w:highlight w:val="none"/>
                    </w:rPr>
                    <w:t>7</w:t>
                  </w:r>
                </w:p>
              </w:tc>
              <w:tc>
                <w:tcPr>
                  <w:tcW w:w="3251" w:type="pct"/>
                  <w:noWrap w:val="0"/>
                  <w:vAlign w:val="center"/>
                </w:tcPr>
                <w:p w14:paraId="5CF4D415">
                  <w:pPr>
                    <w:pStyle w:val="91"/>
                    <w:jc w:val="both"/>
                    <w:rPr>
                      <w:color w:val="auto"/>
                      <w:highlight w:val="none"/>
                    </w:rPr>
                  </w:pPr>
                  <w:r>
                    <w:rPr>
                      <w:color w:val="auto"/>
                      <w:highlight w:val="none"/>
                    </w:rPr>
                    <w:t>禁止长江干流、长江口、34个列入《率先全面禁捕的长江流域水生生物保护区名录》的水生生物保护区以及省规定的其它禁渔水域开展生产性捕捞。</w:t>
                  </w:r>
                </w:p>
              </w:tc>
              <w:tc>
                <w:tcPr>
                  <w:tcW w:w="944" w:type="pct"/>
                  <w:noWrap w:val="0"/>
                  <w:tcMar>
                    <w:top w:w="15" w:type="dxa"/>
                    <w:left w:w="0" w:type="dxa"/>
                    <w:right w:w="0" w:type="dxa"/>
                  </w:tcMar>
                  <w:vAlign w:val="center"/>
                </w:tcPr>
                <w:p w14:paraId="4F448C14">
                  <w:pPr>
                    <w:pStyle w:val="91"/>
                    <w:jc w:val="center"/>
                    <w:rPr>
                      <w:color w:val="auto"/>
                      <w:highlight w:val="none"/>
                    </w:rPr>
                  </w:pPr>
                  <w:r>
                    <w:rPr>
                      <w:color w:val="auto"/>
                      <w:highlight w:val="none"/>
                    </w:rPr>
                    <w:t>本项目不涉及捕捞</w:t>
                  </w:r>
                </w:p>
              </w:tc>
              <w:tc>
                <w:tcPr>
                  <w:tcW w:w="550" w:type="pct"/>
                  <w:noWrap w:val="0"/>
                  <w:vAlign w:val="center"/>
                </w:tcPr>
                <w:p w14:paraId="3FE68BC3">
                  <w:pPr>
                    <w:pStyle w:val="91"/>
                    <w:rPr>
                      <w:color w:val="auto"/>
                      <w:highlight w:val="none"/>
                    </w:rPr>
                  </w:pPr>
                  <w:r>
                    <w:rPr>
                      <w:color w:val="auto"/>
                      <w:highlight w:val="none"/>
                    </w:rPr>
                    <w:t>否</w:t>
                  </w:r>
                </w:p>
              </w:tc>
            </w:tr>
            <w:tr w14:paraId="30F361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3" w:type="pct"/>
                  <w:noWrap w:val="0"/>
                  <w:tcMar>
                    <w:top w:w="15" w:type="dxa"/>
                    <w:left w:w="0" w:type="dxa"/>
                    <w:right w:w="0" w:type="dxa"/>
                  </w:tcMar>
                  <w:vAlign w:val="center"/>
                </w:tcPr>
                <w:p w14:paraId="602749A4">
                  <w:pPr>
                    <w:pStyle w:val="91"/>
                    <w:rPr>
                      <w:color w:val="auto"/>
                      <w:highlight w:val="none"/>
                    </w:rPr>
                  </w:pPr>
                  <w:r>
                    <w:rPr>
                      <w:color w:val="auto"/>
                      <w:highlight w:val="none"/>
                    </w:rPr>
                    <w:t>8</w:t>
                  </w:r>
                </w:p>
              </w:tc>
              <w:tc>
                <w:tcPr>
                  <w:tcW w:w="3251" w:type="pct"/>
                  <w:noWrap w:val="0"/>
                  <w:vAlign w:val="center"/>
                </w:tcPr>
                <w:p w14:paraId="0575C654">
                  <w:pPr>
                    <w:pStyle w:val="91"/>
                    <w:jc w:val="both"/>
                    <w:rPr>
                      <w:color w:val="auto"/>
                      <w:highlight w:val="none"/>
                    </w:rPr>
                  </w:pPr>
                  <w:r>
                    <w:rPr>
                      <w:color w:val="auto"/>
                      <w:highlight w:val="none"/>
                    </w:rPr>
                    <w:t>禁止在距离长江干支流岸线一公里范围内新建、扩建化工园区和化工项目。长江干支流一公里按照长江</w:t>
                  </w:r>
                  <w:r>
                    <w:rPr>
                      <w:rFonts w:hint="eastAsia"/>
                      <w:color w:val="auto"/>
                      <w:highlight w:val="none"/>
                      <w:lang w:eastAsia="zh-CN"/>
                    </w:rPr>
                    <w:t>干</w:t>
                  </w:r>
                  <w:r>
                    <w:rPr>
                      <w:color w:val="auto"/>
                      <w:highlight w:val="none"/>
                    </w:rPr>
                    <w:t>支流岸线边界(即水利部门河道管理范围边界)向陆域纵深一公里执行。</w:t>
                  </w:r>
                </w:p>
              </w:tc>
              <w:tc>
                <w:tcPr>
                  <w:tcW w:w="944" w:type="pct"/>
                  <w:noWrap w:val="0"/>
                  <w:tcMar>
                    <w:top w:w="15" w:type="dxa"/>
                    <w:left w:w="0" w:type="dxa"/>
                    <w:right w:w="0" w:type="dxa"/>
                  </w:tcMar>
                  <w:vAlign w:val="center"/>
                </w:tcPr>
                <w:p w14:paraId="25A0B093">
                  <w:pPr>
                    <w:pStyle w:val="91"/>
                    <w:jc w:val="center"/>
                    <w:rPr>
                      <w:color w:val="auto"/>
                      <w:highlight w:val="none"/>
                    </w:rPr>
                  </w:pPr>
                  <w:r>
                    <w:rPr>
                      <w:color w:val="auto"/>
                      <w:highlight w:val="none"/>
                    </w:rPr>
                    <w:t>本项目不属于化工园区或化工项目</w:t>
                  </w:r>
                </w:p>
              </w:tc>
              <w:tc>
                <w:tcPr>
                  <w:tcW w:w="550" w:type="pct"/>
                  <w:noWrap w:val="0"/>
                  <w:vAlign w:val="center"/>
                </w:tcPr>
                <w:p w14:paraId="23FB4D8E">
                  <w:pPr>
                    <w:pStyle w:val="91"/>
                    <w:rPr>
                      <w:color w:val="auto"/>
                      <w:highlight w:val="none"/>
                    </w:rPr>
                  </w:pPr>
                  <w:r>
                    <w:rPr>
                      <w:color w:val="auto"/>
                      <w:highlight w:val="none"/>
                    </w:rPr>
                    <w:t>否</w:t>
                  </w:r>
                </w:p>
              </w:tc>
            </w:tr>
            <w:tr w14:paraId="2DA87F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3" w:type="pct"/>
                  <w:noWrap w:val="0"/>
                  <w:tcMar>
                    <w:top w:w="15" w:type="dxa"/>
                    <w:left w:w="0" w:type="dxa"/>
                    <w:right w:w="0" w:type="dxa"/>
                  </w:tcMar>
                  <w:vAlign w:val="center"/>
                </w:tcPr>
                <w:p w14:paraId="75215309">
                  <w:pPr>
                    <w:pStyle w:val="91"/>
                    <w:rPr>
                      <w:color w:val="auto"/>
                      <w:highlight w:val="none"/>
                    </w:rPr>
                  </w:pPr>
                  <w:r>
                    <w:rPr>
                      <w:color w:val="auto"/>
                      <w:highlight w:val="none"/>
                    </w:rPr>
                    <w:t>9</w:t>
                  </w:r>
                </w:p>
              </w:tc>
              <w:tc>
                <w:tcPr>
                  <w:tcW w:w="3251" w:type="pct"/>
                  <w:noWrap w:val="0"/>
                  <w:vAlign w:val="center"/>
                </w:tcPr>
                <w:p w14:paraId="34736A50">
                  <w:pPr>
                    <w:pStyle w:val="91"/>
                    <w:jc w:val="both"/>
                    <w:rPr>
                      <w:color w:val="auto"/>
                      <w:highlight w:val="none"/>
                    </w:rPr>
                  </w:pPr>
                  <w:r>
                    <w:rPr>
                      <w:color w:val="auto"/>
                      <w:highlight w:val="none"/>
                    </w:rPr>
                    <w:t>禁止在长江干流岸线三公里范围内新建、改建、扩建尾矿库、冶炼渣库和磷石膏库，以提升安全、生态环境保护水平为目的的改建除外。</w:t>
                  </w:r>
                </w:p>
              </w:tc>
              <w:tc>
                <w:tcPr>
                  <w:tcW w:w="944" w:type="pct"/>
                  <w:noWrap w:val="0"/>
                  <w:tcMar>
                    <w:top w:w="15" w:type="dxa"/>
                    <w:left w:w="0" w:type="dxa"/>
                    <w:right w:w="0" w:type="dxa"/>
                  </w:tcMar>
                  <w:vAlign w:val="center"/>
                </w:tcPr>
                <w:p w14:paraId="39C241FE">
                  <w:pPr>
                    <w:pStyle w:val="91"/>
                    <w:jc w:val="center"/>
                    <w:rPr>
                      <w:color w:val="auto"/>
                      <w:highlight w:val="none"/>
                    </w:rPr>
                  </w:pPr>
                  <w:r>
                    <w:rPr>
                      <w:color w:val="auto"/>
                      <w:highlight w:val="none"/>
                    </w:rPr>
                    <w:t>本项目不属于尾矿库、冶炼渣库和磷石膏库项目</w:t>
                  </w:r>
                </w:p>
              </w:tc>
              <w:tc>
                <w:tcPr>
                  <w:tcW w:w="550" w:type="pct"/>
                  <w:noWrap w:val="0"/>
                  <w:vAlign w:val="center"/>
                </w:tcPr>
                <w:p w14:paraId="41B65101">
                  <w:pPr>
                    <w:pStyle w:val="91"/>
                    <w:rPr>
                      <w:color w:val="auto"/>
                      <w:highlight w:val="none"/>
                    </w:rPr>
                  </w:pPr>
                  <w:r>
                    <w:rPr>
                      <w:color w:val="auto"/>
                      <w:highlight w:val="none"/>
                    </w:rPr>
                    <w:t>否</w:t>
                  </w:r>
                </w:p>
              </w:tc>
            </w:tr>
            <w:tr w14:paraId="720F01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3" w:type="pct"/>
                  <w:noWrap w:val="0"/>
                  <w:tcMar>
                    <w:top w:w="15" w:type="dxa"/>
                    <w:left w:w="0" w:type="dxa"/>
                    <w:right w:w="0" w:type="dxa"/>
                  </w:tcMar>
                  <w:vAlign w:val="center"/>
                </w:tcPr>
                <w:p w14:paraId="3F0F09C5">
                  <w:pPr>
                    <w:pStyle w:val="91"/>
                    <w:rPr>
                      <w:color w:val="auto"/>
                      <w:highlight w:val="none"/>
                    </w:rPr>
                  </w:pPr>
                  <w:r>
                    <w:rPr>
                      <w:color w:val="auto"/>
                      <w:highlight w:val="none"/>
                    </w:rPr>
                    <w:t>10</w:t>
                  </w:r>
                </w:p>
              </w:tc>
              <w:tc>
                <w:tcPr>
                  <w:tcW w:w="3251" w:type="pct"/>
                  <w:noWrap w:val="0"/>
                  <w:vAlign w:val="center"/>
                </w:tcPr>
                <w:p w14:paraId="727BC541">
                  <w:pPr>
                    <w:pStyle w:val="91"/>
                    <w:jc w:val="both"/>
                    <w:rPr>
                      <w:color w:val="auto"/>
                      <w:highlight w:val="none"/>
                    </w:rPr>
                  </w:pPr>
                  <w:r>
                    <w:rPr>
                      <w:color w:val="auto"/>
                      <w:highlight w:val="none"/>
                    </w:rPr>
                    <w:t>禁止在太湖流域一、二、三级保护区内开展《江苏省太湖水污染防治条例》禁止的投资建设活动。</w:t>
                  </w:r>
                </w:p>
              </w:tc>
              <w:tc>
                <w:tcPr>
                  <w:tcW w:w="944" w:type="pct"/>
                  <w:noWrap w:val="0"/>
                  <w:tcMar>
                    <w:top w:w="15" w:type="dxa"/>
                    <w:left w:w="0" w:type="dxa"/>
                    <w:right w:w="0" w:type="dxa"/>
                  </w:tcMar>
                  <w:vAlign w:val="center"/>
                </w:tcPr>
                <w:p w14:paraId="4D3C7AB4">
                  <w:pPr>
                    <w:pStyle w:val="91"/>
                    <w:jc w:val="center"/>
                    <w:rPr>
                      <w:rFonts w:hint="default" w:eastAsia="宋体"/>
                      <w:color w:val="auto"/>
                      <w:highlight w:val="none"/>
                      <w:lang w:val="en-US" w:eastAsia="zh-CN"/>
                    </w:rPr>
                  </w:pPr>
                  <w:r>
                    <w:rPr>
                      <w:color w:val="auto"/>
                      <w:szCs w:val="21"/>
                      <w:highlight w:val="none"/>
                    </w:rPr>
                    <w:t>本项目</w:t>
                  </w:r>
                  <w:r>
                    <w:rPr>
                      <w:rFonts w:hint="eastAsia"/>
                      <w:color w:val="auto"/>
                      <w:szCs w:val="21"/>
                      <w:highlight w:val="none"/>
                      <w:lang w:eastAsia="zh-CN"/>
                    </w:rPr>
                    <w:t>不涉及</w:t>
                  </w:r>
                  <w:r>
                    <w:rPr>
                      <w:color w:val="auto"/>
                      <w:szCs w:val="21"/>
                      <w:highlight w:val="none"/>
                    </w:rPr>
                    <w:t>太湖流域</w:t>
                  </w:r>
                </w:p>
              </w:tc>
              <w:tc>
                <w:tcPr>
                  <w:tcW w:w="550" w:type="pct"/>
                  <w:noWrap w:val="0"/>
                  <w:vAlign w:val="center"/>
                </w:tcPr>
                <w:p w14:paraId="0AD0887D">
                  <w:pPr>
                    <w:pStyle w:val="91"/>
                    <w:rPr>
                      <w:color w:val="auto"/>
                      <w:highlight w:val="none"/>
                    </w:rPr>
                  </w:pPr>
                  <w:r>
                    <w:rPr>
                      <w:color w:val="auto"/>
                      <w:highlight w:val="none"/>
                    </w:rPr>
                    <w:t>否</w:t>
                  </w:r>
                </w:p>
              </w:tc>
            </w:tr>
            <w:tr w14:paraId="2BE556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3" w:type="pct"/>
                  <w:noWrap w:val="0"/>
                  <w:tcMar>
                    <w:top w:w="15" w:type="dxa"/>
                    <w:left w:w="0" w:type="dxa"/>
                    <w:right w:w="0" w:type="dxa"/>
                  </w:tcMar>
                  <w:vAlign w:val="center"/>
                </w:tcPr>
                <w:p w14:paraId="3A735932">
                  <w:pPr>
                    <w:pStyle w:val="91"/>
                    <w:rPr>
                      <w:color w:val="auto"/>
                      <w:highlight w:val="none"/>
                    </w:rPr>
                  </w:pPr>
                  <w:r>
                    <w:rPr>
                      <w:color w:val="auto"/>
                      <w:highlight w:val="none"/>
                    </w:rPr>
                    <w:t>11</w:t>
                  </w:r>
                </w:p>
              </w:tc>
              <w:tc>
                <w:tcPr>
                  <w:tcW w:w="3251" w:type="pct"/>
                  <w:noWrap w:val="0"/>
                  <w:vAlign w:val="center"/>
                </w:tcPr>
                <w:p w14:paraId="251B5012">
                  <w:pPr>
                    <w:pStyle w:val="91"/>
                    <w:jc w:val="both"/>
                    <w:rPr>
                      <w:color w:val="auto"/>
                      <w:highlight w:val="none"/>
                    </w:rPr>
                  </w:pPr>
                  <w:r>
                    <w:rPr>
                      <w:color w:val="auto"/>
                      <w:highlight w:val="none"/>
                    </w:rPr>
                    <w:t>禁止在沿江地区新建、扩建未纳入国家和省布局规划的燃煤发电项目。</w:t>
                  </w:r>
                </w:p>
              </w:tc>
              <w:tc>
                <w:tcPr>
                  <w:tcW w:w="944" w:type="pct"/>
                  <w:noWrap w:val="0"/>
                  <w:tcMar>
                    <w:top w:w="15" w:type="dxa"/>
                    <w:left w:w="0" w:type="dxa"/>
                    <w:right w:w="0" w:type="dxa"/>
                  </w:tcMar>
                  <w:vAlign w:val="center"/>
                </w:tcPr>
                <w:p w14:paraId="66628B93">
                  <w:pPr>
                    <w:pStyle w:val="91"/>
                    <w:jc w:val="center"/>
                    <w:rPr>
                      <w:color w:val="auto"/>
                      <w:highlight w:val="none"/>
                    </w:rPr>
                  </w:pPr>
                  <w:r>
                    <w:rPr>
                      <w:color w:val="auto"/>
                      <w:highlight w:val="none"/>
                    </w:rPr>
                    <w:t>本项目不属于燃煤发电项目</w:t>
                  </w:r>
                </w:p>
              </w:tc>
              <w:tc>
                <w:tcPr>
                  <w:tcW w:w="550" w:type="pct"/>
                  <w:noWrap w:val="0"/>
                  <w:vAlign w:val="center"/>
                </w:tcPr>
                <w:p w14:paraId="32D471E5">
                  <w:pPr>
                    <w:pStyle w:val="91"/>
                    <w:rPr>
                      <w:color w:val="auto"/>
                      <w:highlight w:val="none"/>
                    </w:rPr>
                  </w:pPr>
                  <w:r>
                    <w:rPr>
                      <w:color w:val="auto"/>
                      <w:highlight w:val="none"/>
                    </w:rPr>
                    <w:t>否</w:t>
                  </w:r>
                </w:p>
              </w:tc>
            </w:tr>
            <w:tr w14:paraId="37E84B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3" w:type="pct"/>
                  <w:noWrap w:val="0"/>
                  <w:tcMar>
                    <w:top w:w="15" w:type="dxa"/>
                    <w:left w:w="0" w:type="dxa"/>
                    <w:right w:w="0" w:type="dxa"/>
                  </w:tcMar>
                  <w:vAlign w:val="center"/>
                </w:tcPr>
                <w:p w14:paraId="0B61F7E6">
                  <w:pPr>
                    <w:pStyle w:val="91"/>
                    <w:rPr>
                      <w:color w:val="auto"/>
                      <w:highlight w:val="none"/>
                    </w:rPr>
                  </w:pPr>
                  <w:r>
                    <w:rPr>
                      <w:color w:val="auto"/>
                      <w:highlight w:val="none"/>
                    </w:rPr>
                    <w:t>12</w:t>
                  </w:r>
                </w:p>
              </w:tc>
              <w:tc>
                <w:tcPr>
                  <w:tcW w:w="3251" w:type="pct"/>
                  <w:noWrap w:val="0"/>
                  <w:vAlign w:val="center"/>
                </w:tcPr>
                <w:p w14:paraId="64F4494E">
                  <w:pPr>
                    <w:pStyle w:val="91"/>
                    <w:jc w:val="both"/>
                    <w:rPr>
                      <w:color w:val="auto"/>
                      <w:highlight w:val="none"/>
                    </w:rPr>
                  </w:pPr>
                  <w:r>
                    <w:rPr>
                      <w:color w:val="auto"/>
                      <w:highlight w:val="none"/>
                    </w:rPr>
                    <w:t>禁止在合规园区外新建、扩建钢铁、石化、化工、焦化、建材、有色、制浆造纸等高污染项目。合规园区名录按照《〈长江经济带发展负面清单指南(试行，2022年版)&gt;江苏省实施细则合规园区名录》执行。</w:t>
                  </w:r>
                </w:p>
              </w:tc>
              <w:tc>
                <w:tcPr>
                  <w:tcW w:w="944" w:type="pct"/>
                  <w:noWrap w:val="0"/>
                  <w:tcMar>
                    <w:top w:w="15" w:type="dxa"/>
                    <w:left w:w="0" w:type="dxa"/>
                    <w:right w:w="0" w:type="dxa"/>
                  </w:tcMar>
                  <w:vAlign w:val="center"/>
                </w:tcPr>
                <w:p w14:paraId="10E1AF48">
                  <w:pPr>
                    <w:pStyle w:val="91"/>
                    <w:jc w:val="center"/>
                    <w:rPr>
                      <w:color w:val="auto"/>
                      <w:highlight w:val="none"/>
                    </w:rPr>
                  </w:pPr>
                  <w:r>
                    <w:rPr>
                      <w:color w:val="auto"/>
                      <w:highlight w:val="none"/>
                    </w:rPr>
                    <w:t>本项目位于</w:t>
                  </w:r>
                  <w:r>
                    <w:rPr>
                      <w:rFonts w:hint="eastAsia"/>
                      <w:color w:val="auto"/>
                      <w:highlight w:val="none"/>
                      <w:lang w:val="en-US" w:eastAsia="zh-CN"/>
                    </w:rPr>
                    <w:t>句容市郭庄镇</w:t>
                  </w:r>
                  <w:r>
                    <w:rPr>
                      <w:color w:val="auto"/>
                      <w:highlight w:val="none"/>
                    </w:rPr>
                    <w:t>，属于《〈长江经济带发展负面清单指南(试行，2022年版)&gt;江苏省实施细则合规园区名录》，本项目不属于钢铁、石化、化工、焦化、建材、有色、制浆造纸等高污染项目</w:t>
                  </w:r>
                </w:p>
              </w:tc>
              <w:tc>
                <w:tcPr>
                  <w:tcW w:w="550" w:type="pct"/>
                  <w:noWrap w:val="0"/>
                  <w:vAlign w:val="center"/>
                </w:tcPr>
                <w:p w14:paraId="0C498120">
                  <w:pPr>
                    <w:pStyle w:val="91"/>
                    <w:rPr>
                      <w:color w:val="auto"/>
                      <w:highlight w:val="none"/>
                    </w:rPr>
                  </w:pPr>
                  <w:r>
                    <w:rPr>
                      <w:color w:val="auto"/>
                      <w:highlight w:val="none"/>
                    </w:rPr>
                    <w:t>否</w:t>
                  </w:r>
                </w:p>
              </w:tc>
            </w:tr>
            <w:tr w14:paraId="2B8D11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3" w:type="pct"/>
                  <w:noWrap w:val="0"/>
                  <w:tcMar>
                    <w:top w:w="15" w:type="dxa"/>
                    <w:left w:w="0" w:type="dxa"/>
                    <w:right w:w="0" w:type="dxa"/>
                  </w:tcMar>
                  <w:vAlign w:val="center"/>
                </w:tcPr>
                <w:p w14:paraId="65BD36F1">
                  <w:pPr>
                    <w:pStyle w:val="91"/>
                    <w:rPr>
                      <w:color w:val="auto"/>
                      <w:highlight w:val="none"/>
                    </w:rPr>
                  </w:pPr>
                  <w:r>
                    <w:rPr>
                      <w:color w:val="auto"/>
                      <w:highlight w:val="none"/>
                    </w:rPr>
                    <w:t>13</w:t>
                  </w:r>
                </w:p>
              </w:tc>
              <w:tc>
                <w:tcPr>
                  <w:tcW w:w="3251" w:type="pct"/>
                  <w:noWrap w:val="0"/>
                  <w:vAlign w:val="center"/>
                </w:tcPr>
                <w:p w14:paraId="6B6BCF73">
                  <w:pPr>
                    <w:pStyle w:val="91"/>
                    <w:jc w:val="both"/>
                    <w:rPr>
                      <w:color w:val="auto"/>
                      <w:highlight w:val="none"/>
                    </w:rPr>
                  </w:pPr>
                  <w:r>
                    <w:rPr>
                      <w:color w:val="auto"/>
                      <w:highlight w:val="none"/>
                    </w:rPr>
                    <w:t>禁止在取消化工定位的园区(集中区)内新建化工项目。</w:t>
                  </w:r>
                </w:p>
              </w:tc>
              <w:tc>
                <w:tcPr>
                  <w:tcW w:w="944" w:type="pct"/>
                  <w:noWrap w:val="0"/>
                  <w:tcMar>
                    <w:top w:w="15" w:type="dxa"/>
                    <w:left w:w="0" w:type="dxa"/>
                    <w:right w:w="0" w:type="dxa"/>
                  </w:tcMar>
                  <w:vAlign w:val="center"/>
                </w:tcPr>
                <w:p w14:paraId="7865D6B6">
                  <w:pPr>
                    <w:pStyle w:val="91"/>
                    <w:jc w:val="center"/>
                    <w:rPr>
                      <w:color w:val="auto"/>
                      <w:highlight w:val="none"/>
                    </w:rPr>
                  </w:pPr>
                  <w:r>
                    <w:rPr>
                      <w:color w:val="auto"/>
                      <w:highlight w:val="none"/>
                    </w:rPr>
                    <w:t>本项目不属于化工项目</w:t>
                  </w:r>
                </w:p>
              </w:tc>
              <w:tc>
                <w:tcPr>
                  <w:tcW w:w="550" w:type="pct"/>
                  <w:noWrap w:val="0"/>
                  <w:vAlign w:val="center"/>
                </w:tcPr>
                <w:p w14:paraId="2588B670">
                  <w:pPr>
                    <w:pStyle w:val="91"/>
                    <w:rPr>
                      <w:color w:val="auto"/>
                      <w:highlight w:val="none"/>
                    </w:rPr>
                  </w:pPr>
                  <w:r>
                    <w:rPr>
                      <w:color w:val="auto"/>
                      <w:highlight w:val="none"/>
                    </w:rPr>
                    <w:t>否</w:t>
                  </w:r>
                </w:p>
              </w:tc>
            </w:tr>
            <w:tr w14:paraId="6ED251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3" w:type="pct"/>
                  <w:noWrap w:val="0"/>
                  <w:tcMar>
                    <w:top w:w="15" w:type="dxa"/>
                    <w:left w:w="0" w:type="dxa"/>
                    <w:right w:w="0" w:type="dxa"/>
                  </w:tcMar>
                  <w:vAlign w:val="center"/>
                </w:tcPr>
                <w:p w14:paraId="643C389D">
                  <w:pPr>
                    <w:pStyle w:val="91"/>
                    <w:rPr>
                      <w:color w:val="auto"/>
                      <w:highlight w:val="none"/>
                    </w:rPr>
                  </w:pPr>
                  <w:r>
                    <w:rPr>
                      <w:color w:val="auto"/>
                      <w:highlight w:val="none"/>
                    </w:rPr>
                    <w:t>14</w:t>
                  </w:r>
                </w:p>
              </w:tc>
              <w:tc>
                <w:tcPr>
                  <w:tcW w:w="3251" w:type="pct"/>
                  <w:noWrap w:val="0"/>
                  <w:vAlign w:val="center"/>
                </w:tcPr>
                <w:p w14:paraId="29822E2E">
                  <w:pPr>
                    <w:pStyle w:val="91"/>
                    <w:jc w:val="both"/>
                    <w:rPr>
                      <w:color w:val="auto"/>
                      <w:highlight w:val="none"/>
                    </w:rPr>
                  </w:pPr>
                  <w:r>
                    <w:rPr>
                      <w:color w:val="auto"/>
                      <w:highlight w:val="none"/>
                    </w:rPr>
                    <w:t>禁止在化工企业周边建设不符合安全距离规定的劳动密集型的非化工项目和其他人员密集的公共设施项目。</w:t>
                  </w:r>
                </w:p>
              </w:tc>
              <w:tc>
                <w:tcPr>
                  <w:tcW w:w="944" w:type="pct"/>
                  <w:noWrap w:val="0"/>
                  <w:tcMar>
                    <w:top w:w="15" w:type="dxa"/>
                    <w:left w:w="0" w:type="dxa"/>
                    <w:right w:w="0" w:type="dxa"/>
                  </w:tcMar>
                  <w:vAlign w:val="center"/>
                </w:tcPr>
                <w:p w14:paraId="0499F7AC">
                  <w:pPr>
                    <w:pStyle w:val="91"/>
                    <w:jc w:val="center"/>
                    <w:rPr>
                      <w:color w:val="auto"/>
                      <w:highlight w:val="none"/>
                    </w:rPr>
                  </w:pPr>
                  <w:r>
                    <w:rPr>
                      <w:color w:val="auto"/>
                      <w:highlight w:val="none"/>
                    </w:rPr>
                    <w:t>本项目周边无化工企业</w:t>
                  </w:r>
                </w:p>
              </w:tc>
              <w:tc>
                <w:tcPr>
                  <w:tcW w:w="550" w:type="pct"/>
                  <w:noWrap w:val="0"/>
                  <w:vAlign w:val="center"/>
                </w:tcPr>
                <w:p w14:paraId="16055380">
                  <w:pPr>
                    <w:pStyle w:val="91"/>
                    <w:rPr>
                      <w:color w:val="auto"/>
                      <w:highlight w:val="none"/>
                    </w:rPr>
                  </w:pPr>
                  <w:r>
                    <w:rPr>
                      <w:color w:val="auto"/>
                      <w:highlight w:val="none"/>
                    </w:rPr>
                    <w:t>否</w:t>
                  </w:r>
                </w:p>
              </w:tc>
            </w:tr>
            <w:tr w14:paraId="16F6D9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3" w:type="pct"/>
                  <w:noWrap w:val="0"/>
                  <w:tcMar>
                    <w:top w:w="15" w:type="dxa"/>
                    <w:left w:w="0" w:type="dxa"/>
                    <w:right w:w="0" w:type="dxa"/>
                  </w:tcMar>
                  <w:vAlign w:val="center"/>
                </w:tcPr>
                <w:p w14:paraId="105A6CB9">
                  <w:pPr>
                    <w:pStyle w:val="91"/>
                    <w:rPr>
                      <w:color w:val="auto"/>
                      <w:highlight w:val="none"/>
                    </w:rPr>
                  </w:pPr>
                  <w:r>
                    <w:rPr>
                      <w:color w:val="auto"/>
                      <w:highlight w:val="none"/>
                    </w:rPr>
                    <w:t>15</w:t>
                  </w:r>
                </w:p>
              </w:tc>
              <w:tc>
                <w:tcPr>
                  <w:tcW w:w="3251" w:type="pct"/>
                  <w:noWrap w:val="0"/>
                  <w:vAlign w:val="center"/>
                </w:tcPr>
                <w:p w14:paraId="0035FE8A">
                  <w:pPr>
                    <w:pStyle w:val="91"/>
                    <w:jc w:val="both"/>
                    <w:rPr>
                      <w:color w:val="auto"/>
                      <w:highlight w:val="none"/>
                    </w:rPr>
                  </w:pPr>
                  <w:r>
                    <w:rPr>
                      <w:color w:val="auto"/>
                      <w:highlight w:val="none"/>
                    </w:rPr>
                    <w:t>禁止新建、扩建尿素、磷铵、电石、烧碱、聚氯乙烯、纯碱新增产能项目。</w:t>
                  </w:r>
                </w:p>
              </w:tc>
              <w:tc>
                <w:tcPr>
                  <w:tcW w:w="944" w:type="pct"/>
                  <w:noWrap w:val="0"/>
                  <w:tcMar>
                    <w:top w:w="15" w:type="dxa"/>
                    <w:left w:w="0" w:type="dxa"/>
                    <w:right w:w="0" w:type="dxa"/>
                  </w:tcMar>
                  <w:vAlign w:val="center"/>
                </w:tcPr>
                <w:p w14:paraId="00459BF0">
                  <w:pPr>
                    <w:pStyle w:val="91"/>
                    <w:jc w:val="center"/>
                    <w:rPr>
                      <w:color w:val="auto"/>
                      <w:highlight w:val="none"/>
                    </w:rPr>
                  </w:pPr>
                  <w:r>
                    <w:rPr>
                      <w:color w:val="auto"/>
                      <w:highlight w:val="none"/>
                    </w:rPr>
                    <w:t>本项目不属于前述项目类型</w:t>
                  </w:r>
                </w:p>
              </w:tc>
              <w:tc>
                <w:tcPr>
                  <w:tcW w:w="550" w:type="pct"/>
                  <w:noWrap w:val="0"/>
                  <w:vAlign w:val="center"/>
                </w:tcPr>
                <w:p w14:paraId="769D7D69">
                  <w:pPr>
                    <w:pStyle w:val="91"/>
                    <w:rPr>
                      <w:color w:val="auto"/>
                      <w:highlight w:val="none"/>
                    </w:rPr>
                  </w:pPr>
                  <w:r>
                    <w:rPr>
                      <w:color w:val="auto"/>
                      <w:highlight w:val="none"/>
                    </w:rPr>
                    <w:t>否</w:t>
                  </w:r>
                </w:p>
              </w:tc>
            </w:tr>
            <w:tr w14:paraId="6C4DE8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3" w:type="pct"/>
                  <w:noWrap w:val="0"/>
                  <w:tcMar>
                    <w:top w:w="15" w:type="dxa"/>
                    <w:left w:w="0" w:type="dxa"/>
                    <w:right w:w="0" w:type="dxa"/>
                  </w:tcMar>
                  <w:vAlign w:val="center"/>
                </w:tcPr>
                <w:p w14:paraId="4E2334BF">
                  <w:pPr>
                    <w:pStyle w:val="91"/>
                    <w:rPr>
                      <w:color w:val="auto"/>
                      <w:highlight w:val="none"/>
                    </w:rPr>
                  </w:pPr>
                  <w:r>
                    <w:rPr>
                      <w:color w:val="auto"/>
                      <w:highlight w:val="none"/>
                    </w:rPr>
                    <w:t>16</w:t>
                  </w:r>
                </w:p>
              </w:tc>
              <w:tc>
                <w:tcPr>
                  <w:tcW w:w="3251" w:type="pct"/>
                  <w:noWrap w:val="0"/>
                  <w:vAlign w:val="center"/>
                </w:tcPr>
                <w:p w14:paraId="5B92707A">
                  <w:pPr>
                    <w:pStyle w:val="91"/>
                    <w:jc w:val="both"/>
                    <w:rPr>
                      <w:color w:val="auto"/>
                      <w:highlight w:val="none"/>
                    </w:rPr>
                  </w:pPr>
                  <w:r>
                    <w:rPr>
                      <w:color w:val="auto"/>
                      <w:highlight w:val="none"/>
                    </w:rPr>
                    <w:t>禁止新建、改建、扩建高毒、高残留以及对</w:t>
                  </w:r>
                  <w:r>
                    <w:rPr>
                      <w:rFonts w:hint="eastAsia"/>
                      <w:color w:val="auto"/>
                      <w:highlight w:val="none"/>
                      <w:lang w:eastAsia="zh-CN"/>
                    </w:rPr>
                    <w:t>环</w:t>
                  </w:r>
                  <w:r>
                    <w:rPr>
                      <w:color w:val="auto"/>
                      <w:highlight w:val="none"/>
                    </w:rPr>
                    <w:t>境影响大的农药原药(化学合成类)项目，禁止新建、扩建不符合国家和省产业政策的农药、医药和染料中间体化工项目。</w:t>
                  </w:r>
                </w:p>
              </w:tc>
              <w:tc>
                <w:tcPr>
                  <w:tcW w:w="944" w:type="pct"/>
                  <w:noWrap w:val="0"/>
                  <w:tcMar>
                    <w:top w:w="15" w:type="dxa"/>
                    <w:left w:w="0" w:type="dxa"/>
                    <w:right w:w="0" w:type="dxa"/>
                  </w:tcMar>
                  <w:vAlign w:val="center"/>
                </w:tcPr>
                <w:p w14:paraId="7A9A8376">
                  <w:pPr>
                    <w:pStyle w:val="91"/>
                    <w:jc w:val="center"/>
                    <w:rPr>
                      <w:color w:val="auto"/>
                      <w:highlight w:val="none"/>
                    </w:rPr>
                  </w:pPr>
                  <w:r>
                    <w:rPr>
                      <w:color w:val="auto"/>
                      <w:highlight w:val="none"/>
                    </w:rPr>
                    <w:t>本项目不属于前述项目类型</w:t>
                  </w:r>
                </w:p>
              </w:tc>
              <w:tc>
                <w:tcPr>
                  <w:tcW w:w="550" w:type="pct"/>
                  <w:noWrap w:val="0"/>
                  <w:vAlign w:val="center"/>
                </w:tcPr>
                <w:p w14:paraId="4C7142DE">
                  <w:pPr>
                    <w:pStyle w:val="91"/>
                    <w:rPr>
                      <w:color w:val="auto"/>
                      <w:highlight w:val="none"/>
                    </w:rPr>
                  </w:pPr>
                  <w:r>
                    <w:rPr>
                      <w:color w:val="auto"/>
                      <w:highlight w:val="none"/>
                    </w:rPr>
                    <w:t>否</w:t>
                  </w:r>
                </w:p>
              </w:tc>
            </w:tr>
            <w:tr w14:paraId="6FF291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3" w:type="pct"/>
                  <w:noWrap w:val="0"/>
                  <w:tcMar>
                    <w:top w:w="15" w:type="dxa"/>
                    <w:left w:w="0" w:type="dxa"/>
                    <w:right w:w="0" w:type="dxa"/>
                  </w:tcMar>
                  <w:vAlign w:val="center"/>
                </w:tcPr>
                <w:p w14:paraId="220A2602">
                  <w:pPr>
                    <w:pStyle w:val="91"/>
                    <w:rPr>
                      <w:color w:val="auto"/>
                      <w:highlight w:val="none"/>
                    </w:rPr>
                  </w:pPr>
                  <w:r>
                    <w:rPr>
                      <w:color w:val="auto"/>
                      <w:highlight w:val="none"/>
                    </w:rPr>
                    <w:t>17</w:t>
                  </w:r>
                </w:p>
              </w:tc>
              <w:tc>
                <w:tcPr>
                  <w:tcW w:w="3251" w:type="pct"/>
                  <w:noWrap w:val="0"/>
                  <w:vAlign w:val="center"/>
                </w:tcPr>
                <w:p w14:paraId="0F0DB064">
                  <w:pPr>
                    <w:pStyle w:val="91"/>
                    <w:jc w:val="both"/>
                    <w:rPr>
                      <w:color w:val="auto"/>
                      <w:highlight w:val="none"/>
                    </w:rPr>
                  </w:pPr>
                  <w:r>
                    <w:rPr>
                      <w:color w:val="auto"/>
                      <w:highlight w:val="none"/>
                    </w:rPr>
                    <w:t>禁止新建、扩建不符合国家石化、现代煤化工等产业布局规划的项目，禁止新建独立焦化项目。</w:t>
                  </w:r>
                </w:p>
              </w:tc>
              <w:tc>
                <w:tcPr>
                  <w:tcW w:w="944" w:type="pct"/>
                  <w:noWrap w:val="0"/>
                  <w:tcMar>
                    <w:top w:w="15" w:type="dxa"/>
                    <w:left w:w="0" w:type="dxa"/>
                    <w:right w:w="0" w:type="dxa"/>
                  </w:tcMar>
                  <w:vAlign w:val="center"/>
                </w:tcPr>
                <w:p w14:paraId="2D41DFB5">
                  <w:pPr>
                    <w:pStyle w:val="91"/>
                    <w:jc w:val="center"/>
                    <w:rPr>
                      <w:color w:val="auto"/>
                      <w:highlight w:val="none"/>
                    </w:rPr>
                  </w:pPr>
                  <w:r>
                    <w:rPr>
                      <w:color w:val="auto"/>
                      <w:highlight w:val="none"/>
                    </w:rPr>
                    <w:t>本项目不属于前述项目类型</w:t>
                  </w:r>
                </w:p>
              </w:tc>
              <w:tc>
                <w:tcPr>
                  <w:tcW w:w="550" w:type="pct"/>
                  <w:noWrap w:val="0"/>
                  <w:vAlign w:val="center"/>
                </w:tcPr>
                <w:p w14:paraId="7621BC2D">
                  <w:pPr>
                    <w:pStyle w:val="91"/>
                    <w:rPr>
                      <w:color w:val="auto"/>
                      <w:highlight w:val="none"/>
                    </w:rPr>
                  </w:pPr>
                  <w:r>
                    <w:rPr>
                      <w:color w:val="auto"/>
                      <w:highlight w:val="none"/>
                    </w:rPr>
                    <w:t>否</w:t>
                  </w:r>
                </w:p>
              </w:tc>
            </w:tr>
            <w:tr w14:paraId="0F552F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3" w:type="pct"/>
                  <w:noWrap w:val="0"/>
                  <w:tcMar>
                    <w:top w:w="15" w:type="dxa"/>
                    <w:left w:w="0" w:type="dxa"/>
                    <w:right w:w="0" w:type="dxa"/>
                  </w:tcMar>
                  <w:vAlign w:val="center"/>
                </w:tcPr>
                <w:p w14:paraId="0E878866">
                  <w:pPr>
                    <w:pStyle w:val="91"/>
                    <w:rPr>
                      <w:color w:val="auto"/>
                      <w:highlight w:val="none"/>
                    </w:rPr>
                  </w:pPr>
                  <w:r>
                    <w:rPr>
                      <w:color w:val="auto"/>
                      <w:highlight w:val="none"/>
                    </w:rPr>
                    <w:t>18</w:t>
                  </w:r>
                </w:p>
              </w:tc>
              <w:tc>
                <w:tcPr>
                  <w:tcW w:w="3251" w:type="pct"/>
                  <w:noWrap w:val="0"/>
                  <w:vAlign w:val="center"/>
                </w:tcPr>
                <w:p w14:paraId="4DE9EEED">
                  <w:pPr>
                    <w:pStyle w:val="91"/>
                    <w:jc w:val="both"/>
                    <w:rPr>
                      <w:color w:val="auto"/>
                      <w:highlight w:val="none"/>
                    </w:rPr>
                  </w:pPr>
                  <w:r>
                    <w:rPr>
                      <w:color w:val="auto"/>
                      <w:highlight w:val="none"/>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944" w:type="pct"/>
                  <w:noWrap w:val="0"/>
                  <w:tcMar>
                    <w:top w:w="15" w:type="dxa"/>
                    <w:left w:w="0" w:type="dxa"/>
                    <w:right w:w="0" w:type="dxa"/>
                  </w:tcMar>
                  <w:vAlign w:val="center"/>
                </w:tcPr>
                <w:p w14:paraId="42D16A14">
                  <w:pPr>
                    <w:pStyle w:val="91"/>
                    <w:jc w:val="center"/>
                    <w:rPr>
                      <w:color w:val="auto"/>
                      <w:highlight w:val="none"/>
                    </w:rPr>
                  </w:pPr>
                  <w:r>
                    <w:rPr>
                      <w:color w:val="auto"/>
                      <w:highlight w:val="none"/>
                    </w:rPr>
                    <w:t>本项目符合国家及地方产业政策。</w:t>
                  </w:r>
                </w:p>
              </w:tc>
              <w:tc>
                <w:tcPr>
                  <w:tcW w:w="550" w:type="pct"/>
                  <w:noWrap w:val="0"/>
                  <w:vAlign w:val="center"/>
                </w:tcPr>
                <w:p w14:paraId="17109B22">
                  <w:pPr>
                    <w:pStyle w:val="91"/>
                    <w:rPr>
                      <w:color w:val="auto"/>
                      <w:highlight w:val="none"/>
                    </w:rPr>
                  </w:pPr>
                  <w:r>
                    <w:rPr>
                      <w:color w:val="auto"/>
                      <w:highlight w:val="none"/>
                    </w:rPr>
                    <w:t>否</w:t>
                  </w:r>
                </w:p>
              </w:tc>
            </w:tr>
            <w:tr w14:paraId="24EE0D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3" w:type="pct"/>
                  <w:noWrap w:val="0"/>
                  <w:tcMar>
                    <w:top w:w="15" w:type="dxa"/>
                    <w:left w:w="0" w:type="dxa"/>
                    <w:right w:w="0" w:type="dxa"/>
                  </w:tcMar>
                  <w:vAlign w:val="center"/>
                </w:tcPr>
                <w:p w14:paraId="778B59F5">
                  <w:pPr>
                    <w:pStyle w:val="91"/>
                    <w:rPr>
                      <w:color w:val="auto"/>
                      <w:highlight w:val="none"/>
                    </w:rPr>
                  </w:pPr>
                  <w:r>
                    <w:rPr>
                      <w:color w:val="auto"/>
                      <w:highlight w:val="none"/>
                    </w:rPr>
                    <w:t>19</w:t>
                  </w:r>
                </w:p>
              </w:tc>
              <w:tc>
                <w:tcPr>
                  <w:tcW w:w="3251" w:type="pct"/>
                  <w:noWrap w:val="0"/>
                  <w:vAlign w:val="center"/>
                </w:tcPr>
                <w:p w14:paraId="5123E88B">
                  <w:pPr>
                    <w:pStyle w:val="91"/>
                    <w:jc w:val="both"/>
                    <w:rPr>
                      <w:color w:val="auto"/>
                      <w:highlight w:val="none"/>
                    </w:rPr>
                  </w:pPr>
                  <w:r>
                    <w:rPr>
                      <w:color w:val="auto"/>
                      <w:highlight w:val="none"/>
                    </w:rPr>
                    <w:t>禁止新建、扩建不符合国家产能置换要求的严重过剩产能行业的项目。禁止新建、扩建不符合要求的高耗能高排放项目。</w:t>
                  </w:r>
                </w:p>
              </w:tc>
              <w:tc>
                <w:tcPr>
                  <w:tcW w:w="944" w:type="pct"/>
                  <w:noWrap w:val="0"/>
                  <w:tcMar>
                    <w:top w:w="15" w:type="dxa"/>
                    <w:left w:w="0" w:type="dxa"/>
                    <w:right w:w="0" w:type="dxa"/>
                  </w:tcMar>
                  <w:vAlign w:val="center"/>
                </w:tcPr>
                <w:p w14:paraId="4439A49C">
                  <w:pPr>
                    <w:pStyle w:val="91"/>
                    <w:jc w:val="center"/>
                    <w:rPr>
                      <w:color w:val="auto"/>
                      <w:highlight w:val="none"/>
                    </w:rPr>
                  </w:pPr>
                  <w:r>
                    <w:rPr>
                      <w:color w:val="auto"/>
                      <w:highlight w:val="none"/>
                    </w:rPr>
                    <w:t>本项目不属于高能耗高排放项目</w:t>
                  </w:r>
                </w:p>
              </w:tc>
              <w:tc>
                <w:tcPr>
                  <w:tcW w:w="550" w:type="pct"/>
                  <w:noWrap w:val="0"/>
                  <w:vAlign w:val="center"/>
                </w:tcPr>
                <w:p w14:paraId="78C48968">
                  <w:pPr>
                    <w:pStyle w:val="91"/>
                    <w:rPr>
                      <w:color w:val="auto"/>
                      <w:highlight w:val="none"/>
                    </w:rPr>
                  </w:pPr>
                  <w:r>
                    <w:rPr>
                      <w:color w:val="auto"/>
                      <w:highlight w:val="none"/>
                    </w:rPr>
                    <w:t>否</w:t>
                  </w:r>
                </w:p>
              </w:tc>
            </w:tr>
            <w:tr w14:paraId="6FE587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3" w:type="pct"/>
                  <w:noWrap w:val="0"/>
                  <w:tcMar>
                    <w:top w:w="15" w:type="dxa"/>
                    <w:left w:w="0" w:type="dxa"/>
                    <w:right w:w="0" w:type="dxa"/>
                  </w:tcMar>
                  <w:vAlign w:val="center"/>
                </w:tcPr>
                <w:p w14:paraId="41E6EF55">
                  <w:pPr>
                    <w:pStyle w:val="91"/>
                    <w:rPr>
                      <w:color w:val="auto"/>
                      <w:highlight w:val="none"/>
                    </w:rPr>
                  </w:pPr>
                  <w:r>
                    <w:rPr>
                      <w:color w:val="auto"/>
                      <w:highlight w:val="none"/>
                    </w:rPr>
                    <w:t>20</w:t>
                  </w:r>
                </w:p>
              </w:tc>
              <w:tc>
                <w:tcPr>
                  <w:tcW w:w="3251" w:type="pct"/>
                  <w:noWrap w:val="0"/>
                  <w:vAlign w:val="center"/>
                </w:tcPr>
                <w:p w14:paraId="7DA23E60">
                  <w:pPr>
                    <w:pStyle w:val="91"/>
                    <w:jc w:val="both"/>
                    <w:rPr>
                      <w:rFonts w:hint="eastAsia"/>
                      <w:color w:val="auto"/>
                      <w:highlight w:val="none"/>
                    </w:rPr>
                  </w:pPr>
                  <w:r>
                    <w:rPr>
                      <w:color w:val="auto"/>
                      <w:highlight w:val="none"/>
                    </w:rPr>
                    <w:t>法律法规及相关政策文件有更加严格规定的从其规定。</w:t>
                  </w:r>
                </w:p>
              </w:tc>
              <w:tc>
                <w:tcPr>
                  <w:tcW w:w="944" w:type="pct"/>
                  <w:noWrap w:val="0"/>
                  <w:tcMar>
                    <w:top w:w="15" w:type="dxa"/>
                    <w:left w:w="0" w:type="dxa"/>
                    <w:right w:w="0" w:type="dxa"/>
                  </w:tcMar>
                  <w:vAlign w:val="center"/>
                </w:tcPr>
                <w:p w14:paraId="58C98EF3">
                  <w:pPr>
                    <w:pStyle w:val="91"/>
                    <w:jc w:val="center"/>
                    <w:rPr>
                      <w:color w:val="auto"/>
                      <w:highlight w:val="none"/>
                    </w:rPr>
                  </w:pPr>
                  <w:r>
                    <w:rPr>
                      <w:color w:val="auto"/>
                      <w:highlight w:val="none"/>
                    </w:rPr>
                    <w:t>本项目从严执行各项</w:t>
                  </w:r>
                  <w:r>
                    <w:rPr>
                      <w:rFonts w:hint="eastAsia"/>
                      <w:color w:val="auto"/>
                      <w:highlight w:val="none"/>
                      <w:lang w:eastAsia="zh-CN"/>
                    </w:rPr>
                    <w:t>法</w:t>
                  </w:r>
                  <w:r>
                    <w:rPr>
                      <w:color w:val="auto"/>
                      <w:highlight w:val="none"/>
                    </w:rPr>
                    <w:t>律法规及相关政策文件</w:t>
                  </w:r>
                </w:p>
              </w:tc>
              <w:tc>
                <w:tcPr>
                  <w:tcW w:w="550" w:type="pct"/>
                  <w:noWrap w:val="0"/>
                  <w:vAlign w:val="center"/>
                </w:tcPr>
                <w:p w14:paraId="3224AD17">
                  <w:pPr>
                    <w:pStyle w:val="91"/>
                    <w:rPr>
                      <w:color w:val="auto"/>
                      <w:highlight w:val="none"/>
                    </w:rPr>
                  </w:pPr>
                  <w:r>
                    <w:rPr>
                      <w:color w:val="auto"/>
                      <w:highlight w:val="none"/>
                    </w:rPr>
                    <w:t>否</w:t>
                  </w:r>
                </w:p>
              </w:tc>
            </w:tr>
          </w:tbl>
          <w:p w14:paraId="31265B3D">
            <w:pPr>
              <w:tabs>
                <w:tab w:val="left" w:pos="720"/>
              </w:tabs>
              <w:adjustRightInd w:val="0"/>
              <w:snapToGrid w:val="0"/>
              <w:spacing w:line="360" w:lineRule="auto"/>
              <w:ind w:firstLine="480" w:firstLineChars="200"/>
              <w:rPr>
                <w:rFonts w:hint="eastAsia"/>
                <w:color w:val="auto"/>
                <w:sz w:val="24"/>
                <w:szCs w:val="24"/>
                <w:highlight w:val="none"/>
                <w:lang w:bidi="ar"/>
              </w:rPr>
            </w:pPr>
            <w:r>
              <w:rPr>
                <w:rFonts w:hint="eastAsia"/>
                <w:color w:val="auto"/>
                <w:sz w:val="24"/>
                <w:szCs w:val="24"/>
                <w:highlight w:val="none"/>
                <w:lang w:bidi="ar"/>
              </w:rPr>
              <w:t>由上表可知，本项目符合国家及地方政策、不属于负面清单中的项目。综上，本项目符合“三线一单”要求。</w:t>
            </w:r>
          </w:p>
          <w:p w14:paraId="724534E3">
            <w:pPr>
              <w:tabs>
                <w:tab w:val="left" w:pos="720"/>
              </w:tabs>
              <w:adjustRightInd w:val="0"/>
              <w:snapToGrid w:val="0"/>
              <w:spacing w:line="360" w:lineRule="auto"/>
              <w:ind w:firstLine="482" w:firstLineChars="200"/>
              <w:rPr>
                <w:b/>
                <w:color w:val="auto"/>
                <w:sz w:val="24"/>
                <w:highlight w:val="none"/>
              </w:rPr>
            </w:pPr>
            <w:r>
              <w:rPr>
                <w:rFonts w:hint="eastAsia"/>
                <w:b/>
                <w:color w:val="auto"/>
                <w:sz w:val="24"/>
                <w:szCs w:val="22"/>
                <w:highlight w:val="none"/>
                <w:lang w:val="en-US" w:eastAsia="zh-CN"/>
              </w:rPr>
              <w:t>2、</w:t>
            </w:r>
            <w:r>
              <w:rPr>
                <w:b/>
                <w:color w:val="auto"/>
                <w:sz w:val="24"/>
                <w:szCs w:val="22"/>
                <w:highlight w:val="none"/>
              </w:rPr>
              <w:t>与</w:t>
            </w:r>
            <w:r>
              <w:rPr>
                <w:b/>
                <w:color w:val="auto"/>
                <w:sz w:val="24"/>
                <w:highlight w:val="none"/>
              </w:rPr>
              <w:t>《省生态环境厅关于进一步加强建设项目环评审批和服务工作的指导意见》（苏环办[2020]225号）相符性分析</w:t>
            </w:r>
          </w:p>
          <w:p w14:paraId="2B6ABE33">
            <w:pPr>
              <w:tabs>
                <w:tab w:val="left" w:pos="720"/>
              </w:tabs>
              <w:adjustRightInd w:val="0"/>
              <w:snapToGrid w:val="0"/>
              <w:spacing w:line="360" w:lineRule="auto"/>
              <w:ind w:firstLine="480" w:firstLineChars="200"/>
              <w:rPr>
                <w:color w:val="auto"/>
                <w:sz w:val="24"/>
                <w:highlight w:val="none"/>
              </w:rPr>
            </w:pPr>
            <w:r>
              <w:rPr>
                <w:color w:val="auto"/>
                <w:sz w:val="24"/>
                <w:highlight w:val="none"/>
              </w:rPr>
              <w:t>本项目与《省生态环境厅关于进一步加强建设项目环评审批和服务工作的指导意见》（苏环办[2020]225号）相符性分析详见表1-</w:t>
            </w:r>
            <w:r>
              <w:rPr>
                <w:rFonts w:hint="eastAsia"/>
                <w:color w:val="auto"/>
                <w:sz w:val="24"/>
                <w:highlight w:val="none"/>
                <w:lang w:val="en-US" w:eastAsia="zh-CN"/>
              </w:rPr>
              <w:t>8</w:t>
            </w:r>
            <w:r>
              <w:rPr>
                <w:color w:val="auto"/>
                <w:sz w:val="24"/>
                <w:highlight w:val="none"/>
              </w:rPr>
              <w:t>。</w:t>
            </w:r>
          </w:p>
          <w:p w14:paraId="5A7E113F">
            <w:pPr>
              <w:keepNext/>
              <w:adjustRightInd w:val="0"/>
              <w:snapToGrid w:val="0"/>
              <w:jc w:val="center"/>
              <w:rPr>
                <w:b/>
                <w:color w:val="auto"/>
                <w:sz w:val="24"/>
                <w:szCs w:val="24"/>
                <w:highlight w:val="none"/>
              </w:rPr>
            </w:pPr>
            <w:r>
              <w:rPr>
                <w:b/>
                <w:color w:val="auto"/>
                <w:sz w:val="24"/>
                <w:szCs w:val="24"/>
                <w:highlight w:val="none"/>
              </w:rPr>
              <w:t>表1-</w:t>
            </w:r>
            <w:r>
              <w:rPr>
                <w:rFonts w:hint="eastAsia"/>
                <w:b/>
                <w:color w:val="auto"/>
                <w:sz w:val="24"/>
                <w:szCs w:val="24"/>
                <w:highlight w:val="none"/>
                <w:lang w:val="en-US" w:eastAsia="zh-CN"/>
              </w:rPr>
              <w:t>8</w:t>
            </w:r>
            <w:r>
              <w:rPr>
                <w:b/>
                <w:color w:val="auto"/>
                <w:sz w:val="24"/>
                <w:szCs w:val="24"/>
                <w:highlight w:val="none"/>
              </w:rPr>
              <w:t xml:space="preserve"> 与苏环办[2020]225号相符性分析</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09"/>
              <w:gridCol w:w="5347"/>
              <w:gridCol w:w="1894"/>
              <w:gridCol w:w="560"/>
            </w:tblGrid>
            <w:tr w14:paraId="0488A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6" w:type="pct"/>
                  <w:tcBorders>
                    <w:top w:val="single" w:color="auto" w:sz="12" w:space="0"/>
                    <w:bottom w:val="single" w:color="auto" w:sz="12" w:space="0"/>
                  </w:tcBorders>
                  <w:noWrap w:val="0"/>
                  <w:vAlign w:val="center"/>
                </w:tcPr>
                <w:p w14:paraId="74D5A047">
                  <w:pPr>
                    <w:snapToGrid w:val="0"/>
                    <w:jc w:val="center"/>
                    <w:rPr>
                      <w:b/>
                      <w:color w:val="auto"/>
                      <w:szCs w:val="21"/>
                      <w:highlight w:val="none"/>
                    </w:rPr>
                  </w:pPr>
                  <w:r>
                    <w:rPr>
                      <w:b/>
                      <w:color w:val="auto"/>
                      <w:szCs w:val="21"/>
                      <w:highlight w:val="none"/>
                    </w:rPr>
                    <w:t>序号</w:t>
                  </w:r>
                </w:p>
              </w:tc>
              <w:tc>
                <w:tcPr>
                  <w:tcW w:w="3216" w:type="pct"/>
                  <w:tcBorders>
                    <w:top w:val="single" w:color="auto" w:sz="12" w:space="0"/>
                    <w:bottom w:val="single" w:color="auto" w:sz="12" w:space="0"/>
                  </w:tcBorders>
                  <w:noWrap w:val="0"/>
                  <w:vAlign w:val="center"/>
                </w:tcPr>
                <w:p w14:paraId="568D61E8">
                  <w:pPr>
                    <w:snapToGrid w:val="0"/>
                    <w:jc w:val="center"/>
                    <w:rPr>
                      <w:b/>
                      <w:color w:val="auto"/>
                      <w:szCs w:val="21"/>
                      <w:highlight w:val="none"/>
                    </w:rPr>
                  </w:pPr>
                  <w:r>
                    <w:rPr>
                      <w:b/>
                      <w:color w:val="auto"/>
                      <w:szCs w:val="21"/>
                      <w:highlight w:val="none"/>
                    </w:rPr>
                    <w:t>文件相关内容</w:t>
                  </w:r>
                </w:p>
              </w:tc>
              <w:tc>
                <w:tcPr>
                  <w:tcW w:w="1139" w:type="pct"/>
                  <w:tcBorders>
                    <w:top w:val="single" w:color="auto" w:sz="12" w:space="0"/>
                    <w:bottom w:val="single" w:color="auto" w:sz="12" w:space="0"/>
                  </w:tcBorders>
                  <w:noWrap w:val="0"/>
                  <w:vAlign w:val="center"/>
                </w:tcPr>
                <w:p w14:paraId="5722C691">
                  <w:pPr>
                    <w:snapToGrid w:val="0"/>
                    <w:jc w:val="center"/>
                    <w:rPr>
                      <w:b/>
                      <w:color w:val="auto"/>
                      <w:szCs w:val="21"/>
                      <w:highlight w:val="none"/>
                    </w:rPr>
                  </w:pPr>
                  <w:r>
                    <w:rPr>
                      <w:b/>
                      <w:color w:val="auto"/>
                      <w:szCs w:val="21"/>
                      <w:highlight w:val="none"/>
                    </w:rPr>
                    <w:t>本项目情况</w:t>
                  </w:r>
                </w:p>
              </w:tc>
              <w:tc>
                <w:tcPr>
                  <w:tcW w:w="337" w:type="pct"/>
                  <w:tcBorders>
                    <w:top w:val="single" w:color="auto" w:sz="12" w:space="0"/>
                    <w:bottom w:val="single" w:color="auto" w:sz="12" w:space="0"/>
                  </w:tcBorders>
                  <w:noWrap w:val="0"/>
                  <w:vAlign w:val="center"/>
                </w:tcPr>
                <w:p w14:paraId="3BDBC9BE">
                  <w:pPr>
                    <w:snapToGrid w:val="0"/>
                    <w:jc w:val="center"/>
                    <w:rPr>
                      <w:b/>
                      <w:color w:val="auto"/>
                      <w:szCs w:val="21"/>
                      <w:highlight w:val="none"/>
                    </w:rPr>
                  </w:pPr>
                  <w:r>
                    <w:rPr>
                      <w:b/>
                      <w:color w:val="auto"/>
                      <w:szCs w:val="21"/>
                      <w:highlight w:val="none"/>
                    </w:rPr>
                    <w:t>是否相符</w:t>
                  </w:r>
                </w:p>
              </w:tc>
            </w:tr>
            <w:tr w14:paraId="6ACACC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6" w:type="pct"/>
                  <w:tcBorders>
                    <w:top w:val="single" w:color="auto" w:sz="12" w:space="0"/>
                  </w:tcBorders>
                  <w:noWrap w:val="0"/>
                  <w:vAlign w:val="center"/>
                </w:tcPr>
                <w:p w14:paraId="48BA5924">
                  <w:pPr>
                    <w:autoSpaceDE w:val="0"/>
                    <w:autoSpaceDN w:val="0"/>
                    <w:adjustRightInd w:val="0"/>
                    <w:rPr>
                      <w:color w:val="auto"/>
                      <w:szCs w:val="21"/>
                      <w:highlight w:val="none"/>
                    </w:rPr>
                  </w:pPr>
                  <w:r>
                    <w:rPr>
                      <w:color w:val="auto"/>
                      <w:szCs w:val="21"/>
                      <w:highlight w:val="none"/>
                    </w:rPr>
                    <w:t>一、严守生态环境质量底线</w:t>
                  </w:r>
                </w:p>
              </w:tc>
              <w:tc>
                <w:tcPr>
                  <w:tcW w:w="3216" w:type="pct"/>
                  <w:tcBorders>
                    <w:top w:val="single" w:color="auto" w:sz="12" w:space="0"/>
                  </w:tcBorders>
                  <w:noWrap w:val="0"/>
                  <w:vAlign w:val="center"/>
                </w:tcPr>
                <w:p w14:paraId="710A6808">
                  <w:pPr>
                    <w:autoSpaceDE w:val="0"/>
                    <w:autoSpaceDN w:val="0"/>
                    <w:adjustRightInd w:val="0"/>
                    <w:rPr>
                      <w:color w:val="auto"/>
                      <w:szCs w:val="21"/>
                      <w:highlight w:val="none"/>
                    </w:rPr>
                  </w:pPr>
                  <w:r>
                    <w:rPr>
                      <w:color w:val="auto"/>
                      <w:szCs w:val="21"/>
                      <w:highlight w:val="none"/>
                    </w:rPr>
                    <w:t>坚持以改善环境质量为核心，开发建设活动不得突破区域生态环境承载能力，确保“生态环境质量只能更好、不能变坏”。</w:t>
                  </w:r>
                </w:p>
                <w:p w14:paraId="65CAD92E">
                  <w:pPr>
                    <w:autoSpaceDE w:val="0"/>
                    <w:autoSpaceDN w:val="0"/>
                    <w:adjustRightInd w:val="0"/>
                    <w:rPr>
                      <w:color w:val="auto"/>
                      <w:szCs w:val="21"/>
                      <w:highlight w:val="none"/>
                    </w:rPr>
                  </w:pPr>
                  <w:r>
                    <w:rPr>
                      <w:color w:val="auto"/>
                      <w:szCs w:val="21"/>
                      <w:highlight w:val="none"/>
                    </w:rPr>
                    <w:t>（一）建设项目所在区域环境质量未达到国家或地方环境质量标准，且项目拟采取的污染防治措施不能满足区域环境质量改善目标管理要求的， 一律不得审批。</w:t>
                  </w:r>
                </w:p>
                <w:p w14:paraId="1C7C73AF">
                  <w:pPr>
                    <w:autoSpaceDE w:val="0"/>
                    <w:autoSpaceDN w:val="0"/>
                    <w:adjustRightInd w:val="0"/>
                    <w:rPr>
                      <w:color w:val="auto"/>
                      <w:szCs w:val="21"/>
                      <w:highlight w:val="none"/>
                    </w:rPr>
                  </w:pPr>
                  <w:r>
                    <w:rPr>
                      <w:color w:val="auto"/>
                      <w:szCs w:val="21"/>
                      <w:highlight w:val="none"/>
                    </w:rPr>
                    <w:t>（二）加强规划环评与建设项目环评</w:t>
                  </w:r>
                  <w:r>
                    <w:rPr>
                      <w:rFonts w:hint="eastAsia"/>
                      <w:color w:val="auto"/>
                      <w:szCs w:val="21"/>
                      <w:highlight w:val="none"/>
                      <w:lang w:eastAsia="zh-CN"/>
                    </w:rPr>
                    <w:t>联动</w:t>
                  </w:r>
                  <w:r>
                    <w:rPr>
                      <w:color w:val="auto"/>
                      <w:szCs w:val="21"/>
                      <w:highlight w:val="none"/>
                    </w:rPr>
                    <w:t>，对不符合规划环评结论及审查意见的项目环评，依法不予审批。规划所包含项目的环评内容，可根据规划环评结论和审查意见予以简化。</w:t>
                  </w:r>
                </w:p>
                <w:p w14:paraId="74CDBCD7">
                  <w:pPr>
                    <w:autoSpaceDE w:val="0"/>
                    <w:autoSpaceDN w:val="0"/>
                    <w:adjustRightInd w:val="0"/>
                    <w:rPr>
                      <w:color w:val="auto"/>
                      <w:szCs w:val="21"/>
                      <w:highlight w:val="none"/>
                    </w:rPr>
                  </w:pPr>
                  <w:r>
                    <w:rPr>
                      <w:color w:val="auto"/>
                      <w:szCs w:val="21"/>
                      <w:highlight w:val="none"/>
                    </w:rPr>
                    <w:t>（三）切实加强区域环境容量、环境承载力研究，不得审批突破环境容量和环境承载力的建设项目。</w:t>
                  </w:r>
                </w:p>
                <w:p w14:paraId="3D198A95">
                  <w:pPr>
                    <w:autoSpaceDE w:val="0"/>
                    <w:autoSpaceDN w:val="0"/>
                    <w:adjustRightInd w:val="0"/>
                    <w:rPr>
                      <w:color w:val="auto"/>
                      <w:szCs w:val="21"/>
                      <w:highlight w:val="none"/>
                    </w:rPr>
                  </w:pPr>
                  <w:r>
                    <w:rPr>
                      <w:color w:val="auto"/>
                      <w:szCs w:val="21"/>
                      <w:highlight w:val="none"/>
                    </w:rPr>
                    <w:t>（四）应将“三线一单”作为建设项目环评审批的重要依据，严格落实生态环境分区管控要求， 从严把好环境准入关。</w:t>
                  </w:r>
                </w:p>
              </w:tc>
              <w:tc>
                <w:tcPr>
                  <w:tcW w:w="1139" w:type="pct"/>
                  <w:tcBorders>
                    <w:top w:val="single" w:color="auto" w:sz="12" w:space="0"/>
                  </w:tcBorders>
                  <w:noWrap w:val="0"/>
                  <w:vAlign w:val="center"/>
                </w:tcPr>
                <w:p w14:paraId="3012F0B2">
                  <w:pPr>
                    <w:snapToGrid w:val="0"/>
                    <w:rPr>
                      <w:color w:val="auto"/>
                      <w:szCs w:val="21"/>
                      <w:highlight w:val="none"/>
                    </w:rPr>
                  </w:pPr>
                  <w:r>
                    <w:rPr>
                      <w:color w:val="auto"/>
                      <w:szCs w:val="21"/>
                      <w:highlight w:val="none"/>
                    </w:rPr>
                    <w:t>（1）经分析，本</w:t>
                  </w:r>
                  <w:r>
                    <w:rPr>
                      <w:rFonts w:hint="eastAsia"/>
                      <w:color w:val="auto"/>
                      <w:szCs w:val="21"/>
                      <w:highlight w:val="none"/>
                      <w:lang w:eastAsia="zh-CN"/>
                    </w:rPr>
                    <w:t>项目</w:t>
                  </w:r>
                  <w:r>
                    <w:rPr>
                      <w:color w:val="auto"/>
                      <w:szCs w:val="21"/>
                      <w:highlight w:val="none"/>
                    </w:rPr>
                    <w:t>符合当地生态保护红线要求，不降低项目周边环境质量底线，不超出当地资源利用上线，符合“三线一单”的要求。</w:t>
                  </w:r>
                </w:p>
                <w:p w14:paraId="3C41D95F">
                  <w:pPr>
                    <w:snapToGrid w:val="0"/>
                    <w:rPr>
                      <w:color w:val="auto"/>
                      <w:szCs w:val="21"/>
                      <w:highlight w:val="none"/>
                    </w:rPr>
                  </w:pPr>
                  <w:r>
                    <w:rPr>
                      <w:color w:val="auto"/>
                      <w:szCs w:val="21"/>
                      <w:highlight w:val="none"/>
                    </w:rPr>
                    <w:t>（2）本项目符合</w:t>
                  </w:r>
                  <w:r>
                    <w:rPr>
                      <w:rFonts w:hint="eastAsia"/>
                      <w:color w:val="auto"/>
                      <w:szCs w:val="21"/>
                      <w:highlight w:val="none"/>
                      <w:lang w:val="en-US" w:eastAsia="zh-CN"/>
                    </w:rPr>
                    <w:t>句容郭庄镇</w:t>
                  </w:r>
                  <w:r>
                    <w:rPr>
                      <w:color w:val="auto"/>
                      <w:szCs w:val="21"/>
                      <w:highlight w:val="none"/>
                    </w:rPr>
                    <w:t>环境保护的总体要求，符合</w:t>
                  </w:r>
                  <w:r>
                    <w:rPr>
                      <w:rFonts w:hint="eastAsia"/>
                      <w:color w:val="auto"/>
                      <w:szCs w:val="21"/>
                      <w:highlight w:val="none"/>
                      <w:lang w:val="en-US" w:eastAsia="zh-CN"/>
                    </w:rPr>
                    <w:t>郭庄镇</w:t>
                  </w:r>
                  <w:r>
                    <w:rPr>
                      <w:color w:val="auto"/>
                      <w:szCs w:val="21"/>
                      <w:highlight w:val="none"/>
                    </w:rPr>
                    <w:t>规划环评结论及审查意见。</w:t>
                  </w:r>
                </w:p>
              </w:tc>
              <w:tc>
                <w:tcPr>
                  <w:tcW w:w="337" w:type="pct"/>
                  <w:tcBorders>
                    <w:top w:val="single" w:color="auto" w:sz="12" w:space="0"/>
                  </w:tcBorders>
                  <w:noWrap w:val="0"/>
                  <w:vAlign w:val="center"/>
                </w:tcPr>
                <w:p w14:paraId="5EA87732">
                  <w:pPr>
                    <w:snapToGrid w:val="0"/>
                    <w:jc w:val="center"/>
                    <w:rPr>
                      <w:color w:val="auto"/>
                      <w:szCs w:val="21"/>
                      <w:highlight w:val="none"/>
                    </w:rPr>
                  </w:pPr>
                  <w:r>
                    <w:rPr>
                      <w:color w:val="auto"/>
                      <w:szCs w:val="21"/>
                      <w:highlight w:val="none"/>
                    </w:rPr>
                    <w:t>是</w:t>
                  </w:r>
                </w:p>
              </w:tc>
            </w:tr>
            <w:tr w14:paraId="5E4052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6" w:type="pct"/>
                  <w:noWrap w:val="0"/>
                  <w:vAlign w:val="center"/>
                </w:tcPr>
                <w:p w14:paraId="3AADC61F">
                  <w:pPr>
                    <w:autoSpaceDE w:val="0"/>
                    <w:autoSpaceDN w:val="0"/>
                    <w:adjustRightInd w:val="0"/>
                    <w:rPr>
                      <w:color w:val="auto"/>
                      <w:szCs w:val="21"/>
                      <w:highlight w:val="none"/>
                    </w:rPr>
                  </w:pPr>
                  <w:r>
                    <w:rPr>
                      <w:color w:val="auto"/>
                      <w:szCs w:val="21"/>
                      <w:highlight w:val="none"/>
                    </w:rPr>
                    <w:t>二、 严格重点行业环评审批</w:t>
                  </w:r>
                </w:p>
              </w:tc>
              <w:tc>
                <w:tcPr>
                  <w:tcW w:w="3216" w:type="pct"/>
                  <w:noWrap w:val="0"/>
                  <w:vAlign w:val="center"/>
                </w:tcPr>
                <w:p w14:paraId="1727F6E6">
                  <w:pPr>
                    <w:autoSpaceDE w:val="0"/>
                    <w:autoSpaceDN w:val="0"/>
                    <w:adjustRightInd w:val="0"/>
                    <w:rPr>
                      <w:color w:val="auto"/>
                      <w:szCs w:val="21"/>
                      <w:highlight w:val="none"/>
                    </w:rPr>
                  </w:pPr>
                  <w:r>
                    <w:rPr>
                      <w:color w:val="auto"/>
                      <w:szCs w:val="21"/>
                      <w:highlight w:val="none"/>
                    </w:rPr>
                    <w:t>聚焦污染排放大、环境风险高的重点行业，实施清单化管理，严格建设项目环评审批，切实把好环境准入关。</w:t>
                  </w:r>
                </w:p>
                <w:p w14:paraId="6CE5ED03">
                  <w:pPr>
                    <w:autoSpaceDE w:val="0"/>
                    <w:autoSpaceDN w:val="0"/>
                    <w:adjustRightInd w:val="0"/>
                    <w:rPr>
                      <w:color w:val="auto"/>
                      <w:szCs w:val="21"/>
                      <w:highlight w:val="none"/>
                    </w:rPr>
                  </w:pPr>
                  <w:r>
                    <w:rPr>
                      <w:color w:val="auto"/>
                      <w:szCs w:val="21"/>
                      <w:highlight w:val="none"/>
                    </w:rPr>
                    <w:t>（五）对纳入重点行业清单的建设项目，不适用告知承诺制和简化环评内容等改革试点措施。</w:t>
                  </w:r>
                </w:p>
                <w:p w14:paraId="4777F223">
                  <w:pPr>
                    <w:autoSpaceDE w:val="0"/>
                    <w:autoSpaceDN w:val="0"/>
                    <w:adjustRightInd w:val="0"/>
                    <w:rPr>
                      <w:color w:val="auto"/>
                      <w:szCs w:val="21"/>
                      <w:highlight w:val="none"/>
                    </w:rPr>
                  </w:pPr>
                  <w:r>
                    <w:rPr>
                      <w:color w:val="auto"/>
                      <w:szCs w:val="21"/>
                      <w:highlight w:val="none"/>
                    </w:rPr>
                    <w:t>（六）重点行业清洁生产水平原则上应达国内先进以上水平，按照国家和省有关要求，执行超低排放或特别排放限值标准。</w:t>
                  </w:r>
                </w:p>
                <w:p w14:paraId="64AE0644">
                  <w:pPr>
                    <w:autoSpaceDE w:val="0"/>
                    <w:autoSpaceDN w:val="0"/>
                    <w:adjustRightInd w:val="0"/>
                    <w:rPr>
                      <w:color w:val="auto"/>
                      <w:szCs w:val="21"/>
                      <w:highlight w:val="none"/>
                    </w:rPr>
                  </w:pPr>
                  <w:r>
                    <w:rPr>
                      <w:color w:val="auto"/>
                      <w:szCs w:val="21"/>
                      <w:highlight w:val="none"/>
                    </w:rPr>
                    <w:t>（七）严格执行《江苏省长江经济带发展负面清单实施细则（试行）》，禁止在合规园区外新建、扩建钢铁、石化、化工、焦化、建材、有色等行业中的高污染项目。禁止新建燃煤自备电厂。</w:t>
                  </w:r>
                </w:p>
                <w:p w14:paraId="4C54EDC5">
                  <w:pPr>
                    <w:autoSpaceDE w:val="0"/>
                    <w:autoSpaceDN w:val="0"/>
                    <w:adjustRightInd w:val="0"/>
                    <w:rPr>
                      <w:color w:val="auto"/>
                      <w:szCs w:val="21"/>
                      <w:highlight w:val="none"/>
                    </w:rPr>
                  </w:pPr>
                  <w:r>
                    <w:rPr>
                      <w:color w:val="auto"/>
                      <w:szCs w:val="21"/>
                      <w:highlight w:val="none"/>
                    </w:rPr>
                    <w:t>（八）统筹推动沿江产业战略性转型和在沿海地区战略性布局，坚持“规划引领、指标从严、政策衔接、产业先进”，推进钢铁、化工、煤电等行业有序转移，优化产业布局、调整产业结构，推动绿色发展。</w:t>
                  </w:r>
                </w:p>
              </w:tc>
              <w:tc>
                <w:tcPr>
                  <w:tcW w:w="1139" w:type="pct"/>
                  <w:noWrap w:val="0"/>
                  <w:vAlign w:val="center"/>
                </w:tcPr>
                <w:p w14:paraId="365EBF14">
                  <w:pPr>
                    <w:snapToGrid w:val="0"/>
                    <w:rPr>
                      <w:color w:val="auto"/>
                      <w:szCs w:val="21"/>
                      <w:highlight w:val="none"/>
                    </w:rPr>
                  </w:pPr>
                  <w:r>
                    <w:rPr>
                      <w:color w:val="auto"/>
                      <w:szCs w:val="21"/>
                      <w:highlight w:val="none"/>
                    </w:rPr>
                    <w:t>本项目不属于重点行业，不属于《长江经济带发展负面清单指南（试行，2022年版）》及江苏省实施细则中禁止类项目。</w:t>
                  </w:r>
                </w:p>
              </w:tc>
              <w:tc>
                <w:tcPr>
                  <w:tcW w:w="337" w:type="pct"/>
                  <w:noWrap w:val="0"/>
                  <w:vAlign w:val="center"/>
                </w:tcPr>
                <w:p w14:paraId="2D96B105">
                  <w:pPr>
                    <w:snapToGrid w:val="0"/>
                    <w:jc w:val="center"/>
                    <w:rPr>
                      <w:color w:val="auto"/>
                      <w:szCs w:val="21"/>
                      <w:highlight w:val="none"/>
                    </w:rPr>
                  </w:pPr>
                  <w:r>
                    <w:rPr>
                      <w:color w:val="auto"/>
                      <w:szCs w:val="21"/>
                      <w:highlight w:val="none"/>
                    </w:rPr>
                    <w:t>是</w:t>
                  </w:r>
                </w:p>
              </w:tc>
            </w:tr>
            <w:tr w14:paraId="540C0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6" w:type="pct"/>
                  <w:noWrap w:val="0"/>
                  <w:vAlign w:val="center"/>
                </w:tcPr>
                <w:p w14:paraId="3924EDA2">
                  <w:pPr>
                    <w:autoSpaceDE w:val="0"/>
                    <w:autoSpaceDN w:val="0"/>
                    <w:adjustRightInd w:val="0"/>
                    <w:rPr>
                      <w:color w:val="auto"/>
                      <w:szCs w:val="21"/>
                      <w:highlight w:val="none"/>
                    </w:rPr>
                  </w:pPr>
                  <w:r>
                    <w:rPr>
                      <w:color w:val="auto"/>
                      <w:szCs w:val="21"/>
                      <w:highlight w:val="none"/>
                    </w:rPr>
                    <w:t>三、 优化重大项目环评审批</w:t>
                  </w:r>
                </w:p>
              </w:tc>
              <w:tc>
                <w:tcPr>
                  <w:tcW w:w="3216" w:type="pct"/>
                  <w:noWrap w:val="0"/>
                  <w:vAlign w:val="center"/>
                </w:tcPr>
                <w:p w14:paraId="6F4B49DD">
                  <w:pPr>
                    <w:autoSpaceDE w:val="0"/>
                    <w:autoSpaceDN w:val="0"/>
                    <w:adjustRightInd w:val="0"/>
                    <w:rPr>
                      <w:color w:val="auto"/>
                      <w:szCs w:val="21"/>
                      <w:highlight w:val="none"/>
                    </w:rPr>
                  </w:pPr>
                  <w:r>
                    <w:rPr>
                      <w:color w:val="auto"/>
                      <w:szCs w:val="21"/>
                      <w:highlight w:val="none"/>
                    </w:rPr>
                    <w:t>重大项目建设是推动经济社会发展的重要抓手。树立鲜明的服务导向，为重大项目落地提供有效指导和有力支持。</w:t>
                  </w:r>
                </w:p>
                <w:p w14:paraId="39ECFCA0">
                  <w:pPr>
                    <w:autoSpaceDE w:val="0"/>
                    <w:autoSpaceDN w:val="0"/>
                    <w:adjustRightInd w:val="0"/>
                    <w:rPr>
                      <w:color w:val="auto"/>
                      <w:szCs w:val="21"/>
                      <w:highlight w:val="none"/>
                    </w:rPr>
                  </w:pPr>
                  <w:r>
                    <w:rPr>
                      <w:color w:val="auto"/>
                      <w:szCs w:val="21"/>
                      <w:highlight w:val="none"/>
                    </w:rPr>
                    <w:t>（九）对国家、省、市级和外商投资重大项目，实行清单化管理。对纳入清单的项目，主动服务、提前介入，全程做好政策咨询和环评技术指导。</w:t>
                  </w:r>
                </w:p>
                <w:p w14:paraId="4A5290F8">
                  <w:pPr>
                    <w:autoSpaceDE w:val="0"/>
                    <w:autoSpaceDN w:val="0"/>
                    <w:adjustRightInd w:val="0"/>
                    <w:rPr>
                      <w:color w:val="auto"/>
                      <w:szCs w:val="21"/>
                      <w:highlight w:val="none"/>
                    </w:rPr>
                  </w:pPr>
                  <w:r>
                    <w:rPr>
                      <w:color w:val="auto"/>
                      <w:szCs w:val="21"/>
                      <w:highlight w:val="none"/>
                    </w:rPr>
                    <w:t>（十）对重大基础设施、民生工程、战略新兴产业和重大产业布局等项目，开通环评审批“绿色通道”，实行受理、公示、评估、审查“四同步”，加速项目落地建设。</w:t>
                  </w:r>
                </w:p>
                <w:p w14:paraId="393EB957">
                  <w:pPr>
                    <w:autoSpaceDE w:val="0"/>
                    <w:autoSpaceDN w:val="0"/>
                    <w:adjustRightInd w:val="0"/>
                    <w:rPr>
                      <w:color w:val="auto"/>
                      <w:szCs w:val="21"/>
                      <w:highlight w:val="none"/>
                    </w:rPr>
                  </w:pPr>
                  <w:r>
                    <w:rPr>
                      <w:color w:val="auto"/>
                      <w:szCs w:val="21"/>
                      <w:highlight w:val="none"/>
                    </w:rPr>
                    <w:t>（十一）推动区域污染物排放深度减排和内部挖潜，腾出的排放指标优先用于优质重大项目建设。指导排污权交易，拓宽重大项目排放指标来源。</w:t>
                  </w:r>
                </w:p>
                <w:p w14:paraId="0B97F452">
                  <w:pPr>
                    <w:autoSpaceDE w:val="0"/>
                    <w:autoSpaceDN w:val="0"/>
                    <w:adjustRightInd w:val="0"/>
                    <w:rPr>
                      <w:color w:val="auto"/>
                      <w:szCs w:val="21"/>
                      <w:highlight w:val="none"/>
                    </w:rPr>
                  </w:pPr>
                  <w:r>
                    <w:rPr>
                      <w:color w:val="auto"/>
                      <w:szCs w:val="21"/>
                      <w:highlight w:val="none"/>
                    </w:rPr>
                    <w:t>（十二）经论证确实无法避让国家级生态保护红线的重大项目，应依法履行相关程序，且采取无害化的方式，强化减缓生态环境影响和补偿措施。</w:t>
                  </w:r>
                </w:p>
              </w:tc>
              <w:tc>
                <w:tcPr>
                  <w:tcW w:w="1139" w:type="pct"/>
                  <w:noWrap w:val="0"/>
                  <w:vAlign w:val="center"/>
                </w:tcPr>
                <w:p w14:paraId="59E936CE">
                  <w:pPr>
                    <w:snapToGrid w:val="0"/>
                    <w:jc w:val="center"/>
                    <w:rPr>
                      <w:color w:val="auto"/>
                      <w:szCs w:val="21"/>
                      <w:highlight w:val="none"/>
                    </w:rPr>
                  </w:pPr>
                  <w:r>
                    <w:rPr>
                      <w:color w:val="auto"/>
                      <w:szCs w:val="21"/>
                      <w:highlight w:val="none"/>
                    </w:rPr>
                    <w:t>本项目不涉及。</w:t>
                  </w:r>
                </w:p>
              </w:tc>
              <w:tc>
                <w:tcPr>
                  <w:tcW w:w="337" w:type="pct"/>
                  <w:noWrap w:val="0"/>
                  <w:vAlign w:val="center"/>
                </w:tcPr>
                <w:p w14:paraId="2BF0DEB4">
                  <w:pPr>
                    <w:snapToGrid w:val="0"/>
                    <w:jc w:val="center"/>
                    <w:rPr>
                      <w:color w:val="auto"/>
                      <w:szCs w:val="21"/>
                      <w:highlight w:val="none"/>
                    </w:rPr>
                  </w:pPr>
                  <w:r>
                    <w:rPr>
                      <w:color w:val="auto"/>
                      <w:szCs w:val="21"/>
                      <w:highlight w:val="none"/>
                    </w:rPr>
                    <w:t>是</w:t>
                  </w:r>
                </w:p>
              </w:tc>
            </w:tr>
            <w:tr w14:paraId="6BEC3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6" w:type="pct"/>
                  <w:noWrap w:val="0"/>
                  <w:vAlign w:val="center"/>
                </w:tcPr>
                <w:p w14:paraId="5C42A834">
                  <w:pPr>
                    <w:autoSpaceDE w:val="0"/>
                    <w:autoSpaceDN w:val="0"/>
                    <w:adjustRightInd w:val="0"/>
                    <w:rPr>
                      <w:color w:val="auto"/>
                      <w:szCs w:val="21"/>
                      <w:highlight w:val="none"/>
                    </w:rPr>
                  </w:pPr>
                  <w:r>
                    <w:rPr>
                      <w:color w:val="auto"/>
                      <w:szCs w:val="21"/>
                      <w:highlight w:val="none"/>
                    </w:rPr>
                    <w:t>四、 认真落实环评审批正面清单</w:t>
                  </w:r>
                </w:p>
                <w:p w14:paraId="7B918CCD">
                  <w:pPr>
                    <w:snapToGrid w:val="0"/>
                    <w:jc w:val="center"/>
                    <w:rPr>
                      <w:color w:val="auto"/>
                      <w:szCs w:val="21"/>
                      <w:highlight w:val="none"/>
                    </w:rPr>
                  </w:pPr>
                </w:p>
              </w:tc>
              <w:tc>
                <w:tcPr>
                  <w:tcW w:w="3216" w:type="pct"/>
                  <w:noWrap w:val="0"/>
                  <w:vAlign w:val="center"/>
                </w:tcPr>
                <w:p w14:paraId="110F3B8A">
                  <w:pPr>
                    <w:autoSpaceDE w:val="0"/>
                    <w:autoSpaceDN w:val="0"/>
                    <w:adjustRightInd w:val="0"/>
                    <w:rPr>
                      <w:color w:val="auto"/>
                      <w:szCs w:val="21"/>
                      <w:highlight w:val="none"/>
                    </w:rPr>
                  </w:pPr>
                  <w:r>
                    <w:rPr>
                      <w:color w:val="auto"/>
                      <w:szCs w:val="21"/>
                      <w:highlight w:val="none"/>
                    </w:rPr>
                    <w:t>积极推进环评豁免和告知承诺制改革试点，着力提高环评审批效能，积极支持企业复工复产。</w:t>
                  </w:r>
                </w:p>
                <w:p w14:paraId="689C4A97">
                  <w:pPr>
                    <w:autoSpaceDE w:val="0"/>
                    <w:autoSpaceDN w:val="0"/>
                    <w:adjustRightInd w:val="0"/>
                    <w:rPr>
                      <w:color w:val="auto"/>
                      <w:szCs w:val="21"/>
                      <w:highlight w:val="none"/>
                    </w:rPr>
                  </w:pPr>
                  <w:r>
                    <w:rPr>
                      <w:color w:val="auto"/>
                      <w:szCs w:val="21"/>
                      <w:highlight w:val="none"/>
                    </w:rPr>
                    <w:t>（十三）纳入生态环境部“正面清单”中环评豁免范围的建设项目，全部实行环评豁免，无须办理环评手续。</w:t>
                  </w:r>
                </w:p>
                <w:p w14:paraId="14E0AD7B">
                  <w:pPr>
                    <w:autoSpaceDE w:val="0"/>
                    <w:autoSpaceDN w:val="0"/>
                    <w:adjustRightInd w:val="0"/>
                    <w:rPr>
                      <w:color w:val="auto"/>
                      <w:szCs w:val="21"/>
                      <w:highlight w:val="none"/>
                    </w:rPr>
                  </w:pPr>
                  <w:r>
                    <w:rPr>
                      <w:color w:val="auto"/>
                      <w:szCs w:val="21"/>
                      <w:highlight w:val="none"/>
                    </w:rPr>
                    <w:t>（十四）纳入《江苏省建设项目环评告知承诺制审批改革试点工作实施方案》（苏环办[2020]155号）的建设项目，原则上实行环评告知承诺制审批。但对于穿（跨）越或涉及国家级生态保护红线和省生态空间管控区域的、未取得主要污染物排放总指标的、年产生危险废物100吨以上的建设项目，不适用告知承诺制。</w:t>
                  </w:r>
                </w:p>
              </w:tc>
              <w:tc>
                <w:tcPr>
                  <w:tcW w:w="1139" w:type="pct"/>
                  <w:noWrap w:val="0"/>
                  <w:vAlign w:val="center"/>
                </w:tcPr>
                <w:p w14:paraId="6BCEE210">
                  <w:pPr>
                    <w:snapToGrid w:val="0"/>
                    <w:jc w:val="center"/>
                    <w:rPr>
                      <w:color w:val="auto"/>
                      <w:szCs w:val="21"/>
                      <w:highlight w:val="none"/>
                    </w:rPr>
                  </w:pPr>
                  <w:r>
                    <w:rPr>
                      <w:color w:val="auto"/>
                      <w:szCs w:val="21"/>
                      <w:highlight w:val="none"/>
                    </w:rPr>
                    <w:t>本项目不涉及</w:t>
                  </w:r>
                </w:p>
              </w:tc>
              <w:tc>
                <w:tcPr>
                  <w:tcW w:w="337" w:type="pct"/>
                  <w:noWrap w:val="0"/>
                  <w:vAlign w:val="center"/>
                </w:tcPr>
                <w:p w14:paraId="715B35A6">
                  <w:pPr>
                    <w:snapToGrid w:val="0"/>
                    <w:jc w:val="center"/>
                    <w:rPr>
                      <w:color w:val="auto"/>
                      <w:szCs w:val="21"/>
                      <w:highlight w:val="none"/>
                    </w:rPr>
                  </w:pPr>
                  <w:r>
                    <w:rPr>
                      <w:color w:val="auto"/>
                      <w:szCs w:val="21"/>
                      <w:highlight w:val="none"/>
                    </w:rPr>
                    <w:t>是</w:t>
                  </w:r>
                </w:p>
              </w:tc>
            </w:tr>
          </w:tbl>
          <w:p w14:paraId="311A232C">
            <w:pPr>
              <w:tabs>
                <w:tab w:val="left" w:pos="720"/>
              </w:tabs>
              <w:adjustRightInd w:val="0"/>
              <w:snapToGrid w:val="0"/>
              <w:spacing w:line="360" w:lineRule="auto"/>
              <w:ind w:firstLine="480" w:firstLineChars="200"/>
              <w:rPr>
                <w:rFonts w:eastAsiaTheme="minorEastAsia"/>
                <w:b/>
                <w:color w:val="auto"/>
                <w:kern w:val="0"/>
                <w:sz w:val="24"/>
                <w:szCs w:val="20"/>
                <w:highlight w:val="none"/>
              </w:rPr>
            </w:pPr>
            <w:r>
              <w:rPr>
                <w:color w:val="auto"/>
                <w:sz w:val="24"/>
                <w:highlight w:val="none"/>
              </w:rPr>
              <w:t>本项目符合《省生态环境厅关于进一步加强建设项目环评审批和服务工作的指导意见》（苏环办[2020]225号）中相关要求。</w:t>
            </w:r>
          </w:p>
          <w:p w14:paraId="3069AFB9">
            <w:pPr>
              <w:spacing w:line="360" w:lineRule="auto"/>
              <w:ind w:firstLine="482" w:firstLineChars="200"/>
              <w:rPr>
                <w:rFonts w:eastAsiaTheme="minorEastAsia"/>
                <w:b/>
                <w:color w:val="auto"/>
                <w:kern w:val="0"/>
                <w:sz w:val="24"/>
                <w:szCs w:val="24"/>
                <w:highlight w:val="none"/>
              </w:rPr>
            </w:pPr>
            <w:r>
              <w:rPr>
                <w:rFonts w:hint="eastAsia" w:eastAsiaTheme="minorEastAsia"/>
                <w:b/>
                <w:color w:val="auto"/>
                <w:kern w:val="0"/>
                <w:sz w:val="24"/>
                <w:szCs w:val="24"/>
                <w:highlight w:val="none"/>
                <w:lang w:val="en-US" w:eastAsia="zh-CN"/>
              </w:rPr>
              <w:t>3</w:t>
            </w:r>
            <w:r>
              <w:rPr>
                <w:rFonts w:hint="eastAsia" w:eastAsiaTheme="minorEastAsia"/>
                <w:b/>
                <w:color w:val="auto"/>
                <w:kern w:val="0"/>
                <w:sz w:val="24"/>
                <w:szCs w:val="24"/>
                <w:highlight w:val="none"/>
                <w:lang w:eastAsia="zh-CN"/>
              </w:rPr>
              <w:t>、</w:t>
            </w:r>
            <w:r>
              <w:rPr>
                <w:rFonts w:hint="eastAsia"/>
                <w:b/>
                <w:bCs/>
                <w:color w:val="auto"/>
                <w:sz w:val="24"/>
                <w:szCs w:val="24"/>
                <w:highlight w:val="none"/>
              </w:rPr>
              <w:t>相关生态环境保护法律法规政策</w:t>
            </w:r>
            <w:r>
              <w:rPr>
                <w:b/>
                <w:bCs/>
                <w:color w:val="auto"/>
                <w:sz w:val="24"/>
                <w:szCs w:val="24"/>
                <w:highlight w:val="none"/>
              </w:rPr>
              <w:t>相符性分析</w:t>
            </w:r>
          </w:p>
          <w:p w14:paraId="7C2D364F">
            <w:pPr>
              <w:adjustRightInd w:val="0"/>
              <w:snapToGrid w:val="0"/>
              <w:jc w:val="center"/>
              <w:rPr>
                <w:b/>
                <w:snapToGrid w:val="0"/>
                <w:color w:val="auto"/>
                <w:kern w:val="0"/>
                <w:sz w:val="24"/>
                <w:szCs w:val="24"/>
                <w:highlight w:val="none"/>
              </w:rPr>
            </w:pPr>
            <w:r>
              <w:rPr>
                <w:b/>
                <w:snapToGrid w:val="0"/>
                <w:color w:val="auto"/>
                <w:kern w:val="0"/>
                <w:sz w:val="24"/>
                <w:szCs w:val="24"/>
                <w:highlight w:val="none"/>
              </w:rPr>
              <w:t>表1-</w:t>
            </w:r>
            <w:r>
              <w:rPr>
                <w:rFonts w:hint="eastAsia"/>
                <w:b/>
                <w:snapToGrid w:val="0"/>
                <w:color w:val="auto"/>
                <w:kern w:val="0"/>
                <w:sz w:val="24"/>
                <w:szCs w:val="24"/>
                <w:highlight w:val="none"/>
                <w:lang w:val="en-US" w:eastAsia="zh-CN"/>
              </w:rPr>
              <w:t xml:space="preserve">9 </w:t>
            </w:r>
            <w:r>
              <w:rPr>
                <w:b/>
                <w:snapToGrid w:val="0"/>
                <w:color w:val="auto"/>
                <w:kern w:val="0"/>
                <w:sz w:val="24"/>
                <w:szCs w:val="24"/>
                <w:highlight w:val="none"/>
              </w:rPr>
              <w:t>本项目与国家及地方政策相符性分析一览表</w:t>
            </w:r>
          </w:p>
          <w:tbl>
            <w:tblPr>
              <w:tblStyle w:val="37"/>
              <w:tblW w:w="498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436"/>
              <w:gridCol w:w="3835"/>
              <w:gridCol w:w="2489"/>
              <w:gridCol w:w="527"/>
            </w:tblGrid>
            <w:tr w14:paraId="56D4E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66" w:type="pct"/>
                  <w:tcBorders>
                    <w:top w:val="single" w:color="auto" w:sz="12" w:space="0"/>
                    <w:left w:val="nil"/>
                    <w:bottom w:val="single" w:color="auto" w:sz="12" w:space="0"/>
                    <w:right w:val="single" w:color="auto" w:sz="4" w:space="0"/>
                  </w:tcBorders>
                  <w:tcMar>
                    <w:top w:w="0" w:type="dxa"/>
                    <w:left w:w="11" w:type="dxa"/>
                    <w:bottom w:w="0" w:type="dxa"/>
                    <w:right w:w="11" w:type="dxa"/>
                  </w:tcMar>
                  <w:vAlign w:val="center"/>
                </w:tcPr>
                <w:p w14:paraId="6FED9EC1">
                  <w:pPr>
                    <w:adjustRightInd w:val="0"/>
                    <w:snapToGrid w:val="0"/>
                    <w:jc w:val="center"/>
                    <w:rPr>
                      <w:b/>
                      <w:bCs/>
                      <w:snapToGrid w:val="0"/>
                      <w:color w:val="auto"/>
                      <w:kern w:val="0"/>
                      <w:szCs w:val="21"/>
                      <w:highlight w:val="none"/>
                    </w:rPr>
                  </w:pPr>
                  <w:r>
                    <w:rPr>
                      <w:b/>
                      <w:bCs/>
                      <w:snapToGrid w:val="0"/>
                      <w:color w:val="auto"/>
                      <w:kern w:val="0"/>
                      <w:szCs w:val="21"/>
                      <w:highlight w:val="none"/>
                    </w:rPr>
                    <w:t>文件</w:t>
                  </w:r>
                </w:p>
              </w:tc>
              <w:tc>
                <w:tcPr>
                  <w:tcW w:w="2313" w:type="pct"/>
                  <w:tcBorders>
                    <w:top w:val="single" w:color="auto" w:sz="12" w:space="0"/>
                    <w:left w:val="single" w:color="auto" w:sz="4" w:space="0"/>
                    <w:bottom w:val="single" w:color="auto" w:sz="12" w:space="0"/>
                    <w:right w:val="single" w:color="auto" w:sz="4" w:space="0"/>
                  </w:tcBorders>
                  <w:tcMar>
                    <w:top w:w="0" w:type="dxa"/>
                    <w:left w:w="11" w:type="dxa"/>
                    <w:bottom w:w="0" w:type="dxa"/>
                    <w:right w:w="11" w:type="dxa"/>
                  </w:tcMar>
                  <w:vAlign w:val="center"/>
                </w:tcPr>
                <w:p w14:paraId="05A003DA">
                  <w:pPr>
                    <w:adjustRightInd w:val="0"/>
                    <w:snapToGrid w:val="0"/>
                    <w:jc w:val="center"/>
                    <w:rPr>
                      <w:b/>
                      <w:bCs/>
                      <w:snapToGrid w:val="0"/>
                      <w:color w:val="auto"/>
                      <w:kern w:val="0"/>
                      <w:szCs w:val="21"/>
                      <w:highlight w:val="none"/>
                    </w:rPr>
                  </w:pPr>
                  <w:r>
                    <w:rPr>
                      <w:b/>
                      <w:bCs/>
                      <w:snapToGrid w:val="0"/>
                      <w:color w:val="auto"/>
                      <w:kern w:val="0"/>
                      <w:szCs w:val="21"/>
                      <w:highlight w:val="none"/>
                    </w:rPr>
                    <w:t>内容</w:t>
                  </w:r>
                </w:p>
              </w:tc>
              <w:tc>
                <w:tcPr>
                  <w:tcW w:w="1501" w:type="pct"/>
                  <w:tcBorders>
                    <w:top w:val="single" w:color="auto" w:sz="12" w:space="0"/>
                    <w:left w:val="single" w:color="auto" w:sz="4" w:space="0"/>
                    <w:bottom w:val="single" w:color="auto" w:sz="12" w:space="0"/>
                    <w:right w:val="nil"/>
                  </w:tcBorders>
                  <w:tcMar>
                    <w:top w:w="0" w:type="dxa"/>
                    <w:left w:w="11" w:type="dxa"/>
                    <w:bottom w:w="0" w:type="dxa"/>
                    <w:right w:w="11" w:type="dxa"/>
                  </w:tcMar>
                  <w:vAlign w:val="center"/>
                </w:tcPr>
                <w:p w14:paraId="427D78F8">
                  <w:pPr>
                    <w:adjustRightInd w:val="0"/>
                    <w:snapToGrid w:val="0"/>
                    <w:jc w:val="center"/>
                    <w:rPr>
                      <w:b/>
                      <w:bCs/>
                      <w:snapToGrid w:val="0"/>
                      <w:color w:val="auto"/>
                      <w:kern w:val="0"/>
                      <w:szCs w:val="21"/>
                      <w:highlight w:val="none"/>
                    </w:rPr>
                  </w:pPr>
                  <w:r>
                    <w:rPr>
                      <w:b/>
                      <w:bCs/>
                      <w:snapToGrid w:val="0"/>
                      <w:color w:val="auto"/>
                      <w:kern w:val="0"/>
                      <w:szCs w:val="21"/>
                      <w:highlight w:val="none"/>
                    </w:rPr>
                    <w:t>项目情况</w:t>
                  </w:r>
                </w:p>
              </w:tc>
              <w:tc>
                <w:tcPr>
                  <w:tcW w:w="318" w:type="pct"/>
                  <w:tcBorders>
                    <w:top w:val="single" w:color="auto" w:sz="12" w:space="0"/>
                    <w:left w:val="single" w:color="auto" w:sz="4" w:space="0"/>
                    <w:bottom w:val="single" w:color="auto" w:sz="12" w:space="0"/>
                    <w:right w:val="nil"/>
                  </w:tcBorders>
                  <w:vAlign w:val="center"/>
                </w:tcPr>
                <w:p w14:paraId="04AB7D58">
                  <w:pPr>
                    <w:adjustRightInd w:val="0"/>
                    <w:snapToGrid w:val="0"/>
                    <w:jc w:val="center"/>
                    <w:rPr>
                      <w:b/>
                      <w:bCs/>
                      <w:snapToGrid w:val="0"/>
                      <w:color w:val="auto"/>
                      <w:kern w:val="0"/>
                      <w:szCs w:val="21"/>
                      <w:highlight w:val="none"/>
                    </w:rPr>
                  </w:pPr>
                  <w:r>
                    <w:rPr>
                      <w:b/>
                      <w:bCs/>
                      <w:snapToGrid w:val="0"/>
                      <w:color w:val="auto"/>
                      <w:kern w:val="0"/>
                      <w:szCs w:val="21"/>
                      <w:highlight w:val="none"/>
                    </w:rPr>
                    <w:t>相符性</w:t>
                  </w:r>
                </w:p>
              </w:tc>
            </w:tr>
            <w:tr w14:paraId="6644B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66" w:type="pct"/>
                  <w:tcBorders>
                    <w:left w:val="nil"/>
                    <w:right w:val="single" w:color="auto" w:sz="4" w:space="0"/>
                  </w:tcBorders>
                  <w:vAlign w:val="center"/>
                </w:tcPr>
                <w:p w14:paraId="405EB115">
                  <w:pPr>
                    <w:adjustRightInd w:val="0"/>
                    <w:snapToGrid w:val="0"/>
                    <w:jc w:val="left"/>
                    <w:rPr>
                      <w:bCs/>
                      <w:snapToGrid w:val="0"/>
                      <w:color w:val="auto"/>
                      <w:kern w:val="0"/>
                      <w:szCs w:val="21"/>
                      <w:highlight w:val="none"/>
                    </w:rPr>
                  </w:pPr>
                  <w:r>
                    <w:rPr>
                      <w:rFonts w:hint="eastAsia"/>
                      <w:bCs/>
                      <w:snapToGrid w:val="0"/>
                      <w:color w:val="auto"/>
                      <w:kern w:val="0"/>
                      <w:szCs w:val="21"/>
                      <w:highlight w:val="none"/>
                    </w:rPr>
                    <w:t>《中华人民共和国长江保护法》（中华人民共和国主席令第六十五号）</w:t>
                  </w:r>
                </w:p>
              </w:tc>
              <w:tc>
                <w:tcPr>
                  <w:tcW w:w="2313" w:type="pct"/>
                  <w:tcBorders>
                    <w:top w:val="single" w:color="auto" w:sz="4" w:space="0"/>
                    <w:left w:val="single" w:color="auto" w:sz="4" w:space="0"/>
                    <w:bottom w:val="single" w:color="auto" w:sz="4" w:space="0"/>
                    <w:right w:val="single" w:color="auto" w:sz="4" w:space="0"/>
                  </w:tcBorders>
                  <w:tcMar>
                    <w:top w:w="0" w:type="dxa"/>
                    <w:left w:w="11" w:type="dxa"/>
                    <w:bottom w:w="0" w:type="dxa"/>
                    <w:right w:w="11" w:type="dxa"/>
                  </w:tcMar>
                  <w:vAlign w:val="center"/>
                </w:tcPr>
                <w:p w14:paraId="613889E0">
                  <w:pPr>
                    <w:adjustRightInd w:val="0"/>
                    <w:snapToGrid w:val="0"/>
                    <w:jc w:val="left"/>
                    <w:rPr>
                      <w:color w:val="auto"/>
                      <w:szCs w:val="21"/>
                      <w:highlight w:val="none"/>
                    </w:rPr>
                  </w:pPr>
                  <w:r>
                    <w:rPr>
                      <w:color w:val="auto"/>
                      <w:szCs w:val="21"/>
                      <w:highlight w:val="none"/>
                    </w:rPr>
                    <w:t>长江流域水质超标的水功能区，应当实施更严格的污染物排放总量削减要求。企业事业单位应当按照要求，采取污染物排放总量控制措施</w:t>
                  </w:r>
                  <w:r>
                    <w:rPr>
                      <w:rFonts w:hint="eastAsia"/>
                      <w:color w:val="auto"/>
                      <w:szCs w:val="21"/>
                      <w:highlight w:val="none"/>
                    </w:rPr>
                    <w:t>。</w:t>
                  </w:r>
                  <w:r>
                    <w:rPr>
                      <w:color w:val="auto"/>
                      <w:szCs w:val="21"/>
                      <w:highlight w:val="none"/>
                    </w:rPr>
                    <w:t>禁止在长江干支流岸线一公里范围内新建、扩建化工园区和化工项目</w:t>
                  </w:r>
                  <w:r>
                    <w:rPr>
                      <w:rFonts w:hint="eastAsia"/>
                      <w:color w:val="auto"/>
                      <w:szCs w:val="21"/>
                      <w:highlight w:val="none"/>
                    </w:rPr>
                    <w:t>。</w:t>
                  </w:r>
                  <w:r>
                    <w:rPr>
                      <w:color w:val="auto"/>
                      <w:szCs w:val="21"/>
                      <w:highlight w:val="none"/>
                    </w:rPr>
                    <w:t>禁止在长江流域河湖管理范围内倾倒、填埋、堆放、弃置、处理固体废物。</w:t>
                  </w:r>
                </w:p>
              </w:tc>
              <w:tc>
                <w:tcPr>
                  <w:tcW w:w="1501" w:type="pct"/>
                  <w:tcBorders>
                    <w:top w:val="single" w:color="auto" w:sz="4" w:space="0"/>
                    <w:left w:val="single" w:color="auto" w:sz="4" w:space="0"/>
                    <w:bottom w:val="single" w:color="auto" w:sz="4" w:space="0"/>
                    <w:right w:val="nil"/>
                  </w:tcBorders>
                  <w:tcMar>
                    <w:top w:w="0" w:type="dxa"/>
                    <w:left w:w="11" w:type="dxa"/>
                    <w:bottom w:w="0" w:type="dxa"/>
                    <w:right w:w="11" w:type="dxa"/>
                  </w:tcMar>
                  <w:vAlign w:val="center"/>
                </w:tcPr>
                <w:p w14:paraId="35D9F075">
                  <w:pPr>
                    <w:keepNext w:val="0"/>
                    <w:keepLines w:val="0"/>
                    <w:pageBreakBefore w:val="0"/>
                    <w:widowControl w:val="0"/>
                    <w:kinsoku/>
                    <w:wordWrap/>
                    <w:overflowPunct/>
                    <w:topLinePunct w:val="0"/>
                    <w:autoSpaceDE/>
                    <w:autoSpaceDN/>
                    <w:bidi w:val="0"/>
                    <w:adjustRightInd w:val="0"/>
                    <w:snapToGrid w:val="0"/>
                    <w:jc w:val="both"/>
                    <w:textAlignment w:val="auto"/>
                    <w:rPr>
                      <w:color w:val="auto"/>
                      <w:szCs w:val="21"/>
                      <w:highlight w:val="none"/>
                    </w:rPr>
                  </w:pPr>
                  <w:r>
                    <w:rPr>
                      <w:rFonts w:hint="eastAsia"/>
                      <w:color w:val="auto"/>
                      <w:szCs w:val="21"/>
                      <w:highlight w:val="none"/>
                      <w:lang w:val="en-US" w:eastAsia="zh-CN"/>
                    </w:rPr>
                    <w:t>本</w:t>
                  </w:r>
                  <w:r>
                    <w:rPr>
                      <w:rFonts w:hint="eastAsia"/>
                      <w:color w:val="auto"/>
                      <w:szCs w:val="21"/>
                      <w:highlight w:val="none"/>
                    </w:rPr>
                    <w:t>项目排放的生活污水</w:t>
                  </w:r>
                  <w:r>
                    <w:rPr>
                      <w:rFonts w:hint="eastAsia"/>
                      <w:color w:val="auto"/>
                      <w:szCs w:val="21"/>
                      <w:highlight w:val="none"/>
                      <w:lang w:eastAsia="zh-CN"/>
                    </w:rPr>
                    <w:t>和生产废水</w:t>
                  </w:r>
                  <w:r>
                    <w:rPr>
                      <w:rFonts w:hint="eastAsia"/>
                      <w:color w:val="auto"/>
                      <w:szCs w:val="21"/>
                      <w:highlight w:val="none"/>
                    </w:rPr>
                    <w:t>经预处理后接管</w:t>
                  </w:r>
                  <w:r>
                    <w:rPr>
                      <w:rFonts w:hint="eastAsia"/>
                      <w:color w:val="auto"/>
                      <w:szCs w:val="21"/>
                      <w:highlight w:val="none"/>
                      <w:lang w:eastAsia="zh-CN"/>
                    </w:rPr>
                    <w:t>句容市郭庄污水处理有限公司</w:t>
                  </w:r>
                  <w:r>
                    <w:rPr>
                      <w:rFonts w:hint="eastAsia"/>
                      <w:color w:val="auto"/>
                      <w:szCs w:val="21"/>
                      <w:highlight w:val="none"/>
                    </w:rPr>
                    <w:t>集中处理；本项目不在长江干支流岸线一公里范围内；本项目固体废物均按要求处理处置，不随意</w:t>
                  </w:r>
                  <w:r>
                    <w:rPr>
                      <w:color w:val="auto"/>
                      <w:szCs w:val="21"/>
                      <w:highlight w:val="none"/>
                    </w:rPr>
                    <w:t>倾倒、填埋、堆放、弃置、处理</w:t>
                  </w:r>
                  <w:r>
                    <w:rPr>
                      <w:rFonts w:hint="eastAsia"/>
                      <w:color w:val="auto"/>
                      <w:szCs w:val="21"/>
                      <w:highlight w:val="none"/>
                    </w:rPr>
                    <w:t>。</w:t>
                  </w:r>
                </w:p>
              </w:tc>
              <w:tc>
                <w:tcPr>
                  <w:tcW w:w="318" w:type="pct"/>
                  <w:tcBorders>
                    <w:top w:val="single" w:color="auto" w:sz="4" w:space="0"/>
                    <w:left w:val="single" w:color="auto" w:sz="4" w:space="0"/>
                    <w:bottom w:val="single" w:color="auto" w:sz="4" w:space="0"/>
                    <w:right w:val="nil"/>
                  </w:tcBorders>
                  <w:vAlign w:val="center"/>
                </w:tcPr>
                <w:p w14:paraId="7C6CC99E">
                  <w:pPr>
                    <w:adjustRightInd w:val="0"/>
                    <w:snapToGrid w:val="0"/>
                    <w:jc w:val="center"/>
                    <w:rPr>
                      <w:color w:val="auto"/>
                      <w:szCs w:val="21"/>
                      <w:highlight w:val="none"/>
                    </w:rPr>
                  </w:pPr>
                  <w:r>
                    <w:rPr>
                      <w:rFonts w:hint="eastAsia"/>
                      <w:color w:val="auto"/>
                      <w:szCs w:val="21"/>
                      <w:highlight w:val="none"/>
                    </w:rPr>
                    <w:t>相符</w:t>
                  </w:r>
                </w:p>
              </w:tc>
            </w:tr>
            <w:tr w14:paraId="48E59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66" w:type="pct"/>
                  <w:vAlign w:val="center"/>
                </w:tcPr>
                <w:p w14:paraId="54E7733D">
                  <w:pPr>
                    <w:adjustRightInd w:val="0"/>
                    <w:snapToGrid w:val="0"/>
                    <w:jc w:val="center"/>
                    <w:rPr>
                      <w:bCs/>
                      <w:snapToGrid w:val="0"/>
                      <w:color w:val="auto"/>
                      <w:kern w:val="0"/>
                      <w:szCs w:val="21"/>
                      <w:highlight w:val="none"/>
                    </w:rPr>
                  </w:pPr>
                  <w:r>
                    <w:rPr>
                      <w:snapToGrid w:val="0"/>
                      <w:color w:val="auto"/>
                      <w:szCs w:val="21"/>
                      <w:highlight w:val="none"/>
                    </w:rPr>
                    <w:t>《江苏省大气污染防治条例》</w:t>
                  </w:r>
                </w:p>
              </w:tc>
              <w:tc>
                <w:tcPr>
                  <w:tcW w:w="2313" w:type="pct"/>
                  <w:tcMar>
                    <w:top w:w="0" w:type="dxa"/>
                    <w:left w:w="11" w:type="dxa"/>
                    <w:bottom w:w="0" w:type="dxa"/>
                    <w:right w:w="11" w:type="dxa"/>
                  </w:tcMar>
                  <w:vAlign w:val="center"/>
                </w:tcPr>
                <w:p w14:paraId="0B67DBE0">
                  <w:pPr>
                    <w:pStyle w:val="19"/>
                    <w:widowControl w:val="0"/>
                    <w:adjustRightInd w:val="0"/>
                    <w:spacing w:before="0" w:after="0" w:line="240" w:lineRule="auto"/>
                    <w:ind w:right="0"/>
                    <w:jc w:val="left"/>
                    <w:rPr>
                      <w:color w:val="auto"/>
                      <w:sz w:val="21"/>
                      <w:szCs w:val="21"/>
                      <w:highlight w:val="none"/>
                    </w:rPr>
                  </w:pPr>
                  <w:r>
                    <w:rPr>
                      <w:color w:val="auto"/>
                      <w:sz w:val="21"/>
                      <w:szCs w:val="21"/>
                      <w:highlight w:val="none"/>
                    </w:rPr>
                    <w:t>第四章第二节 工业大气污染防治中第三十五条企业应当使用资源利用率高、污染物排放量少的工艺、设备，采用最佳实用大气污染控制技术，减少大气污染物的产生。</w:t>
                  </w:r>
                </w:p>
              </w:tc>
              <w:tc>
                <w:tcPr>
                  <w:tcW w:w="1501" w:type="pct"/>
                  <w:tcMar>
                    <w:top w:w="0" w:type="dxa"/>
                    <w:left w:w="11" w:type="dxa"/>
                    <w:bottom w:w="0" w:type="dxa"/>
                    <w:right w:w="11" w:type="dxa"/>
                  </w:tcMar>
                  <w:vAlign w:val="center"/>
                </w:tcPr>
                <w:p w14:paraId="30523FAE">
                  <w:pPr>
                    <w:adjustRightInd w:val="0"/>
                    <w:snapToGrid w:val="0"/>
                    <w:jc w:val="center"/>
                    <w:rPr>
                      <w:color w:val="auto"/>
                      <w:szCs w:val="21"/>
                      <w:highlight w:val="none"/>
                    </w:rPr>
                  </w:pPr>
                  <w:r>
                    <w:rPr>
                      <w:rFonts w:hint="eastAsia"/>
                      <w:color w:val="auto"/>
                      <w:szCs w:val="21"/>
                      <w:highlight w:val="none"/>
                    </w:rPr>
                    <w:t>本项目</w:t>
                  </w:r>
                  <w:r>
                    <w:rPr>
                      <w:rFonts w:hint="eastAsia"/>
                      <w:color w:val="auto"/>
                      <w:szCs w:val="21"/>
                      <w:highlight w:val="none"/>
                      <w:lang w:val="en-US" w:eastAsia="zh-CN"/>
                    </w:rPr>
                    <w:t>清洗、</w:t>
                  </w:r>
                  <w:r>
                    <w:rPr>
                      <w:rFonts w:hint="eastAsia"/>
                      <w:color w:val="auto"/>
                      <w:highlight w:val="none"/>
                      <w:lang w:val="en-US" w:eastAsia="zh-CN"/>
                    </w:rPr>
                    <w:t>胶合有机废气经车间加强通风，无组织处理后达标排放</w:t>
                  </w:r>
                  <w:r>
                    <w:rPr>
                      <w:color w:val="auto"/>
                      <w:szCs w:val="21"/>
                      <w:highlight w:val="none"/>
                    </w:rPr>
                    <w:t>。</w:t>
                  </w:r>
                </w:p>
              </w:tc>
              <w:tc>
                <w:tcPr>
                  <w:tcW w:w="318" w:type="pct"/>
                  <w:tcBorders>
                    <w:top w:val="single" w:color="auto" w:sz="4" w:space="0"/>
                    <w:left w:val="single" w:color="auto" w:sz="4" w:space="0"/>
                    <w:bottom w:val="single" w:color="auto" w:sz="4" w:space="0"/>
                    <w:right w:val="nil"/>
                  </w:tcBorders>
                  <w:vAlign w:val="center"/>
                </w:tcPr>
                <w:p w14:paraId="0838F318">
                  <w:pPr>
                    <w:adjustRightInd w:val="0"/>
                    <w:snapToGrid w:val="0"/>
                    <w:jc w:val="center"/>
                    <w:rPr>
                      <w:rFonts w:hint="eastAsia"/>
                      <w:color w:val="auto"/>
                      <w:szCs w:val="21"/>
                      <w:highlight w:val="none"/>
                    </w:rPr>
                  </w:pPr>
                  <w:r>
                    <w:rPr>
                      <w:rFonts w:hint="eastAsia"/>
                      <w:color w:val="auto"/>
                      <w:szCs w:val="21"/>
                      <w:highlight w:val="none"/>
                    </w:rPr>
                    <w:t>相符</w:t>
                  </w:r>
                </w:p>
              </w:tc>
            </w:tr>
          </w:tbl>
          <w:p w14:paraId="418F0F7C">
            <w:pPr>
              <w:pStyle w:val="4"/>
              <w:keepNext w:val="0"/>
              <w:keepLines w:val="0"/>
              <w:widowControl w:val="0"/>
              <w:adjustRightInd w:val="0"/>
              <w:snapToGrid w:val="0"/>
              <w:spacing w:before="0" w:after="0" w:line="360" w:lineRule="auto"/>
              <w:ind w:firstLine="482"/>
              <w:jc w:val="both"/>
              <w:rPr>
                <w:rFonts w:hint="eastAsia"/>
                <w:b w:val="0"/>
                <w:bCs w:val="0"/>
                <w:snapToGrid w:val="0"/>
                <w:color w:val="auto"/>
                <w:kern w:val="0"/>
                <w:sz w:val="24"/>
                <w:szCs w:val="24"/>
                <w:highlight w:val="none"/>
              </w:rPr>
            </w:pPr>
            <w:r>
              <w:rPr>
                <w:b w:val="0"/>
                <w:bCs w:val="0"/>
                <w:snapToGrid w:val="0"/>
                <w:color w:val="auto"/>
                <w:kern w:val="0"/>
                <w:sz w:val="24"/>
                <w:szCs w:val="24"/>
                <w:highlight w:val="none"/>
              </w:rPr>
              <w:t>由上表可知，本项目符合</w:t>
            </w:r>
            <w:r>
              <w:rPr>
                <w:rFonts w:hint="eastAsia"/>
                <w:b w:val="0"/>
                <w:bCs w:val="0"/>
                <w:snapToGrid w:val="0"/>
                <w:color w:val="auto"/>
                <w:kern w:val="0"/>
                <w:sz w:val="24"/>
                <w:szCs w:val="24"/>
                <w:highlight w:val="none"/>
              </w:rPr>
              <w:t>相关生态环境保护法律法规政策</w:t>
            </w:r>
            <w:r>
              <w:rPr>
                <w:b w:val="0"/>
                <w:bCs w:val="0"/>
                <w:snapToGrid w:val="0"/>
                <w:color w:val="auto"/>
                <w:kern w:val="0"/>
                <w:sz w:val="24"/>
                <w:szCs w:val="24"/>
                <w:highlight w:val="none"/>
              </w:rPr>
              <w:t>中相关要求</w:t>
            </w:r>
            <w:r>
              <w:rPr>
                <w:rFonts w:hint="eastAsia"/>
                <w:b w:val="0"/>
                <w:bCs w:val="0"/>
                <w:snapToGrid w:val="0"/>
                <w:color w:val="auto"/>
                <w:kern w:val="0"/>
                <w:sz w:val="24"/>
                <w:szCs w:val="24"/>
                <w:highlight w:val="none"/>
              </w:rPr>
              <w:t>。</w:t>
            </w:r>
          </w:p>
          <w:p w14:paraId="53A97FE7">
            <w:pPr>
              <w:pStyle w:val="4"/>
              <w:keepNext w:val="0"/>
              <w:keepLines w:val="0"/>
              <w:widowControl w:val="0"/>
              <w:adjustRightInd w:val="0"/>
              <w:snapToGrid w:val="0"/>
              <w:spacing w:before="0" w:after="0" w:line="360" w:lineRule="auto"/>
              <w:ind w:firstLine="482"/>
              <w:jc w:val="both"/>
              <w:rPr>
                <w:rFonts w:ascii="Times New Roman" w:hAnsi="Times New Roman" w:cs="Times New Roman"/>
                <w:bCs w:val="0"/>
                <w:color w:val="auto"/>
                <w:kern w:val="2"/>
                <w:sz w:val="24"/>
                <w:szCs w:val="24"/>
                <w:highlight w:val="none"/>
                <w:lang w:val="zh-CN"/>
              </w:rPr>
            </w:pPr>
            <w:r>
              <w:rPr>
                <w:rFonts w:hint="eastAsia" w:cs="Times New Roman"/>
                <w:bCs w:val="0"/>
                <w:color w:val="auto"/>
                <w:kern w:val="2"/>
                <w:sz w:val="24"/>
                <w:szCs w:val="24"/>
                <w:highlight w:val="none"/>
                <w:lang w:val="en-US" w:eastAsia="zh-CN"/>
              </w:rPr>
              <w:t>4</w:t>
            </w:r>
            <w:r>
              <w:rPr>
                <w:rFonts w:hint="eastAsia" w:cs="Times New Roman"/>
                <w:bCs w:val="0"/>
                <w:color w:val="auto"/>
                <w:kern w:val="2"/>
                <w:sz w:val="24"/>
                <w:szCs w:val="24"/>
                <w:highlight w:val="none"/>
                <w:lang w:val="zh-CN"/>
              </w:rPr>
              <w:t>、</w:t>
            </w:r>
            <w:r>
              <w:rPr>
                <w:rFonts w:ascii="Times New Roman" w:hAnsi="Times New Roman" w:cs="Times New Roman"/>
                <w:bCs w:val="0"/>
                <w:color w:val="auto"/>
                <w:kern w:val="2"/>
                <w:sz w:val="24"/>
                <w:szCs w:val="24"/>
                <w:highlight w:val="none"/>
                <w:lang w:val="zh-CN"/>
              </w:rPr>
              <w:t>与</w:t>
            </w:r>
            <w:bookmarkStart w:id="6" w:name="_Hlk45717903"/>
            <w:r>
              <w:rPr>
                <w:rFonts w:ascii="Times New Roman" w:hAnsi="Times New Roman" w:cs="Times New Roman"/>
                <w:bCs w:val="0"/>
                <w:color w:val="auto"/>
                <w:kern w:val="2"/>
                <w:sz w:val="24"/>
                <w:szCs w:val="24"/>
                <w:highlight w:val="none"/>
                <w:lang w:val="zh-CN"/>
              </w:rPr>
              <w:t>《2020年挥发性有机物治理攻坚方案》（环大气[2020]33号）</w:t>
            </w:r>
            <w:bookmarkEnd w:id="6"/>
            <w:r>
              <w:rPr>
                <w:rFonts w:ascii="Times New Roman" w:hAnsi="Times New Roman" w:cs="Times New Roman"/>
                <w:bCs w:val="0"/>
                <w:color w:val="auto"/>
                <w:kern w:val="2"/>
                <w:sz w:val="24"/>
                <w:szCs w:val="24"/>
                <w:highlight w:val="none"/>
                <w:lang w:val="zh-CN"/>
              </w:rPr>
              <w:t>相符性</w:t>
            </w:r>
          </w:p>
          <w:p w14:paraId="061DB01D">
            <w:pPr>
              <w:snapToGrid w:val="0"/>
              <w:spacing w:line="360" w:lineRule="auto"/>
              <w:ind w:firstLine="480" w:firstLineChars="200"/>
              <w:rPr>
                <w:color w:val="auto"/>
                <w:sz w:val="24"/>
                <w:highlight w:val="none"/>
                <w:lang w:val="zh-CN"/>
              </w:rPr>
            </w:pPr>
            <w:r>
              <w:rPr>
                <w:color w:val="auto"/>
                <w:sz w:val="24"/>
                <w:highlight w:val="none"/>
                <w:lang w:val="zh-CN"/>
              </w:rPr>
              <w:t>本项目与《2020年挥发性有机物治理攻坚方案》（环大气[2020]33号）中有关要求相符性分析见下表1</w:t>
            </w:r>
            <w:r>
              <w:rPr>
                <w:color w:val="auto"/>
                <w:sz w:val="24"/>
                <w:highlight w:val="none"/>
              </w:rPr>
              <w:t>-</w:t>
            </w:r>
            <w:r>
              <w:rPr>
                <w:rFonts w:hint="eastAsia"/>
                <w:color w:val="auto"/>
                <w:sz w:val="24"/>
                <w:highlight w:val="none"/>
              </w:rPr>
              <w:t>1</w:t>
            </w:r>
            <w:r>
              <w:rPr>
                <w:rFonts w:hint="eastAsia"/>
                <w:color w:val="auto"/>
                <w:sz w:val="24"/>
                <w:highlight w:val="none"/>
                <w:lang w:val="en-US" w:eastAsia="zh-CN"/>
              </w:rPr>
              <w:t>0</w:t>
            </w:r>
            <w:r>
              <w:rPr>
                <w:color w:val="auto"/>
                <w:sz w:val="24"/>
                <w:highlight w:val="none"/>
                <w:lang w:val="zh-CN"/>
              </w:rPr>
              <w:t>。</w:t>
            </w:r>
          </w:p>
          <w:p w14:paraId="436B678B">
            <w:pPr>
              <w:adjustRightInd w:val="0"/>
              <w:snapToGrid w:val="0"/>
              <w:jc w:val="center"/>
              <w:rPr>
                <w:b/>
                <w:color w:val="auto"/>
                <w:sz w:val="24"/>
                <w:highlight w:val="none"/>
              </w:rPr>
            </w:pPr>
            <w:bookmarkStart w:id="7" w:name="_Ref67037294"/>
            <w:r>
              <w:rPr>
                <w:b/>
                <w:bCs/>
                <w:color w:val="auto"/>
                <w:sz w:val="24"/>
                <w:highlight w:val="none"/>
                <w:lang w:val="zh-CN"/>
              </w:rPr>
              <w:t>表1</w:t>
            </w:r>
            <w:r>
              <w:rPr>
                <w:b/>
                <w:bCs/>
                <w:color w:val="auto"/>
                <w:sz w:val="24"/>
                <w:highlight w:val="none"/>
              </w:rPr>
              <w:t>-</w:t>
            </w:r>
            <w:bookmarkEnd w:id="7"/>
            <w:r>
              <w:rPr>
                <w:rFonts w:hint="eastAsia"/>
                <w:b/>
                <w:bCs/>
                <w:color w:val="auto"/>
                <w:sz w:val="24"/>
                <w:highlight w:val="none"/>
              </w:rPr>
              <w:t>1</w:t>
            </w:r>
            <w:r>
              <w:rPr>
                <w:rFonts w:hint="eastAsia"/>
                <w:b/>
                <w:bCs/>
                <w:color w:val="auto"/>
                <w:sz w:val="24"/>
                <w:highlight w:val="none"/>
                <w:lang w:val="en-US" w:eastAsia="zh-CN"/>
              </w:rPr>
              <w:t>0</w:t>
            </w:r>
            <w:r>
              <w:rPr>
                <w:b/>
                <w:color w:val="auto"/>
                <w:sz w:val="24"/>
                <w:highlight w:val="none"/>
                <w:lang w:val="zh-CN"/>
              </w:rPr>
              <w:t xml:space="preserve"> </w:t>
            </w:r>
            <w:r>
              <w:rPr>
                <w:b/>
                <w:color w:val="auto"/>
                <w:sz w:val="24"/>
                <w:highlight w:val="none"/>
              </w:rPr>
              <w:t>本</w:t>
            </w:r>
            <w:r>
              <w:rPr>
                <w:b/>
                <w:color w:val="auto"/>
                <w:sz w:val="24"/>
                <w:highlight w:val="none"/>
                <w:lang w:val="zh-CN"/>
              </w:rPr>
              <w:t>项目与《2020年挥发性有机物治理攻坚方案》相符性</w:t>
            </w:r>
            <w:r>
              <w:rPr>
                <w:b/>
                <w:color w:val="auto"/>
                <w:sz w:val="24"/>
                <w:highlight w:val="none"/>
              </w:rPr>
              <w:t>分析</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5299"/>
              <w:gridCol w:w="2486"/>
            </w:tblGrid>
            <w:tr w14:paraId="7FD71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4" w:type="pct"/>
                  <w:tcBorders>
                    <w:bottom w:val="single" w:color="auto" w:sz="12" w:space="0"/>
                  </w:tcBorders>
                  <w:vAlign w:val="center"/>
                </w:tcPr>
                <w:p w14:paraId="100790E4">
                  <w:pPr>
                    <w:spacing w:line="240" w:lineRule="atLeast"/>
                    <w:jc w:val="center"/>
                    <w:rPr>
                      <w:b/>
                      <w:color w:val="auto"/>
                      <w:szCs w:val="21"/>
                      <w:highlight w:val="none"/>
                      <w:lang w:val="zh-CN"/>
                    </w:rPr>
                  </w:pPr>
                  <w:r>
                    <w:rPr>
                      <w:b/>
                      <w:color w:val="auto"/>
                      <w:szCs w:val="21"/>
                      <w:highlight w:val="none"/>
                      <w:lang w:val="zh-CN"/>
                    </w:rPr>
                    <w:t>序号</w:t>
                  </w:r>
                </w:p>
              </w:tc>
              <w:tc>
                <w:tcPr>
                  <w:tcW w:w="3189" w:type="pct"/>
                  <w:tcBorders>
                    <w:bottom w:val="single" w:color="auto" w:sz="12" w:space="0"/>
                  </w:tcBorders>
                  <w:vAlign w:val="center"/>
                </w:tcPr>
                <w:p w14:paraId="270E5FA4">
                  <w:pPr>
                    <w:spacing w:line="240" w:lineRule="atLeast"/>
                    <w:jc w:val="center"/>
                    <w:rPr>
                      <w:b/>
                      <w:color w:val="auto"/>
                      <w:szCs w:val="21"/>
                      <w:highlight w:val="none"/>
                      <w:lang w:val="zh-CN"/>
                    </w:rPr>
                  </w:pPr>
                  <w:r>
                    <w:rPr>
                      <w:b/>
                      <w:color w:val="auto"/>
                      <w:szCs w:val="21"/>
                      <w:highlight w:val="none"/>
                      <w:lang w:val="zh-CN"/>
                    </w:rPr>
                    <w:t>指南要求</w:t>
                  </w:r>
                </w:p>
              </w:tc>
              <w:tc>
                <w:tcPr>
                  <w:tcW w:w="1496" w:type="pct"/>
                  <w:tcBorders>
                    <w:bottom w:val="single" w:color="auto" w:sz="12" w:space="0"/>
                  </w:tcBorders>
                  <w:vAlign w:val="center"/>
                </w:tcPr>
                <w:p w14:paraId="2F239C45">
                  <w:pPr>
                    <w:spacing w:line="240" w:lineRule="atLeast"/>
                    <w:jc w:val="center"/>
                    <w:rPr>
                      <w:b/>
                      <w:color w:val="auto"/>
                      <w:szCs w:val="21"/>
                      <w:highlight w:val="none"/>
                    </w:rPr>
                  </w:pPr>
                  <w:r>
                    <w:rPr>
                      <w:b/>
                      <w:color w:val="auto"/>
                      <w:szCs w:val="21"/>
                      <w:highlight w:val="none"/>
                    </w:rPr>
                    <w:t>项目相符性分析</w:t>
                  </w:r>
                </w:p>
              </w:tc>
            </w:tr>
            <w:tr w14:paraId="4DFAB6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4" w:type="pct"/>
                  <w:tcBorders>
                    <w:top w:val="single" w:color="auto" w:sz="12" w:space="0"/>
                  </w:tcBorders>
                  <w:vAlign w:val="center"/>
                </w:tcPr>
                <w:p w14:paraId="02578F40">
                  <w:pPr>
                    <w:spacing w:line="240" w:lineRule="atLeast"/>
                    <w:jc w:val="center"/>
                    <w:rPr>
                      <w:bCs/>
                      <w:color w:val="auto"/>
                      <w:szCs w:val="21"/>
                      <w:highlight w:val="none"/>
                      <w:lang w:val="zh-CN"/>
                    </w:rPr>
                  </w:pPr>
                  <w:r>
                    <w:rPr>
                      <w:bCs/>
                      <w:color w:val="auto"/>
                      <w:szCs w:val="21"/>
                      <w:highlight w:val="none"/>
                      <w:lang w:val="zh-CN"/>
                    </w:rPr>
                    <w:t>1</w:t>
                  </w:r>
                </w:p>
              </w:tc>
              <w:tc>
                <w:tcPr>
                  <w:tcW w:w="3189" w:type="pct"/>
                  <w:tcBorders>
                    <w:top w:val="single" w:color="auto" w:sz="12" w:space="0"/>
                  </w:tcBorders>
                  <w:vAlign w:val="center"/>
                </w:tcPr>
                <w:p w14:paraId="4D7D9579">
                  <w:pPr>
                    <w:spacing w:line="240" w:lineRule="atLeast"/>
                    <w:rPr>
                      <w:bCs/>
                      <w:color w:val="auto"/>
                      <w:szCs w:val="21"/>
                      <w:highlight w:val="none"/>
                      <w:lang w:val="zh-CN"/>
                    </w:rPr>
                  </w:pPr>
                  <w:r>
                    <w:rPr>
                      <w:bCs/>
                      <w:color w:val="auto"/>
                      <w:szCs w:val="21"/>
                      <w:highlight w:val="none"/>
                      <w:lang w:val="zh-CN"/>
                    </w:rPr>
                    <w:t>一、大力推进源头替代，有效减少VOCs产生：严格落实国家和地方产品VOCs含量限值标准。2020年7月1日起，船舶涂料和地坪涂料生产、销售和使用应满足新颁布实施的国家产品有害物质限量标准要求。督促生产企业提前做好油墨、胶粘剂、清洗剂及木器、车辆、建筑用外墙、工业防护涂料等有害物质限量标准实施准备工作，在标准正式生效前有序完成切换，有条件的地区根据环境空气质量改善需要提前实施。将全面使用符合国家要求的低VOCs含量原辅材料的企业纳入正面清单和政府绿色采购清单。生产设施防腐防水防锈涂装应避开夏季或采用低VOCs含量涂料。使用的原辅材料VOCs含量（质量比）均低于10%的工序，可不要求采取无组织排放收集和处理措施。推进政府绿色采购，要求家具、印刷等政府定点招标采购企业优先使用低挥发性原辅材料，鼓励汽车维修等政府定点招标采购企业使用低挥发性原辅材料；将低VOCs含量产品纳入政府采购名录，并在政府投资项目中优先使用；引导将使用低VOCs含量涂料、胶粘剂等纳入政府采购装修合同环保条款。</w:t>
                  </w:r>
                </w:p>
              </w:tc>
              <w:tc>
                <w:tcPr>
                  <w:tcW w:w="1496" w:type="pct"/>
                  <w:tcBorders>
                    <w:top w:val="single" w:color="auto" w:sz="12" w:space="0"/>
                  </w:tcBorders>
                  <w:vAlign w:val="center"/>
                </w:tcPr>
                <w:p w14:paraId="781C174B">
                  <w:pPr>
                    <w:spacing w:line="240" w:lineRule="atLeast"/>
                    <w:jc w:val="center"/>
                    <w:rPr>
                      <w:rFonts w:hint="eastAsia" w:eastAsia="宋体"/>
                      <w:bCs/>
                      <w:color w:val="auto"/>
                      <w:szCs w:val="21"/>
                      <w:highlight w:val="none"/>
                      <w:lang w:eastAsia="zh-CN"/>
                    </w:rPr>
                  </w:pPr>
                  <w:r>
                    <w:rPr>
                      <w:bCs/>
                      <w:color w:val="auto"/>
                      <w:szCs w:val="21"/>
                      <w:highlight w:val="none"/>
                      <w:lang w:val="zh-CN"/>
                    </w:rPr>
                    <w:t>企业严格把关</w:t>
                  </w:r>
                  <w:r>
                    <w:rPr>
                      <w:rFonts w:hint="eastAsia"/>
                      <w:bCs/>
                      <w:color w:val="auto"/>
                      <w:szCs w:val="21"/>
                      <w:highlight w:val="none"/>
                    </w:rPr>
                    <w:t>原辅</w:t>
                  </w:r>
                  <w:r>
                    <w:rPr>
                      <w:bCs/>
                      <w:color w:val="auto"/>
                      <w:szCs w:val="21"/>
                      <w:highlight w:val="none"/>
                      <w:lang w:val="zh-CN"/>
                    </w:rPr>
                    <w:t>料的采购，本项目</w:t>
                  </w:r>
                  <w:r>
                    <w:rPr>
                      <w:rFonts w:hint="eastAsia"/>
                      <w:bCs/>
                      <w:color w:val="auto"/>
                      <w:szCs w:val="21"/>
                      <w:highlight w:val="none"/>
                      <w:lang w:val="en-US" w:eastAsia="zh-CN"/>
                    </w:rPr>
                    <w:t>使用光学专用胶和清洗剂</w:t>
                  </w:r>
                  <w:r>
                    <w:rPr>
                      <w:rFonts w:hint="eastAsia"/>
                      <w:bCs/>
                      <w:color w:val="auto"/>
                      <w:szCs w:val="21"/>
                      <w:highlight w:val="none"/>
                    </w:rPr>
                    <w:t>，</w:t>
                  </w:r>
                  <w:r>
                    <w:rPr>
                      <w:rFonts w:hint="eastAsia"/>
                      <w:color w:val="auto"/>
                      <w:highlight w:val="none"/>
                      <w:lang w:val="en-US" w:eastAsia="zh-CN"/>
                    </w:rPr>
                    <w:t>经车间通风，无组织处理后达标排放</w:t>
                  </w:r>
                  <w:r>
                    <w:rPr>
                      <w:color w:val="auto"/>
                      <w:szCs w:val="21"/>
                      <w:highlight w:val="none"/>
                    </w:rPr>
                    <w:t>。</w:t>
                  </w:r>
                </w:p>
              </w:tc>
            </w:tr>
            <w:tr w14:paraId="2D02CB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4" w:type="pct"/>
                  <w:vAlign w:val="center"/>
                </w:tcPr>
                <w:p w14:paraId="2B154CB9">
                  <w:pPr>
                    <w:spacing w:line="240" w:lineRule="atLeast"/>
                    <w:jc w:val="center"/>
                    <w:rPr>
                      <w:bCs/>
                      <w:color w:val="auto"/>
                      <w:szCs w:val="21"/>
                      <w:highlight w:val="none"/>
                      <w:lang w:val="zh-CN"/>
                    </w:rPr>
                  </w:pPr>
                  <w:r>
                    <w:rPr>
                      <w:bCs/>
                      <w:color w:val="auto"/>
                      <w:szCs w:val="21"/>
                      <w:highlight w:val="none"/>
                      <w:lang w:val="zh-CN"/>
                    </w:rPr>
                    <w:t>2</w:t>
                  </w:r>
                </w:p>
              </w:tc>
              <w:tc>
                <w:tcPr>
                  <w:tcW w:w="3189" w:type="pct"/>
                  <w:vAlign w:val="center"/>
                </w:tcPr>
                <w:p w14:paraId="01F45A5E">
                  <w:pPr>
                    <w:spacing w:line="240" w:lineRule="atLeast"/>
                    <w:rPr>
                      <w:bCs/>
                      <w:color w:val="auto"/>
                      <w:szCs w:val="21"/>
                      <w:highlight w:val="none"/>
                      <w:lang w:val="zh-CN"/>
                    </w:rPr>
                  </w:pPr>
                  <w:r>
                    <w:rPr>
                      <w:bCs/>
                      <w:color w:val="auto"/>
                      <w:szCs w:val="21"/>
                      <w:highlight w:val="none"/>
                      <w:lang w:val="zh-CN"/>
                    </w:rPr>
                    <w:t>二、全面落实标准要求，强化无组织排放控制：2020年7月1日起全面执行《挥发性有机物无组织排放控制标准》，落实无组织排放特别控制要求。各地要加大标准生效时间、涉及行业及控制要求等宣贯力度，通过现场指导、组织培训、新媒体信息推送等多种方式，督促指导企业对照标准要求开展含VOCs物料（包括含VOCs原辅材料、含VOCs产品、含VOCs废料以及有机聚合物材料等）储存、转移和输送、设备与管线组件泄漏、敞开液面逸散以及工艺过程等无组织排放环节排查整治，对达不到要求的加快整改。指导企业制定VOCs无组织排放控制规程，细化到具体工序和生产环节，以及启停机、检维修作业等，落实到具体责任人；健全内部考核制度，严格按照操作规程生产。企业在无组织排放排查整治过程中，在保证安全的前提下，加强含VOCs物料全方位、全链条、全环节密闭管理。储存环节应采用密闭容器、包装袋，高效密封</w:t>
                  </w:r>
                  <w:r>
                    <w:rPr>
                      <w:rFonts w:hint="eastAsia"/>
                      <w:bCs/>
                      <w:color w:val="auto"/>
                      <w:szCs w:val="21"/>
                      <w:highlight w:val="none"/>
                      <w:lang w:val="zh-CN"/>
                    </w:rPr>
                    <w:t>钢瓶</w:t>
                  </w:r>
                  <w:r>
                    <w:rPr>
                      <w:bCs/>
                      <w:color w:val="auto"/>
                      <w:szCs w:val="21"/>
                      <w:highlight w:val="none"/>
                      <w:lang w:val="zh-CN"/>
                    </w:rPr>
                    <w:t>，封闭式储库、料仓等；装卸、转移和输送环节应采用密闭管道或密闭容器、罐车等；生产和使用环节应采用密闭设备，或在密闭空间中操作并有效收集废气，或进行局部气体收集；处置环节应将盛装过VOCs物料的废包装容器加盖密闭，按要求妥善处置，不得随意丢弃；高VOCs含量废水的集输、储存和处理环节，应加盖密闭。</w:t>
                  </w:r>
                </w:p>
              </w:tc>
              <w:tc>
                <w:tcPr>
                  <w:tcW w:w="1496" w:type="pct"/>
                  <w:vAlign w:val="center"/>
                </w:tcPr>
                <w:p w14:paraId="14A87B5A">
                  <w:pPr>
                    <w:spacing w:line="240" w:lineRule="atLeast"/>
                    <w:jc w:val="center"/>
                    <w:rPr>
                      <w:bCs/>
                      <w:color w:val="auto"/>
                      <w:szCs w:val="21"/>
                      <w:highlight w:val="none"/>
                    </w:rPr>
                  </w:pPr>
                  <w:r>
                    <w:rPr>
                      <w:bCs/>
                      <w:color w:val="auto"/>
                      <w:szCs w:val="21"/>
                      <w:highlight w:val="none"/>
                      <w:lang w:val="zh-CN"/>
                    </w:rPr>
                    <w:t>本项目</w:t>
                  </w:r>
                  <w:r>
                    <w:rPr>
                      <w:rFonts w:hint="eastAsia"/>
                      <w:bCs/>
                      <w:color w:val="auto"/>
                      <w:szCs w:val="21"/>
                      <w:highlight w:val="none"/>
                      <w:lang w:val="en-US" w:eastAsia="zh-CN"/>
                    </w:rPr>
                    <w:t>使用光学专用胶、清洗剂和润滑油</w:t>
                  </w:r>
                  <w:r>
                    <w:rPr>
                      <w:bCs/>
                      <w:color w:val="auto"/>
                      <w:szCs w:val="21"/>
                      <w:highlight w:val="none"/>
                    </w:rPr>
                    <w:t>，</w:t>
                  </w:r>
                  <w:r>
                    <w:rPr>
                      <w:rFonts w:hint="eastAsia"/>
                      <w:bCs/>
                      <w:color w:val="auto"/>
                      <w:szCs w:val="21"/>
                      <w:highlight w:val="none"/>
                      <w:lang w:val="en-US" w:eastAsia="zh-CN"/>
                    </w:rPr>
                    <w:t>本项目光学专用胶、清洗剂</w:t>
                  </w:r>
                  <w:r>
                    <w:rPr>
                      <w:bCs/>
                      <w:color w:val="auto"/>
                      <w:szCs w:val="21"/>
                      <w:highlight w:val="none"/>
                      <w:lang w:val="zh-CN"/>
                    </w:rPr>
                    <w:t>储存</w:t>
                  </w:r>
                  <w:r>
                    <w:rPr>
                      <w:bCs/>
                      <w:color w:val="auto"/>
                      <w:szCs w:val="21"/>
                      <w:highlight w:val="none"/>
                    </w:rPr>
                    <w:t>环节采用密闭包装，</w:t>
                  </w:r>
                  <w:r>
                    <w:rPr>
                      <w:bCs/>
                      <w:color w:val="auto"/>
                      <w:szCs w:val="21"/>
                      <w:highlight w:val="none"/>
                      <w:lang w:val="zh-CN"/>
                    </w:rPr>
                    <w:t>生产和使用环节采用密闭设备或在密闭空间中操作。盛装过</w:t>
                  </w:r>
                  <w:r>
                    <w:rPr>
                      <w:rFonts w:hint="eastAsia"/>
                      <w:bCs/>
                      <w:color w:val="auto"/>
                      <w:szCs w:val="21"/>
                      <w:highlight w:val="none"/>
                      <w:lang w:val="en-US" w:eastAsia="zh-CN"/>
                    </w:rPr>
                    <w:t>光学专用胶、清洗剂</w:t>
                  </w:r>
                  <w:r>
                    <w:rPr>
                      <w:bCs/>
                      <w:color w:val="auto"/>
                      <w:szCs w:val="21"/>
                      <w:highlight w:val="none"/>
                      <w:lang w:val="zh-CN"/>
                    </w:rPr>
                    <w:t>的废包装容器加盖密闭，</w:t>
                  </w:r>
                  <w:r>
                    <w:rPr>
                      <w:bCs/>
                      <w:color w:val="auto"/>
                      <w:szCs w:val="21"/>
                      <w:highlight w:val="none"/>
                    </w:rPr>
                    <w:t>暂存于危废仓库，委托有资质的单位定期处置。</w:t>
                  </w:r>
                </w:p>
              </w:tc>
            </w:tr>
          </w:tbl>
          <w:p w14:paraId="655A6A1A">
            <w:pPr>
              <w:autoSpaceDE w:val="0"/>
              <w:autoSpaceDN w:val="0"/>
              <w:adjustRightInd w:val="0"/>
              <w:snapToGrid w:val="0"/>
              <w:spacing w:line="360" w:lineRule="auto"/>
              <w:ind w:firstLine="480" w:firstLineChars="200"/>
              <w:rPr>
                <w:color w:val="auto"/>
                <w:sz w:val="24"/>
                <w:highlight w:val="none"/>
                <w:lang w:val="zh-CN"/>
              </w:rPr>
            </w:pPr>
            <w:r>
              <w:rPr>
                <w:color w:val="auto"/>
                <w:sz w:val="24"/>
                <w:highlight w:val="none"/>
                <w:lang w:val="zh-CN"/>
              </w:rPr>
              <w:t>由上表可知，本项目符合《2020年挥发性有机物治理攻坚方案》（环大气[2020]33号）的总体要求。</w:t>
            </w:r>
          </w:p>
          <w:p w14:paraId="6B57F515">
            <w:pPr>
              <w:snapToGrid w:val="0"/>
              <w:spacing w:line="360" w:lineRule="auto"/>
              <w:ind w:firstLine="482" w:firstLineChars="200"/>
              <w:rPr>
                <w:rFonts w:hint="eastAsia" w:eastAsiaTheme="minorEastAsia"/>
                <w:b/>
                <w:bCs/>
                <w:color w:val="auto"/>
                <w:sz w:val="24"/>
                <w:szCs w:val="24"/>
                <w:highlight w:val="none"/>
              </w:rPr>
            </w:pPr>
            <w:r>
              <w:rPr>
                <w:rFonts w:hint="eastAsia" w:eastAsiaTheme="minorEastAsia"/>
                <w:b/>
                <w:bCs/>
                <w:color w:val="auto"/>
                <w:sz w:val="24"/>
                <w:szCs w:val="24"/>
                <w:highlight w:val="none"/>
                <w:lang w:val="en-US" w:eastAsia="zh-CN"/>
              </w:rPr>
              <w:t>5</w:t>
            </w:r>
            <w:r>
              <w:rPr>
                <w:rFonts w:hint="eastAsia" w:eastAsiaTheme="minorEastAsia"/>
                <w:b/>
                <w:bCs/>
                <w:color w:val="auto"/>
                <w:sz w:val="24"/>
                <w:szCs w:val="24"/>
                <w:highlight w:val="none"/>
              </w:rPr>
              <w:t>、与《胶粘剂挥发性有机化合物限量》(GB33372-2020)相符性分析</w:t>
            </w:r>
          </w:p>
          <w:p w14:paraId="0F69F3FE">
            <w:pPr>
              <w:snapToGrid w:val="0"/>
              <w:spacing w:line="360" w:lineRule="auto"/>
              <w:ind w:firstLine="480" w:firstLineChars="20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本项目粘胶工序使用胶水进行粘合，主要成分为邻苯二甲酸二丁酯50-&lt;70%，氰基丙烯酸乙酯30-&lt;50%、对苯二酚0.025-&lt;0.1%，此过程均在常温下进行。对照《胶粘剂挥发性有机化合物限量》(GB33372-2020</w:t>
            </w:r>
            <w:r>
              <w:rPr>
                <w:rFonts w:hint="default" w:ascii="Times New Roman" w:hAnsi="Times New Roman" w:cs="Times New Roman" w:eastAsiaTheme="minorEastAsia"/>
                <w:color w:val="auto"/>
                <w:sz w:val="24"/>
                <w:szCs w:val="24"/>
                <w:highlight w:val="none"/>
                <w:lang w:eastAsia="zh-CN"/>
              </w:rPr>
              <w:t>）本项目所用的胶应用领域</w:t>
            </w:r>
            <w:r>
              <w:rPr>
                <w:rFonts w:hint="default" w:ascii="Times New Roman" w:hAnsi="Times New Roman" w:cs="Times New Roman" w:eastAsiaTheme="minorEastAsia"/>
                <w:color w:val="auto"/>
                <w:sz w:val="24"/>
                <w:szCs w:val="24"/>
                <w:highlight w:val="none"/>
              </w:rPr>
              <w:t>属于本体型胶</w:t>
            </w:r>
            <w:r>
              <w:rPr>
                <w:rFonts w:hint="default" w:ascii="Times New Roman" w:hAnsi="Times New Roman" w:cs="Times New Roman" w:eastAsiaTheme="minorEastAsia"/>
                <w:color w:val="auto"/>
                <w:sz w:val="24"/>
                <w:szCs w:val="24"/>
                <w:highlight w:val="none"/>
                <w:lang w:eastAsia="zh-CN"/>
              </w:rPr>
              <w:t>粘</w:t>
            </w:r>
            <w:r>
              <w:rPr>
                <w:rFonts w:hint="default" w:ascii="Times New Roman" w:hAnsi="Times New Roman" w:cs="Times New Roman" w:eastAsiaTheme="minorEastAsia"/>
                <w:color w:val="auto"/>
                <w:sz w:val="24"/>
                <w:szCs w:val="24"/>
                <w:highlight w:val="none"/>
              </w:rPr>
              <w:t>剂中的其他类别，对照表3</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本项目所使用胶</w:t>
            </w:r>
            <w:r>
              <w:rPr>
                <w:rFonts w:hint="default" w:ascii="Times New Roman" w:hAnsi="Times New Roman" w:cs="Times New Roman" w:eastAsiaTheme="minorEastAsia"/>
                <w:color w:val="auto"/>
                <w:sz w:val="24"/>
                <w:szCs w:val="24"/>
                <w:highlight w:val="none"/>
                <w:lang w:eastAsia="zh-CN"/>
              </w:rPr>
              <w:t>粘</w:t>
            </w:r>
            <w:r>
              <w:rPr>
                <w:rFonts w:hint="default" w:ascii="Times New Roman" w:hAnsi="Times New Roman" w:cs="Times New Roman" w:eastAsiaTheme="minorEastAsia"/>
                <w:color w:val="auto"/>
                <w:sz w:val="24"/>
                <w:szCs w:val="24"/>
                <w:highlight w:val="none"/>
              </w:rPr>
              <w:t>剂VOC含量限量属于“a</w:t>
            </w:r>
            <w:r>
              <w:rPr>
                <w:rFonts w:hint="default" w:ascii="Times New Roman" w:hAnsi="Times New Roman" w:cs="Times New Roman" w:eastAsiaTheme="minorEastAsia"/>
                <w:color w:val="auto"/>
                <w:sz w:val="24"/>
                <w:szCs w:val="24"/>
                <w:highlight w:val="none"/>
                <w:lang w:val="en-US" w:eastAsia="zh-CN"/>
              </w:rPr>
              <w:t>-</w:t>
            </w:r>
            <w:r>
              <w:rPr>
                <w:rFonts w:hint="default" w:ascii="Times New Roman" w:hAnsi="Times New Roman" w:cs="Times New Roman" w:eastAsiaTheme="minorEastAsia"/>
                <w:color w:val="auto"/>
                <w:sz w:val="24"/>
                <w:szCs w:val="24"/>
                <w:highlight w:val="none"/>
              </w:rPr>
              <w:t>氰基丙烯酸类”中的“其他”限量值，为20g/kg，</w:t>
            </w:r>
            <w:r>
              <w:rPr>
                <w:rFonts w:hint="eastAsia" w:cs="Times New Roman" w:eastAsiaTheme="minorEastAsia"/>
                <w:color w:val="auto"/>
                <w:sz w:val="24"/>
                <w:szCs w:val="24"/>
                <w:highlight w:val="none"/>
                <w:lang w:val="en-US" w:eastAsia="zh-CN"/>
              </w:rPr>
              <w:t>根据检测报告</w:t>
            </w:r>
            <w:r>
              <w:rPr>
                <w:rFonts w:hint="default" w:ascii="Times New Roman" w:hAnsi="Times New Roman" w:cs="Times New Roman" w:eastAsiaTheme="minorEastAsia"/>
                <w:color w:val="auto"/>
                <w:sz w:val="24"/>
                <w:szCs w:val="24"/>
                <w:highlight w:val="none"/>
              </w:rPr>
              <w:t>中VOC含量为</w:t>
            </w:r>
            <w:r>
              <w:rPr>
                <w:rFonts w:hint="eastAsia" w:cs="Times New Roman" w:eastAsiaTheme="minorEastAsia"/>
                <w:color w:val="auto"/>
                <w:sz w:val="24"/>
                <w:szCs w:val="24"/>
                <w:highlight w:val="none"/>
                <w:lang w:val="en-US" w:eastAsia="zh-CN"/>
              </w:rPr>
              <w:t>2</w:t>
            </w:r>
            <w:r>
              <w:rPr>
                <w:rFonts w:hint="default" w:ascii="Times New Roman" w:hAnsi="Times New Roman" w:cs="Times New Roman" w:eastAsiaTheme="minorEastAsia"/>
                <w:color w:val="auto"/>
                <w:sz w:val="24"/>
                <w:szCs w:val="24"/>
                <w:highlight w:val="none"/>
              </w:rPr>
              <w:t>g/</w:t>
            </w:r>
            <w:r>
              <w:rPr>
                <w:rFonts w:hint="eastAsia" w:cs="Times New Roman" w:eastAsiaTheme="minorEastAsia"/>
                <w:color w:val="auto"/>
                <w:sz w:val="24"/>
                <w:szCs w:val="24"/>
                <w:highlight w:val="none"/>
                <w:lang w:val="en-US" w:eastAsia="zh-CN"/>
              </w:rPr>
              <w:t>L</w:t>
            </w:r>
            <w:r>
              <w:rPr>
                <w:rFonts w:hint="default" w:ascii="Times New Roman" w:hAnsi="Times New Roman" w:cs="Times New Roman" w:eastAsiaTheme="minorEastAsia"/>
                <w:color w:val="auto"/>
                <w:sz w:val="24"/>
                <w:szCs w:val="24"/>
                <w:highlight w:val="none"/>
              </w:rPr>
              <w:t>，符合《胶粘剂挥发性有机化合物限量》(GB33372-2020)中含量限值。且《胶粘剂挥发性有机化合物限量》(GB33372-2020)中明确了本体性胶</w:t>
            </w:r>
            <w:r>
              <w:rPr>
                <w:rFonts w:hint="default" w:ascii="Times New Roman" w:hAnsi="Times New Roman" w:cs="Times New Roman" w:eastAsiaTheme="minorEastAsia"/>
                <w:color w:val="auto"/>
                <w:sz w:val="24"/>
                <w:szCs w:val="24"/>
                <w:highlight w:val="none"/>
                <w:lang w:eastAsia="zh-CN"/>
              </w:rPr>
              <w:t>粘</w:t>
            </w:r>
            <w:r>
              <w:rPr>
                <w:rFonts w:hint="default" w:ascii="Times New Roman" w:hAnsi="Times New Roman" w:cs="Times New Roman" w:eastAsiaTheme="minorEastAsia"/>
                <w:color w:val="auto"/>
                <w:sz w:val="24"/>
                <w:szCs w:val="24"/>
                <w:highlight w:val="none"/>
              </w:rPr>
              <w:t>剂为低VOC型胶</w:t>
            </w:r>
            <w:r>
              <w:rPr>
                <w:rFonts w:hint="default" w:ascii="Times New Roman" w:hAnsi="Times New Roman" w:cs="Times New Roman" w:eastAsiaTheme="minorEastAsia"/>
                <w:color w:val="auto"/>
                <w:sz w:val="24"/>
                <w:szCs w:val="24"/>
                <w:highlight w:val="none"/>
                <w:lang w:eastAsia="zh-CN"/>
              </w:rPr>
              <w:t>粘</w:t>
            </w:r>
            <w:r>
              <w:rPr>
                <w:rFonts w:hint="default" w:ascii="Times New Roman" w:hAnsi="Times New Roman" w:cs="Times New Roman" w:eastAsiaTheme="minorEastAsia"/>
                <w:color w:val="auto"/>
                <w:sz w:val="24"/>
                <w:szCs w:val="24"/>
                <w:highlight w:val="none"/>
              </w:rPr>
              <w:t>剂，</w:t>
            </w:r>
            <w:r>
              <w:rPr>
                <w:rFonts w:hint="default" w:ascii="Times New Roman" w:hAnsi="Times New Roman" w:cs="Times New Roman" w:eastAsiaTheme="minorEastAsia"/>
                <w:color w:val="auto"/>
                <w:sz w:val="24"/>
                <w:szCs w:val="24"/>
                <w:highlight w:val="none"/>
                <w:lang w:val="en-US" w:eastAsia="zh-CN"/>
              </w:rPr>
              <w:t>故</w:t>
            </w:r>
            <w:r>
              <w:rPr>
                <w:rFonts w:hint="default" w:ascii="Times New Roman" w:hAnsi="Times New Roman" w:cs="Times New Roman" w:eastAsiaTheme="minorEastAsia"/>
                <w:color w:val="auto"/>
                <w:sz w:val="24"/>
                <w:szCs w:val="24"/>
                <w:highlight w:val="none"/>
                <w:lang w:eastAsia="zh-CN"/>
              </w:rPr>
              <w:t>本项目</w:t>
            </w:r>
            <w:r>
              <w:rPr>
                <w:rFonts w:hint="default" w:ascii="Times New Roman" w:hAnsi="Times New Roman" w:cs="Times New Roman" w:eastAsiaTheme="minorEastAsia"/>
                <w:color w:val="auto"/>
                <w:sz w:val="24"/>
                <w:szCs w:val="24"/>
                <w:highlight w:val="none"/>
              </w:rPr>
              <w:t>符合《胶粘剂挥发性有机化合物限量》(GB33372-2020)</w:t>
            </w:r>
            <w:r>
              <w:rPr>
                <w:rFonts w:hint="default" w:ascii="Times New Roman" w:hAnsi="Times New Roman" w:cs="Times New Roman" w:eastAsiaTheme="minorEastAsia"/>
                <w:color w:val="auto"/>
                <w:sz w:val="24"/>
                <w:szCs w:val="24"/>
                <w:highlight w:val="none"/>
                <w:lang w:eastAsia="zh-CN"/>
              </w:rPr>
              <w:t>中</w:t>
            </w:r>
            <w:r>
              <w:rPr>
                <w:rFonts w:hint="default" w:ascii="Times New Roman" w:hAnsi="Times New Roman" w:cs="Times New Roman" w:eastAsiaTheme="minorEastAsia"/>
                <w:color w:val="auto"/>
                <w:sz w:val="24"/>
                <w:szCs w:val="24"/>
                <w:highlight w:val="none"/>
              </w:rPr>
              <w:t>要求。</w:t>
            </w:r>
          </w:p>
          <w:p w14:paraId="68C60EC3">
            <w:pPr>
              <w:pStyle w:val="100"/>
              <w:spacing w:line="360" w:lineRule="auto"/>
              <w:ind w:left="0" w:leftChars="0" w:firstLine="482" w:firstLineChars="200"/>
              <w:rPr>
                <w:rFonts w:hint="default" w:ascii="Times New Roman" w:hAnsi="Times New Roman" w:eastAsia="宋体" w:cs="Times New Roman"/>
                <w:b/>
                <w:bCs/>
                <w:color w:val="auto"/>
                <w:highlight w:val="none"/>
              </w:rPr>
            </w:pPr>
            <w:r>
              <w:rPr>
                <w:rFonts w:hint="eastAsia" w:eastAsia="宋体" w:cs="Times New Roman"/>
                <w:b/>
                <w:bCs/>
                <w:color w:val="auto"/>
                <w:highlight w:val="none"/>
                <w:lang w:val="en-US" w:eastAsia="zh-CN"/>
              </w:rPr>
              <w:t>6</w:t>
            </w:r>
            <w:r>
              <w:rPr>
                <w:rFonts w:hint="default" w:ascii="Times New Roman" w:hAnsi="Times New Roman" w:eastAsia="宋体" w:cs="Times New Roman"/>
                <w:b/>
                <w:bCs/>
                <w:color w:val="auto"/>
                <w:highlight w:val="none"/>
                <w:lang w:val="en-US" w:eastAsia="zh-CN"/>
              </w:rPr>
              <w:t>、与</w:t>
            </w:r>
            <w:r>
              <w:rPr>
                <w:rFonts w:hint="default" w:ascii="Times New Roman" w:hAnsi="Times New Roman" w:eastAsia="宋体" w:cs="Times New Roman"/>
                <w:b/>
                <w:bCs/>
                <w:color w:val="auto"/>
                <w:highlight w:val="none"/>
                <w:lang w:eastAsia="zh-CN"/>
              </w:rPr>
              <w:t>清洗剂</w:t>
            </w:r>
            <w:r>
              <w:rPr>
                <w:rFonts w:hint="default" w:ascii="Times New Roman" w:hAnsi="Times New Roman" w:eastAsia="宋体" w:cs="Times New Roman"/>
                <w:b/>
                <w:bCs/>
                <w:color w:val="auto"/>
                <w:highlight w:val="none"/>
              </w:rPr>
              <w:t>相符性分析</w:t>
            </w:r>
          </w:p>
          <w:p w14:paraId="28F63472">
            <w:pPr>
              <w:spacing w:line="360" w:lineRule="auto"/>
              <w:ind w:firstLine="480" w:firstLineChars="200"/>
              <w:rPr>
                <w:rFonts w:hint="default" w:ascii="Times New Roman" w:hAnsi="Times New Roman" w:cs="Times New Roman"/>
                <w:b/>
                <w:color w:val="auto"/>
                <w:sz w:val="24"/>
                <w:highlight w:val="none"/>
              </w:rPr>
            </w:pPr>
            <w:r>
              <w:rPr>
                <w:rFonts w:hint="default" w:ascii="Times New Roman" w:hAnsi="Times New Roman" w:cs="Times New Roman"/>
                <w:color w:val="auto"/>
                <w:sz w:val="24"/>
                <w:highlight w:val="none"/>
              </w:rPr>
              <w:t>本项目使用的</w:t>
            </w:r>
            <w:r>
              <w:rPr>
                <w:rFonts w:hint="default" w:ascii="Times New Roman" w:hAnsi="Times New Roman" w:cs="Times New Roman"/>
                <w:color w:val="auto"/>
                <w:sz w:val="24"/>
                <w:highlight w:val="none"/>
                <w:lang w:val="en-US" w:eastAsia="zh-CN"/>
              </w:rPr>
              <w:t>清洗剂</w:t>
            </w:r>
            <w:r>
              <w:rPr>
                <w:rFonts w:hint="default" w:ascii="Times New Roman" w:hAnsi="Times New Roman" w:cs="Times New Roman"/>
                <w:color w:val="auto"/>
                <w:sz w:val="24"/>
                <w:highlight w:val="none"/>
              </w:rPr>
              <w:t>是</w:t>
            </w:r>
            <w:r>
              <w:rPr>
                <w:rFonts w:hint="default" w:ascii="Times New Roman" w:hAnsi="Times New Roman" w:cs="Times New Roman"/>
                <w:color w:val="auto"/>
                <w:sz w:val="24"/>
                <w:highlight w:val="none"/>
                <w:lang w:val="en-US" w:eastAsia="zh-CN"/>
              </w:rPr>
              <w:t>水基清洗剂</w:t>
            </w:r>
            <w:r>
              <w:rPr>
                <w:rFonts w:hint="default" w:ascii="Times New Roman" w:hAnsi="Times New Roman" w:cs="Times New Roman"/>
                <w:color w:val="auto"/>
                <w:sz w:val="24"/>
                <w:highlight w:val="none"/>
              </w:rPr>
              <w:t>，与《</w:t>
            </w:r>
            <w:r>
              <w:rPr>
                <w:rFonts w:hint="default" w:ascii="Times New Roman" w:hAnsi="Times New Roman" w:cs="Times New Roman"/>
                <w:color w:val="auto"/>
                <w:sz w:val="24"/>
                <w:highlight w:val="none"/>
                <w:shd w:val="clear" w:color="auto" w:fill="FFFFFF"/>
              </w:rPr>
              <w:t>清洗剂挥发性有机化合物含量限值》（GB38508-2020）</w:t>
            </w:r>
            <w:r>
              <w:rPr>
                <w:rFonts w:hint="default" w:ascii="Times New Roman" w:hAnsi="Times New Roman" w:cs="Times New Roman"/>
                <w:color w:val="auto"/>
                <w:sz w:val="24"/>
                <w:highlight w:val="none"/>
              </w:rPr>
              <w:t>相符性分析见下表</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11</w:t>
            </w:r>
            <w:r>
              <w:rPr>
                <w:rFonts w:hint="default" w:ascii="Times New Roman" w:hAnsi="Times New Roman" w:cs="Times New Roman"/>
                <w:color w:val="auto"/>
                <w:sz w:val="24"/>
                <w:highlight w:val="none"/>
              </w:rPr>
              <w:t>。由表可知，本项目使用</w:t>
            </w:r>
            <w:r>
              <w:rPr>
                <w:rFonts w:hint="default" w:ascii="Times New Roman" w:hAnsi="Times New Roman" w:cs="Times New Roman"/>
                <w:color w:val="auto"/>
                <w:sz w:val="24"/>
                <w:highlight w:val="none"/>
                <w:lang w:val="en-US" w:eastAsia="zh-CN"/>
              </w:rPr>
              <w:t>水基清洗剂</w:t>
            </w:r>
            <w:r>
              <w:rPr>
                <w:rFonts w:hint="default" w:ascii="Times New Roman" w:hAnsi="Times New Roman" w:cs="Times New Roman"/>
                <w:color w:val="auto"/>
                <w:sz w:val="24"/>
                <w:highlight w:val="none"/>
              </w:rPr>
              <w:t>符合</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清洗剂挥发性有机化合物含量限值》（GB38508-2020）限值要求。</w:t>
            </w:r>
          </w:p>
          <w:p w14:paraId="7DA679C0">
            <w:pPr>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表</w:t>
            </w:r>
            <w:r>
              <w:rPr>
                <w:rFonts w:hint="eastAsia" w:cs="Times New Roman"/>
                <w:b/>
                <w:color w:val="auto"/>
                <w:sz w:val="24"/>
                <w:highlight w:val="none"/>
                <w:lang w:val="en-US" w:eastAsia="zh-CN"/>
              </w:rPr>
              <w:t>1</w:t>
            </w:r>
            <w:r>
              <w:rPr>
                <w:rFonts w:hint="default" w:ascii="Times New Roman" w:hAnsi="Times New Roman" w:cs="Times New Roman"/>
                <w:b/>
                <w:color w:val="auto"/>
                <w:sz w:val="24"/>
                <w:highlight w:val="none"/>
              </w:rPr>
              <w:t>-</w:t>
            </w:r>
            <w:r>
              <w:rPr>
                <w:rFonts w:hint="eastAsia" w:cs="Times New Roman"/>
                <w:b/>
                <w:color w:val="auto"/>
                <w:sz w:val="24"/>
                <w:highlight w:val="none"/>
                <w:lang w:val="en-US" w:eastAsia="zh-CN"/>
              </w:rPr>
              <w:t>11</w:t>
            </w:r>
            <w:r>
              <w:rPr>
                <w:rFonts w:hint="default" w:ascii="Times New Roman" w:hAnsi="Times New Roman" w:cs="Times New Roman"/>
                <w:b/>
                <w:color w:val="auto"/>
                <w:sz w:val="24"/>
                <w:highlight w:val="none"/>
              </w:rPr>
              <w:t xml:space="preserve"> 与</w:t>
            </w:r>
            <w:r>
              <w:rPr>
                <w:rFonts w:hint="eastAsia" w:cs="Times New Roman"/>
                <w:b/>
                <w:color w:val="auto"/>
                <w:sz w:val="24"/>
                <w:highlight w:val="none"/>
                <w:lang w:eastAsia="zh-CN"/>
              </w:rPr>
              <w:t>《</w:t>
            </w:r>
            <w:r>
              <w:rPr>
                <w:rFonts w:hint="default" w:ascii="Times New Roman" w:hAnsi="Times New Roman" w:cs="Times New Roman"/>
                <w:b/>
                <w:bCs/>
                <w:color w:val="auto"/>
                <w:sz w:val="24"/>
                <w:highlight w:val="none"/>
              </w:rPr>
              <w:t>清洗剂挥发性有机化合物含量限值》（GB38508-2020）</w:t>
            </w:r>
            <w:r>
              <w:rPr>
                <w:rFonts w:hint="default" w:ascii="Times New Roman" w:hAnsi="Times New Roman" w:cs="Times New Roman"/>
                <w:b/>
                <w:color w:val="auto"/>
                <w:sz w:val="24"/>
                <w:highlight w:val="none"/>
              </w:rPr>
              <w:t>相符性分析</w:t>
            </w:r>
          </w:p>
          <w:tbl>
            <w:tblPr>
              <w:tblStyle w:val="3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48"/>
              <w:gridCol w:w="2962"/>
              <w:gridCol w:w="1016"/>
            </w:tblGrid>
            <w:tr w14:paraId="733839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2" w:type="pct"/>
                  <w:tcBorders>
                    <w:bottom w:val="single" w:color="auto" w:sz="12" w:space="0"/>
                  </w:tcBorders>
                  <w:noWrap w:val="0"/>
                  <w:vAlign w:val="center"/>
                </w:tcPr>
                <w:p w14:paraId="445BF22A">
                  <w:pPr>
                    <w:jc w:val="center"/>
                    <w:rPr>
                      <w:rFonts w:hint="default" w:ascii="Times New Roman" w:hAnsi="Times New Roman" w:cs="Times New Roman"/>
                      <w:b/>
                      <w:color w:val="auto"/>
                      <w:szCs w:val="21"/>
                      <w:highlight w:val="none"/>
                    </w:rPr>
                  </w:pPr>
                  <w:r>
                    <w:rPr>
                      <w:rFonts w:hint="eastAsia" w:cs="Times New Roman"/>
                      <w:b/>
                      <w:color w:val="auto"/>
                      <w:szCs w:val="21"/>
                      <w:highlight w:val="none"/>
                      <w:lang w:val="en-US" w:eastAsia="zh-CN"/>
                    </w:rPr>
                    <w:t>清洗剂</w:t>
                  </w:r>
                  <w:r>
                    <w:rPr>
                      <w:rFonts w:hint="default" w:ascii="Times New Roman" w:hAnsi="Times New Roman" w:cs="Times New Roman"/>
                      <w:b/>
                      <w:color w:val="auto"/>
                      <w:szCs w:val="21"/>
                      <w:highlight w:val="none"/>
                    </w:rPr>
                    <w:t>品种</w:t>
                  </w:r>
                </w:p>
              </w:tc>
              <w:tc>
                <w:tcPr>
                  <w:tcW w:w="1413" w:type="pct"/>
                  <w:tcBorders>
                    <w:bottom w:val="single" w:color="auto" w:sz="12" w:space="0"/>
                  </w:tcBorders>
                  <w:noWrap w:val="0"/>
                  <w:vAlign w:val="center"/>
                </w:tcPr>
                <w:p w14:paraId="75ACD2B2">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挥发性有机物（VOC</w:t>
                  </w:r>
                  <w:r>
                    <w:rPr>
                      <w:rFonts w:hint="default" w:ascii="Times New Roman" w:hAnsi="Times New Roman" w:cs="Times New Roman"/>
                      <w:b/>
                      <w:color w:val="auto"/>
                      <w:szCs w:val="21"/>
                      <w:highlight w:val="none"/>
                      <w:vertAlign w:val="subscript"/>
                    </w:rPr>
                    <w:t>S</w:t>
                  </w:r>
                  <w:r>
                    <w:rPr>
                      <w:rFonts w:hint="default" w:ascii="Times New Roman" w:hAnsi="Times New Roman" w:cs="Times New Roman"/>
                      <w:b/>
                      <w:color w:val="auto"/>
                      <w:szCs w:val="21"/>
                      <w:highlight w:val="none"/>
                    </w:rPr>
                    <w:t>）限值g/L</w:t>
                  </w:r>
                </w:p>
              </w:tc>
              <w:tc>
                <w:tcPr>
                  <w:tcW w:w="1782" w:type="pct"/>
                  <w:tcBorders>
                    <w:bottom w:val="single" w:color="auto" w:sz="12" w:space="0"/>
                  </w:tcBorders>
                  <w:noWrap w:val="0"/>
                  <w:vAlign w:val="center"/>
                </w:tcPr>
                <w:p w14:paraId="26FD4B9E">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本项目情况</w:t>
                  </w:r>
                </w:p>
              </w:tc>
              <w:tc>
                <w:tcPr>
                  <w:tcW w:w="611" w:type="pct"/>
                  <w:tcBorders>
                    <w:bottom w:val="single" w:color="auto" w:sz="12" w:space="0"/>
                  </w:tcBorders>
                  <w:noWrap w:val="0"/>
                  <w:vAlign w:val="center"/>
                </w:tcPr>
                <w:p w14:paraId="20360D97">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是否</w:t>
                  </w:r>
                </w:p>
                <w:p w14:paraId="4867EA9E">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符合</w:t>
                  </w:r>
                </w:p>
              </w:tc>
            </w:tr>
            <w:tr w14:paraId="4655E9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92" w:type="pct"/>
                  <w:shd w:val="clear" w:color="auto" w:fill="auto"/>
                  <w:noWrap w:val="0"/>
                  <w:vAlign w:val="center"/>
                </w:tcPr>
                <w:p w14:paraId="6D668E32">
                  <w:pPr>
                    <w:jc w:val="center"/>
                    <w:rPr>
                      <w:rFonts w:hint="default" w:ascii="Times New Roman" w:hAnsi="Times New Roman" w:cs="Times New Roman"/>
                      <w:color w:val="auto"/>
                      <w:szCs w:val="21"/>
                      <w:highlight w:val="none"/>
                      <w:shd w:val="clear" w:color="FFFFFF" w:fill="D9D9D9"/>
                    </w:rPr>
                  </w:pPr>
                  <w:r>
                    <w:rPr>
                      <w:rFonts w:hint="eastAsia" w:cs="Times New Roman"/>
                      <w:color w:val="auto"/>
                      <w:szCs w:val="21"/>
                      <w:highlight w:val="none"/>
                      <w:lang w:val="en-US" w:eastAsia="zh-CN"/>
                    </w:rPr>
                    <w:t>水基清洗剂</w:t>
                  </w:r>
                </w:p>
              </w:tc>
              <w:tc>
                <w:tcPr>
                  <w:tcW w:w="1413" w:type="pct"/>
                  <w:shd w:val="clear" w:color="auto" w:fill="FFFFFF"/>
                  <w:noWrap w:val="0"/>
                  <w:vAlign w:val="center"/>
                </w:tcPr>
                <w:p w14:paraId="23D8A79A">
                  <w:pPr>
                    <w:jc w:val="center"/>
                    <w:rPr>
                      <w:rFonts w:hint="default" w:ascii="Times New Roman" w:hAnsi="Times New Roman" w:eastAsia="宋体" w:cs="Times New Roman"/>
                      <w:color w:val="auto"/>
                      <w:szCs w:val="21"/>
                      <w:highlight w:val="none"/>
                      <w:shd w:val="clear" w:color="FFFFFF" w:fill="D9D9D9"/>
                      <w:lang w:val="en-US" w:eastAsia="zh-CN"/>
                    </w:rPr>
                  </w:pPr>
                  <w:r>
                    <w:rPr>
                      <w:rFonts w:hint="default" w:ascii="Times New Roman" w:hAnsi="Times New Roman" w:cs="Times New Roman"/>
                      <w:color w:val="auto"/>
                      <w:szCs w:val="21"/>
                      <w:highlight w:val="none"/>
                      <w:shd w:val="clear" w:color="FFFFFF" w:fill="FFFFFF"/>
                    </w:rPr>
                    <w:t>≤</w:t>
                  </w:r>
                  <w:r>
                    <w:rPr>
                      <w:rFonts w:hint="eastAsia" w:cs="Times New Roman"/>
                      <w:color w:val="auto"/>
                      <w:szCs w:val="21"/>
                      <w:highlight w:val="none"/>
                      <w:shd w:val="clear" w:color="FFFFFF" w:fill="FFFFFF"/>
                      <w:lang w:val="en-US" w:eastAsia="zh-CN"/>
                    </w:rPr>
                    <w:t>50</w:t>
                  </w:r>
                </w:p>
              </w:tc>
              <w:tc>
                <w:tcPr>
                  <w:tcW w:w="1782" w:type="pct"/>
                  <w:noWrap w:val="0"/>
                  <w:vAlign w:val="center"/>
                </w:tcPr>
                <w:p w14:paraId="32E1976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根据</w:t>
                  </w:r>
                  <w:r>
                    <w:rPr>
                      <w:rFonts w:hint="eastAsia" w:cs="Times New Roman"/>
                      <w:color w:val="auto"/>
                      <w:szCs w:val="21"/>
                      <w:highlight w:val="none"/>
                      <w:lang w:val="en-US" w:eastAsia="zh-CN"/>
                    </w:rPr>
                    <w:t>清洗剂</w:t>
                  </w:r>
                  <w:r>
                    <w:rPr>
                      <w:rFonts w:hint="default" w:ascii="Times New Roman" w:hAnsi="Times New Roman" w:cs="Times New Roman"/>
                      <w:color w:val="auto"/>
                      <w:szCs w:val="21"/>
                      <w:highlight w:val="none"/>
                    </w:rPr>
                    <w:t>VOC检测报告，本项目所用</w:t>
                  </w:r>
                  <w:r>
                    <w:rPr>
                      <w:rFonts w:hint="eastAsia" w:cs="Times New Roman"/>
                      <w:color w:val="auto"/>
                      <w:szCs w:val="21"/>
                      <w:highlight w:val="none"/>
                      <w:lang w:val="en-US" w:eastAsia="zh-CN"/>
                    </w:rPr>
                    <w:t>水基清洗剂</w:t>
                  </w:r>
                  <w:r>
                    <w:rPr>
                      <w:rFonts w:hint="default" w:ascii="Times New Roman" w:hAnsi="Times New Roman" w:cs="Times New Roman"/>
                      <w:color w:val="auto"/>
                      <w:szCs w:val="21"/>
                      <w:highlight w:val="none"/>
                    </w:rPr>
                    <w:t>VOC含量为</w:t>
                  </w:r>
                  <w:r>
                    <w:rPr>
                      <w:rFonts w:hint="eastAsia" w:cs="Times New Roman"/>
                      <w:color w:val="auto"/>
                      <w:szCs w:val="21"/>
                      <w:highlight w:val="none"/>
                      <w:lang w:val="en-US" w:eastAsia="zh-CN"/>
                    </w:rPr>
                    <w:t>27g/L</w:t>
                  </w:r>
                  <w:r>
                    <w:rPr>
                      <w:rFonts w:hint="default" w:ascii="Times New Roman" w:hAnsi="Times New Roman" w:cs="Times New Roman"/>
                      <w:color w:val="auto"/>
                      <w:szCs w:val="21"/>
                      <w:highlight w:val="none"/>
                    </w:rPr>
                    <w:t>。</w:t>
                  </w:r>
                </w:p>
              </w:tc>
              <w:tc>
                <w:tcPr>
                  <w:tcW w:w="611" w:type="pct"/>
                  <w:noWrap w:val="0"/>
                  <w:vAlign w:val="center"/>
                </w:tcPr>
                <w:p w14:paraId="6A910F9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w:t>
                  </w:r>
                </w:p>
              </w:tc>
            </w:tr>
          </w:tbl>
          <w:p w14:paraId="19ED8C0E">
            <w:pPr>
              <w:snapToGrid w:val="0"/>
              <w:spacing w:line="360" w:lineRule="auto"/>
              <w:ind w:firstLine="482" w:firstLineChars="200"/>
              <w:rPr>
                <w:color w:val="auto"/>
                <w:kern w:val="0"/>
                <w:sz w:val="24"/>
                <w:szCs w:val="20"/>
                <w:highlight w:val="none"/>
              </w:rPr>
            </w:pPr>
            <w:r>
              <w:rPr>
                <w:rFonts w:hint="eastAsia"/>
                <w:b/>
                <w:bCs/>
                <w:color w:val="auto"/>
                <w:kern w:val="0"/>
                <w:sz w:val="24"/>
                <w:szCs w:val="20"/>
                <w:highlight w:val="none"/>
                <w:lang w:val="en-US" w:eastAsia="zh-CN"/>
              </w:rPr>
              <w:t>7、</w:t>
            </w:r>
            <w:r>
              <w:rPr>
                <w:b/>
                <w:bCs/>
                <w:color w:val="auto"/>
                <w:kern w:val="0"/>
                <w:sz w:val="24"/>
                <w:szCs w:val="20"/>
                <w:highlight w:val="none"/>
              </w:rPr>
              <w:t>与《挥发性有机物无组织排放控制标准》（GB37822-2019）相符性</w:t>
            </w:r>
          </w:p>
          <w:p w14:paraId="04776044">
            <w:pPr>
              <w:pStyle w:val="19"/>
              <w:snapToGrid/>
              <w:spacing w:before="0" w:after="0" w:line="240" w:lineRule="auto"/>
              <w:ind w:firstLine="480"/>
              <w:jc w:val="center"/>
              <w:rPr>
                <w:b/>
                <w:bCs/>
                <w:color w:val="auto"/>
                <w:kern w:val="2"/>
                <w:sz w:val="24"/>
                <w:szCs w:val="24"/>
                <w:highlight w:val="none"/>
                <w:lang w:val="en-US" w:eastAsia="zh-CN"/>
              </w:rPr>
            </w:pPr>
            <w:r>
              <w:rPr>
                <w:b/>
                <w:bCs/>
                <w:color w:val="auto"/>
                <w:kern w:val="2"/>
                <w:sz w:val="24"/>
                <w:szCs w:val="24"/>
                <w:highlight w:val="none"/>
                <w:lang w:val="en-US" w:eastAsia="zh-CN"/>
              </w:rPr>
              <w:t>表1-1</w:t>
            </w:r>
            <w:r>
              <w:rPr>
                <w:rFonts w:hint="eastAsia"/>
                <w:b/>
                <w:bCs/>
                <w:color w:val="auto"/>
                <w:kern w:val="2"/>
                <w:sz w:val="24"/>
                <w:szCs w:val="24"/>
                <w:highlight w:val="none"/>
                <w:lang w:val="en-US" w:eastAsia="zh-CN"/>
              </w:rPr>
              <w:t>2</w:t>
            </w:r>
            <w:r>
              <w:rPr>
                <w:b/>
                <w:bCs/>
                <w:color w:val="auto"/>
                <w:kern w:val="2"/>
                <w:sz w:val="24"/>
                <w:szCs w:val="24"/>
                <w:highlight w:val="none"/>
                <w:lang w:val="en-US" w:eastAsia="zh-CN"/>
              </w:rPr>
              <w:t xml:space="preserve"> 与《挥发性有机物无组织排放控制标准》的相符性分析</w:t>
            </w:r>
          </w:p>
          <w:tbl>
            <w:tblPr>
              <w:tblStyle w:val="37"/>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876"/>
              <w:gridCol w:w="830"/>
              <w:gridCol w:w="4068"/>
              <w:gridCol w:w="1587"/>
              <w:gridCol w:w="730"/>
            </w:tblGrid>
            <w:tr w14:paraId="09A2B3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1706" w:type="dxa"/>
                  <w:gridSpan w:val="2"/>
                  <w:noWrap w:val="0"/>
                  <w:vAlign w:val="center"/>
                </w:tcPr>
                <w:p w14:paraId="26CA3CC7">
                  <w:pPr>
                    <w:keepNext w:val="0"/>
                    <w:keepLines w:val="0"/>
                    <w:pageBreakBefore w:val="0"/>
                    <w:kinsoku/>
                    <w:wordWrap/>
                    <w:overflowPunct/>
                    <w:topLinePunct w:val="0"/>
                    <w:autoSpaceDE/>
                    <w:autoSpaceDN/>
                    <w:bidi w:val="0"/>
                    <w:adjustRightInd w:val="0"/>
                    <w:snapToGrid w:val="0"/>
                    <w:jc w:val="center"/>
                    <w:textAlignment w:val="auto"/>
                    <w:rPr>
                      <w:b/>
                      <w:bCs/>
                      <w:color w:val="auto"/>
                      <w:highlight w:val="none"/>
                    </w:rPr>
                  </w:pPr>
                  <w:r>
                    <w:rPr>
                      <w:b/>
                      <w:bCs/>
                      <w:color w:val="auto"/>
                      <w:highlight w:val="none"/>
                    </w:rPr>
                    <w:t>类别</w:t>
                  </w:r>
                </w:p>
              </w:tc>
              <w:tc>
                <w:tcPr>
                  <w:tcW w:w="4068" w:type="dxa"/>
                  <w:noWrap w:val="0"/>
                  <w:vAlign w:val="center"/>
                </w:tcPr>
                <w:p w14:paraId="26C2CE0B">
                  <w:pPr>
                    <w:keepNext w:val="0"/>
                    <w:keepLines w:val="0"/>
                    <w:pageBreakBefore w:val="0"/>
                    <w:kinsoku/>
                    <w:wordWrap/>
                    <w:overflowPunct/>
                    <w:topLinePunct w:val="0"/>
                    <w:autoSpaceDE/>
                    <w:autoSpaceDN/>
                    <w:bidi w:val="0"/>
                    <w:adjustRightInd w:val="0"/>
                    <w:snapToGrid w:val="0"/>
                    <w:jc w:val="center"/>
                    <w:textAlignment w:val="auto"/>
                    <w:rPr>
                      <w:b/>
                      <w:bCs/>
                      <w:color w:val="auto"/>
                      <w:highlight w:val="none"/>
                    </w:rPr>
                  </w:pPr>
                  <w:r>
                    <w:rPr>
                      <w:b/>
                      <w:bCs/>
                      <w:color w:val="auto"/>
                      <w:highlight w:val="none"/>
                    </w:rPr>
                    <w:t>GB37822-2019的要求</w:t>
                  </w:r>
                </w:p>
              </w:tc>
              <w:tc>
                <w:tcPr>
                  <w:tcW w:w="1587" w:type="dxa"/>
                  <w:noWrap w:val="0"/>
                  <w:vAlign w:val="center"/>
                </w:tcPr>
                <w:p w14:paraId="319F8013">
                  <w:pPr>
                    <w:keepNext w:val="0"/>
                    <w:keepLines w:val="0"/>
                    <w:pageBreakBefore w:val="0"/>
                    <w:kinsoku/>
                    <w:wordWrap/>
                    <w:overflowPunct/>
                    <w:topLinePunct w:val="0"/>
                    <w:autoSpaceDE/>
                    <w:autoSpaceDN/>
                    <w:bidi w:val="0"/>
                    <w:adjustRightInd w:val="0"/>
                    <w:snapToGrid w:val="0"/>
                    <w:jc w:val="center"/>
                    <w:textAlignment w:val="auto"/>
                    <w:rPr>
                      <w:b/>
                      <w:bCs/>
                      <w:color w:val="auto"/>
                      <w:highlight w:val="none"/>
                    </w:rPr>
                  </w:pPr>
                  <w:r>
                    <w:rPr>
                      <w:b/>
                      <w:bCs/>
                      <w:color w:val="auto"/>
                      <w:highlight w:val="none"/>
                    </w:rPr>
                    <w:t>项目实际情况</w:t>
                  </w:r>
                </w:p>
              </w:tc>
              <w:tc>
                <w:tcPr>
                  <w:tcW w:w="730" w:type="dxa"/>
                  <w:noWrap w:val="0"/>
                  <w:vAlign w:val="center"/>
                </w:tcPr>
                <w:p w14:paraId="7FE3E6ED">
                  <w:pPr>
                    <w:keepNext w:val="0"/>
                    <w:keepLines w:val="0"/>
                    <w:pageBreakBefore w:val="0"/>
                    <w:kinsoku/>
                    <w:wordWrap/>
                    <w:overflowPunct/>
                    <w:topLinePunct w:val="0"/>
                    <w:autoSpaceDE/>
                    <w:autoSpaceDN/>
                    <w:bidi w:val="0"/>
                    <w:adjustRightInd w:val="0"/>
                    <w:snapToGrid w:val="0"/>
                    <w:jc w:val="center"/>
                    <w:textAlignment w:val="auto"/>
                    <w:rPr>
                      <w:b/>
                      <w:bCs/>
                      <w:color w:val="auto"/>
                      <w:highlight w:val="none"/>
                    </w:rPr>
                  </w:pPr>
                  <w:r>
                    <w:rPr>
                      <w:b/>
                      <w:bCs/>
                      <w:color w:val="auto"/>
                      <w:highlight w:val="none"/>
                    </w:rPr>
                    <w:t>相符性</w:t>
                  </w:r>
                </w:p>
              </w:tc>
            </w:tr>
            <w:tr w14:paraId="22879B4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876" w:type="dxa"/>
                  <w:noWrap w:val="0"/>
                  <w:vAlign w:val="center"/>
                </w:tcPr>
                <w:p w14:paraId="7C8CD49A">
                  <w:pPr>
                    <w:keepNext w:val="0"/>
                    <w:keepLines w:val="0"/>
                    <w:pageBreakBefore w:val="0"/>
                    <w:kinsoku/>
                    <w:wordWrap/>
                    <w:overflowPunct/>
                    <w:topLinePunct w:val="0"/>
                    <w:autoSpaceDE/>
                    <w:autoSpaceDN/>
                    <w:bidi w:val="0"/>
                    <w:adjustRightInd w:val="0"/>
                    <w:snapToGrid w:val="0"/>
                    <w:jc w:val="center"/>
                    <w:textAlignment w:val="auto"/>
                    <w:rPr>
                      <w:color w:val="auto"/>
                      <w:highlight w:val="none"/>
                    </w:rPr>
                  </w:pPr>
                  <w:r>
                    <w:rPr>
                      <w:rFonts w:eastAsia="TimesNewRomanPSMT"/>
                      <w:color w:val="auto"/>
                      <w:highlight w:val="none"/>
                    </w:rPr>
                    <w:t>VOCs</w:t>
                  </w:r>
                  <w:r>
                    <w:rPr>
                      <w:color w:val="auto"/>
                      <w:highlight w:val="none"/>
                    </w:rPr>
                    <w:t>物料储存无组织排放控制要求</w:t>
                  </w:r>
                </w:p>
              </w:tc>
              <w:tc>
                <w:tcPr>
                  <w:tcW w:w="830" w:type="dxa"/>
                  <w:noWrap w:val="0"/>
                  <w:vAlign w:val="center"/>
                </w:tcPr>
                <w:p w14:paraId="45B8C4DE">
                  <w:pPr>
                    <w:keepNext w:val="0"/>
                    <w:keepLines w:val="0"/>
                    <w:pageBreakBefore w:val="0"/>
                    <w:kinsoku/>
                    <w:wordWrap/>
                    <w:overflowPunct/>
                    <w:topLinePunct w:val="0"/>
                    <w:autoSpaceDE/>
                    <w:autoSpaceDN/>
                    <w:bidi w:val="0"/>
                    <w:adjustRightInd w:val="0"/>
                    <w:snapToGrid w:val="0"/>
                    <w:jc w:val="center"/>
                    <w:textAlignment w:val="auto"/>
                    <w:rPr>
                      <w:color w:val="auto"/>
                      <w:highlight w:val="none"/>
                    </w:rPr>
                  </w:pPr>
                  <w:r>
                    <w:rPr>
                      <w:color w:val="auto"/>
                      <w:highlight w:val="none"/>
                    </w:rPr>
                    <w:t>基本要求</w:t>
                  </w:r>
                </w:p>
              </w:tc>
              <w:tc>
                <w:tcPr>
                  <w:tcW w:w="4068" w:type="dxa"/>
                  <w:noWrap w:val="0"/>
                  <w:vAlign w:val="center"/>
                </w:tcPr>
                <w:p w14:paraId="361F9E5C">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5.1.1VOCs</w:t>
                  </w:r>
                  <w:r>
                    <w:rPr>
                      <w:color w:val="auto"/>
                      <w:highlight w:val="none"/>
                    </w:rPr>
                    <w:t>物料应储存于密闭的容器、包装袋、储罐、储库、料仓中。</w:t>
                  </w:r>
                </w:p>
                <w:p w14:paraId="355AEA76">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5.1.2</w:t>
                  </w:r>
                  <w:r>
                    <w:rPr>
                      <w:color w:val="auto"/>
                      <w:highlight w:val="none"/>
                    </w:rPr>
                    <w:t>盛装</w:t>
                  </w:r>
                  <w:r>
                    <w:rPr>
                      <w:rFonts w:eastAsia="TimesNewRomanPSMT"/>
                      <w:color w:val="auto"/>
                      <w:highlight w:val="none"/>
                    </w:rPr>
                    <w:t>VOCs</w:t>
                  </w:r>
                  <w:r>
                    <w:rPr>
                      <w:color w:val="auto"/>
                      <w:highlight w:val="none"/>
                    </w:rPr>
                    <w:t>物料的容器或包装袋应存放于室内，或存放于设置有雨棚、遮阳和防渗设施的专用场地。</w:t>
                  </w:r>
                </w:p>
                <w:p w14:paraId="1AA0ECCC">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color w:val="auto"/>
                      <w:highlight w:val="none"/>
                    </w:rPr>
                    <w:t>盛装</w:t>
                  </w:r>
                  <w:r>
                    <w:rPr>
                      <w:rFonts w:eastAsia="TimesNewRomanPSMT"/>
                      <w:color w:val="auto"/>
                      <w:highlight w:val="none"/>
                    </w:rPr>
                    <w:t>VOCs</w:t>
                  </w:r>
                  <w:r>
                    <w:rPr>
                      <w:color w:val="auto"/>
                      <w:highlight w:val="none"/>
                    </w:rPr>
                    <w:t>物料的容器或包装袋在非取用状态时应加盖、封口，保持密闭。</w:t>
                  </w:r>
                </w:p>
                <w:p w14:paraId="2525B1C0">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5.1.3VOCs</w:t>
                  </w:r>
                  <w:r>
                    <w:rPr>
                      <w:color w:val="auto"/>
                      <w:highlight w:val="none"/>
                    </w:rPr>
                    <w:t>物料储罐应密封良好，其中挥发性有机液体储罐应符合</w:t>
                  </w:r>
                  <w:r>
                    <w:rPr>
                      <w:rFonts w:eastAsia="TimesNewRomanPSMT"/>
                      <w:color w:val="auto"/>
                      <w:highlight w:val="none"/>
                    </w:rPr>
                    <w:t>5.2</w:t>
                  </w:r>
                  <w:r>
                    <w:rPr>
                      <w:color w:val="auto"/>
                      <w:highlight w:val="none"/>
                    </w:rPr>
                    <w:t>条规定。</w:t>
                  </w:r>
                </w:p>
                <w:p w14:paraId="4CFD99DE">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5.1.4VOCs</w:t>
                  </w:r>
                  <w:r>
                    <w:rPr>
                      <w:color w:val="auto"/>
                      <w:highlight w:val="none"/>
                    </w:rPr>
                    <w:t>物料储库、料仓应满足</w:t>
                  </w:r>
                  <w:r>
                    <w:rPr>
                      <w:rFonts w:eastAsia="TimesNewRomanPSMT"/>
                      <w:color w:val="auto"/>
                      <w:highlight w:val="none"/>
                    </w:rPr>
                    <w:t>3.6</w:t>
                  </w:r>
                  <w:r>
                    <w:rPr>
                      <w:color w:val="auto"/>
                      <w:highlight w:val="none"/>
                    </w:rPr>
                    <w:t>条对密闭空间的要求。</w:t>
                  </w:r>
                </w:p>
              </w:tc>
              <w:tc>
                <w:tcPr>
                  <w:tcW w:w="1587" w:type="dxa"/>
                  <w:noWrap w:val="0"/>
                  <w:vAlign w:val="center"/>
                </w:tcPr>
                <w:p w14:paraId="7777E156">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color w:val="auto"/>
                      <w:highlight w:val="none"/>
                    </w:rPr>
                    <w:t>本项目</w:t>
                  </w:r>
                  <w:r>
                    <w:rPr>
                      <w:rFonts w:hint="eastAsia"/>
                      <w:color w:val="auto"/>
                      <w:highlight w:val="none"/>
                      <w:lang w:val="en-US" w:eastAsia="zh-CN"/>
                    </w:rPr>
                    <w:t>光学专用胶</w:t>
                  </w:r>
                  <w:r>
                    <w:rPr>
                      <w:rFonts w:hint="eastAsia"/>
                      <w:color w:val="auto"/>
                      <w:highlight w:val="none"/>
                    </w:rPr>
                    <w:t>、</w:t>
                  </w:r>
                  <w:r>
                    <w:rPr>
                      <w:rFonts w:hint="eastAsia"/>
                      <w:color w:val="auto"/>
                      <w:highlight w:val="none"/>
                      <w:lang w:val="en-US" w:eastAsia="zh-CN"/>
                    </w:rPr>
                    <w:t>清洗剂</w:t>
                  </w:r>
                  <w:r>
                    <w:rPr>
                      <w:color w:val="auto"/>
                      <w:highlight w:val="none"/>
                    </w:rPr>
                    <w:t>等储存在密闭包装桶中，存放于原料仓库中。</w:t>
                  </w:r>
                </w:p>
              </w:tc>
              <w:tc>
                <w:tcPr>
                  <w:tcW w:w="730" w:type="dxa"/>
                  <w:noWrap w:val="0"/>
                  <w:vAlign w:val="center"/>
                </w:tcPr>
                <w:p w14:paraId="0538E82D">
                  <w:pPr>
                    <w:keepNext w:val="0"/>
                    <w:keepLines w:val="0"/>
                    <w:pageBreakBefore w:val="0"/>
                    <w:widowControl/>
                    <w:kinsoku/>
                    <w:wordWrap/>
                    <w:overflowPunct/>
                    <w:topLinePunct w:val="0"/>
                    <w:autoSpaceDE/>
                    <w:autoSpaceDN/>
                    <w:bidi w:val="0"/>
                    <w:adjustRightInd w:val="0"/>
                    <w:snapToGrid w:val="0"/>
                    <w:jc w:val="center"/>
                    <w:textAlignment w:val="auto"/>
                    <w:rPr>
                      <w:color w:val="auto"/>
                      <w:highlight w:val="none"/>
                    </w:rPr>
                  </w:pPr>
                  <w:r>
                    <w:rPr>
                      <w:color w:val="auto"/>
                      <w:highlight w:val="none"/>
                    </w:rPr>
                    <w:t>相符</w:t>
                  </w:r>
                </w:p>
              </w:tc>
            </w:tr>
            <w:tr w14:paraId="6D29A40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876" w:type="dxa"/>
                  <w:vMerge w:val="restart"/>
                  <w:noWrap w:val="0"/>
                  <w:vAlign w:val="center"/>
                </w:tcPr>
                <w:p w14:paraId="60EA5AF1">
                  <w:pPr>
                    <w:keepNext w:val="0"/>
                    <w:keepLines w:val="0"/>
                    <w:pageBreakBefore w:val="0"/>
                    <w:kinsoku/>
                    <w:wordWrap/>
                    <w:overflowPunct/>
                    <w:topLinePunct w:val="0"/>
                    <w:autoSpaceDE/>
                    <w:autoSpaceDN/>
                    <w:bidi w:val="0"/>
                    <w:adjustRightInd w:val="0"/>
                    <w:snapToGrid w:val="0"/>
                    <w:jc w:val="center"/>
                    <w:textAlignment w:val="auto"/>
                    <w:rPr>
                      <w:color w:val="auto"/>
                      <w:highlight w:val="none"/>
                    </w:rPr>
                  </w:pPr>
                  <w:r>
                    <w:rPr>
                      <w:color w:val="auto"/>
                      <w:highlight w:val="none"/>
                    </w:rPr>
                    <w:t>工艺过程VOCs无组织排放控制要求</w:t>
                  </w:r>
                </w:p>
                <w:p w14:paraId="06DB04CF">
                  <w:pPr>
                    <w:keepNext w:val="0"/>
                    <w:keepLines w:val="0"/>
                    <w:pageBreakBefore w:val="0"/>
                    <w:kinsoku/>
                    <w:wordWrap/>
                    <w:overflowPunct/>
                    <w:topLinePunct w:val="0"/>
                    <w:autoSpaceDE/>
                    <w:autoSpaceDN/>
                    <w:bidi w:val="0"/>
                    <w:adjustRightInd w:val="0"/>
                    <w:snapToGrid w:val="0"/>
                    <w:jc w:val="center"/>
                    <w:textAlignment w:val="auto"/>
                    <w:rPr>
                      <w:color w:val="auto"/>
                      <w:highlight w:val="none"/>
                    </w:rPr>
                  </w:pPr>
                </w:p>
              </w:tc>
              <w:tc>
                <w:tcPr>
                  <w:tcW w:w="830" w:type="dxa"/>
                  <w:noWrap w:val="0"/>
                  <w:vAlign w:val="center"/>
                </w:tcPr>
                <w:p w14:paraId="74FFDEE6">
                  <w:pPr>
                    <w:keepNext w:val="0"/>
                    <w:keepLines w:val="0"/>
                    <w:pageBreakBefore w:val="0"/>
                    <w:kinsoku/>
                    <w:wordWrap/>
                    <w:overflowPunct/>
                    <w:topLinePunct w:val="0"/>
                    <w:autoSpaceDE/>
                    <w:autoSpaceDN/>
                    <w:bidi w:val="0"/>
                    <w:adjustRightInd w:val="0"/>
                    <w:snapToGrid w:val="0"/>
                    <w:jc w:val="center"/>
                    <w:textAlignment w:val="auto"/>
                    <w:rPr>
                      <w:color w:val="auto"/>
                      <w:highlight w:val="none"/>
                    </w:rPr>
                  </w:pPr>
                  <w:r>
                    <w:rPr>
                      <w:color w:val="auto"/>
                      <w:highlight w:val="none"/>
                    </w:rPr>
                    <w:t>含</w:t>
                  </w:r>
                  <w:r>
                    <w:rPr>
                      <w:rFonts w:eastAsia="TimesNewRomanPSMT"/>
                      <w:color w:val="auto"/>
                      <w:highlight w:val="none"/>
                    </w:rPr>
                    <w:t>VOCs</w:t>
                  </w:r>
                  <w:r>
                    <w:rPr>
                      <w:color w:val="auto"/>
                      <w:highlight w:val="none"/>
                    </w:rPr>
                    <w:t>产品的使用过程</w:t>
                  </w:r>
                </w:p>
              </w:tc>
              <w:tc>
                <w:tcPr>
                  <w:tcW w:w="4068" w:type="dxa"/>
                  <w:noWrap w:val="0"/>
                  <w:vAlign w:val="center"/>
                </w:tcPr>
                <w:p w14:paraId="4A394DCF">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7.2.1VOCs</w:t>
                  </w:r>
                  <w:r>
                    <w:rPr>
                      <w:color w:val="auto"/>
                      <w:highlight w:val="none"/>
                    </w:rPr>
                    <w:t>质量占比大于等于</w:t>
                  </w:r>
                  <w:r>
                    <w:rPr>
                      <w:rFonts w:eastAsia="TimesNewRomanPSMT"/>
                      <w:color w:val="auto"/>
                      <w:highlight w:val="none"/>
                    </w:rPr>
                    <w:t>10%</w:t>
                  </w:r>
                  <w:r>
                    <w:rPr>
                      <w:color w:val="auto"/>
                      <w:highlight w:val="none"/>
                    </w:rPr>
                    <w:t>的含</w:t>
                  </w:r>
                  <w:r>
                    <w:rPr>
                      <w:rFonts w:eastAsia="TimesNewRomanPSMT"/>
                      <w:color w:val="auto"/>
                      <w:highlight w:val="none"/>
                    </w:rPr>
                    <w:t>VOCs</w:t>
                  </w:r>
                  <w:r>
                    <w:rPr>
                      <w:color w:val="auto"/>
                      <w:highlight w:val="none"/>
                    </w:rPr>
                    <w:t>产品，其使用过程应采用密闭设备或在密闭空间内操作，废气应排至</w:t>
                  </w:r>
                  <w:r>
                    <w:rPr>
                      <w:rFonts w:eastAsia="TimesNewRomanPSMT"/>
                      <w:color w:val="auto"/>
                      <w:highlight w:val="none"/>
                    </w:rPr>
                    <w:t>VOCs</w:t>
                  </w:r>
                  <w:r>
                    <w:rPr>
                      <w:color w:val="auto"/>
                      <w:highlight w:val="none"/>
                    </w:rPr>
                    <w:t>废气收集处理系统；无法密闭的，</w:t>
                  </w:r>
                </w:p>
                <w:p w14:paraId="5223DDA6">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color w:val="auto"/>
                      <w:highlight w:val="none"/>
                    </w:rPr>
                    <w:t>应采取局部气体收集措施，废气应排至</w:t>
                  </w:r>
                  <w:r>
                    <w:rPr>
                      <w:rFonts w:eastAsia="TimesNewRomanPSMT"/>
                      <w:color w:val="auto"/>
                      <w:highlight w:val="none"/>
                    </w:rPr>
                    <w:t>VOCs</w:t>
                  </w:r>
                  <w:r>
                    <w:rPr>
                      <w:color w:val="auto"/>
                      <w:highlight w:val="none"/>
                    </w:rPr>
                    <w:t>废气收集处理系统。含</w:t>
                  </w:r>
                  <w:r>
                    <w:rPr>
                      <w:rFonts w:eastAsia="TimesNewRomanPSMT"/>
                      <w:color w:val="auto"/>
                      <w:highlight w:val="none"/>
                    </w:rPr>
                    <w:t>VOCs</w:t>
                  </w:r>
                  <w:r>
                    <w:rPr>
                      <w:color w:val="auto"/>
                      <w:highlight w:val="none"/>
                    </w:rPr>
                    <w:t>产品的使用过程包括但不限于</w:t>
                  </w:r>
                </w:p>
                <w:p w14:paraId="0AC1FAE2">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color w:val="auto"/>
                      <w:highlight w:val="none"/>
                    </w:rPr>
                    <w:t>以下作业：</w:t>
                  </w:r>
                </w:p>
                <w:p w14:paraId="183BD9CF">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a</w:t>
                  </w:r>
                  <w:r>
                    <w:rPr>
                      <w:color w:val="auto"/>
                      <w:highlight w:val="none"/>
                    </w:rPr>
                    <w:t>）调配（混合、搅拌等）；</w:t>
                  </w:r>
                </w:p>
                <w:p w14:paraId="57F66B7A">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b</w:t>
                  </w:r>
                  <w:r>
                    <w:rPr>
                      <w:color w:val="auto"/>
                      <w:highlight w:val="none"/>
                    </w:rPr>
                    <w:t>）涂装（喷涂、浸涂、淋涂、辊涂、刷涂、涂布等）；</w:t>
                  </w:r>
                </w:p>
                <w:p w14:paraId="78D18D89">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c</w:t>
                  </w:r>
                  <w:r>
                    <w:rPr>
                      <w:color w:val="auto"/>
                      <w:highlight w:val="none"/>
                    </w:rPr>
                    <w:t>）印刷（平版、凸版、凹版、孔版等）；</w:t>
                  </w:r>
                </w:p>
                <w:p w14:paraId="009FEE05">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d</w:t>
                  </w:r>
                  <w:r>
                    <w:rPr>
                      <w:color w:val="auto"/>
                      <w:highlight w:val="none"/>
                    </w:rPr>
                    <w:t>）粘结（涂胶、热压、复合、贴合等）；</w:t>
                  </w:r>
                </w:p>
                <w:p w14:paraId="40C126A9">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e</w:t>
                  </w:r>
                  <w:r>
                    <w:rPr>
                      <w:color w:val="auto"/>
                      <w:highlight w:val="none"/>
                    </w:rPr>
                    <w:t>）印染（染色、印花、定型等）；</w:t>
                  </w:r>
                </w:p>
                <w:p w14:paraId="7149947F">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f</w:t>
                  </w:r>
                  <w:r>
                    <w:rPr>
                      <w:color w:val="auto"/>
                      <w:highlight w:val="none"/>
                    </w:rPr>
                    <w:t>）干燥（烘干、风干、晾干等）；</w:t>
                  </w:r>
                </w:p>
                <w:p w14:paraId="7C8A1CCF">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g</w:t>
                  </w:r>
                  <w:r>
                    <w:rPr>
                      <w:color w:val="auto"/>
                      <w:highlight w:val="none"/>
                    </w:rPr>
                    <w:t>）清洗（浸洗、喷洗、淋洗、冲洗、擦洗等）。</w:t>
                  </w:r>
                </w:p>
              </w:tc>
              <w:tc>
                <w:tcPr>
                  <w:tcW w:w="1587" w:type="dxa"/>
                  <w:noWrap w:val="0"/>
                  <w:vAlign w:val="center"/>
                </w:tcPr>
                <w:p w14:paraId="12CD2D8B">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color w:val="auto"/>
                      <w:highlight w:val="none"/>
                    </w:rPr>
                    <w:t>本项目</w:t>
                  </w:r>
                  <w:r>
                    <w:rPr>
                      <w:rFonts w:hint="eastAsia"/>
                      <w:color w:val="auto"/>
                      <w:highlight w:val="none"/>
                      <w:lang w:val="en-US" w:eastAsia="zh-CN"/>
                    </w:rPr>
                    <w:t>胶合、擦片</w:t>
                  </w:r>
                  <w:r>
                    <w:rPr>
                      <w:rFonts w:hint="eastAsia"/>
                      <w:color w:val="auto"/>
                      <w:highlight w:val="none"/>
                    </w:rPr>
                    <w:t>工序</w:t>
                  </w:r>
                  <w:r>
                    <w:rPr>
                      <w:color w:val="auto"/>
                      <w:highlight w:val="none"/>
                    </w:rPr>
                    <w:t>微量有机废气车间无组织排放。</w:t>
                  </w:r>
                </w:p>
              </w:tc>
              <w:tc>
                <w:tcPr>
                  <w:tcW w:w="730" w:type="dxa"/>
                  <w:noWrap w:val="0"/>
                  <w:vAlign w:val="center"/>
                </w:tcPr>
                <w:p w14:paraId="3BA312E7">
                  <w:pPr>
                    <w:keepNext w:val="0"/>
                    <w:keepLines w:val="0"/>
                    <w:pageBreakBefore w:val="0"/>
                    <w:widowControl/>
                    <w:kinsoku/>
                    <w:wordWrap/>
                    <w:overflowPunct/>
                    <w:topLinePunct w:val="0"/>
                    <w:autoSpaceDE/>
                    <w:autoSpaceDN/>
                    <w:bidi w:val="0"/>
                    <w:adjustRightInd w:val="0"/>
                    <w:snapToGrid w:val="0"/>
                    <w:jc w:val="center"/>
                    <w:textAlignment w:val="auto"/>
                    <w:rPr>
                      <w:color w:val="auto"/>
                      <w:highlight w:val="none"/>
                    </w:rPr>
                  </w:pPr>
                  <w:r>
                    <w:rPr>
                      <w:color w:val="auto"/>
                      <w:highlight w:val="none"/>
                    </w:rPr>
                    <w:t>相符</w:t>
                  </w:r>
                </w:p>
              </w:tc>
            </w:tr>
            <w:tr w14:paraId="751F4C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876" w:type="dxa"/>
                  <w:vMerge w:val="continue"/>
                  <w:noWrap w:val="0"/>
                  <w:vAlign w:val="center"/>
                </w:tcPr>
                <w:p w14:paraId="4A96DB25">
                  <w:pPr>
                    <w:keepNext w:val="0"/>
                    <w:keepLines w:val="0"/>
                    <w:pageBreakBefore w:val="0"/>
                    <w:kinsoku/>
                    <w:wordWrap/>
                    <w:overflowPunct/>
                    <w:topLinePunct w:val="0"/>
                    <w:autoSpaceDE/>
                    <w:autoSpaceDN/>
                    <w:bidi w:val="0"/>
                    <w:adjustRightInd w:val="0"/>
                    <w:snapToGrid w:val="0"/>
                    <w:jc w:val="center"/>
                    <w:textAlignment w:val="auto"/>
                    <w:rPr>
                      <w:color w:val="auto"/>
                      <w:highlight w:val="none"/>
                    </w:rPr>
                  </w:pPr>
                </w:p>
              </w:tc>
              <w:tc>
                <w:tcPr>
                  <w:tcW w:w="830" w:type="dxa"/>
                  <w:noWrap w:val="0"/>
                  <w:vAlign w:val="center"/>
                </w:tcPr>
                <w:p w14:paraId="67F0D163">
                  <w:pPr>
                    <w:keepNext w:val="0"/>
                    <w:keepLines w:val="0"/>
                    <w:pageBreakBefore w:val="0"/>
                    <w:kinsoku/>
                    <w:wordWrap/>
                    <w:overflowPunct/>
                    <w:topLinePunct w:val="0"/>
                    <w:autoSpaceDE/>
                    <w:autoSpaceDN/>
                    <w:bidi w:val="0"/>
                    <w:adjustRightInd w:val="0"/>
                    <w:snapToGrid w:val="0"/>
                    <w:jc w:val="center"/>
                    <w:textAlignment w:val="auto"/>
                    <w:rPr>
                      <w:color w:val="auto"/>
                      <w:highlight w:val="none"/>
                    </w:rPr>
                  </w:pPr>
                  <w:r>
                    <w:rPr>
                      <w:color w:val="auto"/>
                      <w:highlight w:val="none"/>
                    </w:rPr>
                    <w:t>其他要求</w:t>
                  </w:r>
                </w:p>
              </w:tc>
              <w:tc>
                <w:tcPr>
                  <w:tcW w:w="4068" w:type="dxa"/>
                  <w:noWrap w:val="0"/>
                  <w:vAlign w:val="center"/>
                </w:tcPr>
                <w:p w14:paraId="6E52BB26">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7.3.1</w:t>
                  </w:r>
                  <w:r>
                    <w:rPr>
                      <w:color w:val="auto"/>
                      <w:highlight w:val="none"/>
                    </w:rPr>
                    <w:t>企业应建立台账，记录含</w:t>
                  </w:r>
                  <w:r>
                    <w:rPr>
                      <w:rFonts w:eastAsia="TimesNewRomanPSMT"/>
                      <w:color w:val="auto"/>
                      <w:highlight w:val="none"/>
                    </w:rPr>
                    <w:t>VOCs</w:t>
                  </w:r>
                  <w:r>
                    <w:rPr>
                      <w:color w:val="auto"/>
                      <w:highlight w:val="none"/>
                    </w:rPr>
                    <w:t>原辅材料和含</w:t>
                  </w:r>
                  <w:r>
                    <w:rPr>
                      <w:rFonts w:eastAsia="TimesNewRomanPSMT"/>
                      <w:color w:val="auto"/>
                      <w:highlight w:val="none"/>
                    </w:rPr>
                    <w:t>VOCs</w:t>
                  </w:r>
                  <w:r>
                    <w:rPr>
                      <w:color w:val="auto"/>
                      <w:highlight w:val="none"/>
                    </w:rPr>
                    <w:t>产品的名称、使用量、回收量、废弃量、去向以及</w:t>
                  </w:r>
                  <w:r>
                    <w:rPr>
                      <w:rFonts w:eastAsia="TimesNewRomanPSMT"/>
                      <w:color w:val="auto"/>
                      <w:highlight w:val="none"/>
                    </w:rPr>
                    <w:t>VOCs</w:t>
                  </w:r>
                  <w:r>
                    <w:rPr>
                      <w:color w:val="auto"/>
                      <w:highlight w:val="none"/>
                    </w:rPr>
                    <w:t>含量等信息。台账保存期限不少于</w:t>
                  </w:r>
                  <w:r>
                    <w:rPr>
                      <w:rFonts w:eastAsia="TimesNewRomanPSMT"/>
                      <w:color w:val="auto"/>
                      <w:highlight w:val="none"/>
                    </w:rPr>
                    <w:t>3</w:t>
                  </w:r>
                  <w:r>
                    <w:rPr>
                      <w:color w:val="auto"/>
                      <w:highlight w:val="none"/>
                    </w:rPr>
                    <w:t>年。</w:t>
                  </w:r>
                </w:p>
                <w:p w14:paraId="5903B8B8">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7.3.2</w:t>
                  </w:r>
                  <w:r>
                    <w:rPr>
                      <w:color w:val="auto"/>
                      <w:highlight w:val="none"/>
                    </w:rPr>
                    <w:t>通风生产设备、操作工位、车间厂房等应在符合安全生产、职业卫生相关规定的前提下，根据行业作业规程与标准、工业建筑及洁净厂房通风设计规范等的要求，采用合理的通风量。</w:t>
                  </w:r>
                </w:p>
                <w:p w14:paraId="2143F076">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7.3.3</w:t>
                  </w:r>
                  <w:r>
                    <w:rPr>
                      <w:color w:val="auto"/>
                      <w:highlight w:val="none"/>
                    </w:rPr>
                    <w:t>载有</w:t>
                  </w:r>
                  <w:r>
                    <w:rPr>
                      <w:rFonts w:eastAsia="TimesNewRomanPSMT"/>
                      <w:color w:val="auto"/>
                      <w:highlight w:val="none"/>
                    </w:rPr>
                    <w:t>VOCs</w:t>
                  </w:r>
                  <w:r>
                    <w:rPr>
                      <w:color w:val="auto"/>
                      <w:highlight w:val="none"/>
                    </w:rPr>
                    <w:t>物料的设备及其管道在开停工（车）、检维修和清洗时，应在退料阶段将残存物料退净，并用密闭容器盛装，退料过程废气应排至</w:t>
                  </w:r>
                  <w:r>
                    <w:rPr>
                      <w:rFonts w:eastAsia="TimesNewRomanPSMT"/>
                      <w:color w:val="auto"/>
                      <w:highlight w:val="none"/>
                    </w:rPr>
                    <w:t>VOCs</w:t>
                  </w:r>
                  <w:r>
                    <w:rPr>
                      <w:color w:val="auto"/>
                      <w:highlight w:val="none"/>
                    </w:rPr>
                    <w:t>废气收集处理系统；清洗及吹扫过程排气应排至</w:t>
                  </w:r>
                  <w:r>
                    <w:rPr>
                      <w:rFonts w:eastAsia="TimesNewRomanPSMT"/>
                      <w:color w:val="auto"/>
                      <w:highlight w:val="none"/>
                    </w:rPr>
                    <w:t>VOCs</w:t>
                  </w:r>
                  <w:r>
                    <w:rPr>
                      <w:color w:val="auto"/>
                      <w:highlight w:val="none"/>
                    </w:rPr>
                    <w:t>废气收集处理系统。</w:t>
                  </w:r>
                </w:p>
                <w:p w14:paraId="3A60A355">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7.3.4</w:t>
                  </w:r>
                  <w:r>
                    <w:rPr>
                      <w:color w:val="auto"/>
                      <w:highlight w:val="none"/>
                    </w:rPr>
                    <w:t>工艺过程产生的含</w:t>
                  </w:r>
                  <w:r>
                    <w:rPr>
                      <w:rFonts w:eastAsia="TimesNewRomanPSMT"/>
                      <w:color w:val="auto"/>
                      <w:highlight w:val="none"/>
                    </w:rPr>
                    <w:t>VOCs</w:t>
                  </w:r>
                  <w:r>
                    <w:rPr>
                      <w:color w:val="auto"/>
                      <w:highlight w:val="none"/>
                    </w:rPr>
                    <w:t>废料（渣、液）应按照第</w:t>
                  </w:r>
                  <w:r>
                    <w:rPr>
                      <w:rFonts w:eastAsia="TimesNewRomanPSMT"/>
                      <w:color w:val="auto"/>
                      <w:highlight w:val="none"/>
                    </w:rPr>
                    <w:t>5</w:t>
                  </w:r>
                  <w:r>
                    <w:rPr>
                      <w:color w:val="auto"/>
                      <w:highlight w:val="none"/>
                    </w:rPr>
                    <w:t>章、第</w:t>
                  </w:r>
                  <w:r>
                    <w:rPr>
                      <w:rFonts w:eastAsia="TimesNewRomanPSMT"/>
                      <w:color w:val="auto"/>
                      <w:highlight w:val="none"/>
                    </w:rPr>
                    <w:t>6</w:t>
                  </w:r>
                  <w:r>
                    <w:rPr>
                      <w:color w:val="auto"/>
                      <w:highlight w:val="none"/>
                    </w:rPr>
                    <w:t>章的要求进行储存、转移和输送。盛装过</w:t>
                  </w:r>
                  <w:r>
                    <w:rPr>
                      <w:rFonts w:eastAsia="TimesNewRomanPSMT"/>
                      <w:color w:val="auto"/>
                      <w:highlight w:val="none"/>
                    </w:rPr>
                    <w:t>VOCs</w:t>
                  </w:r>
                  <w:r>
                    <w:rPr>
                      <w:color w:val="auto"/>
                      <w:highlight w:val="none"/>
                    </w:rPr>
                    <w:t>物料的废包装容器应加盖密闭。</w:t>
                  </w:r>
                </w:p>
              </w:tc>
              <w:tc>
                <w:tcPr>
                  <w:tcW w:w="1587" w:type="dxa"/>
                  <w:noWrap w:val="0"/>
                  <w:vAlign w:val="center"/>
                </w:tcPr>
                <w:p w14:paraId="65FF41EF">
                  <w:pPr>
                    <w:keepNext w:val="0"/>
                    <w:keepLines w:val="0"/>
                    <w:pageBreakBefore w:val="0"/>
                    <w:widowControl w:val="0"/>
                    <w:kinsoku/>
                    <w:wordWrap/>
                    <w:overflowPunct/>
                    <w:topLinePunct w:val="0"/>
                    <w:autoSpaceDE/>
                    <w:autoSpaceDN/>
                    <w:bidi w:val="0"/>
                    <w:adjustRightInd w:val="0"/>
                    <w:snapToGrid w:val="0"/>
                    <w:jc w:val="both"/>
                    <w:textAlignment w:val="auto"/>
                    <w:rPr>
                      <w:color w:val="auto"/>
                      <w:highlight w:val="none"/>
                    </w:rPr>
                  </w:pPr>
                  <w:r>
                    <w:rPr>
                      <w:color w:val="auto"/>
                      <w:highlight w:val="none"/>
                    </w:rPr>
                    <w:t>本项目按照规定建立台账并按要求记录、保存。</w:t>
                  </w:r>
                </w:p>
                <w:p w14:paraId="02B2D00E">
                  <w:pPr>
                    <w:keepNext w:val="0"/>
                    <w:keepLines w:val="0"/>
                    <w:pageBreakBefore w:val="0"/>
                    <w:widowControl w:val="0"/>
                    <w:kinsoku/>
                    <w:wordWrap/>
                    <w:overflowPunct/>
                    <w:topLinePunct w:val="0"/>
                    <w:autoSpaceDE/>
                    <w:autoSpaceDN/>
                    <w:bidi w:val="0"/>
                    <w:adjustRightInd w:val="0"/>
                    <w:snapToGrid w:val="0"/>
                    <w:jc w:val="both"/>
                    <w:textAlignment w:val="auto"/>
                    <w:rPr>
                      <w:color w:val="auto"/>
                      <w:highlight w:val="none"/>
                    </w:rPr>
                  </w:pPr>
                  <w:r>
                    <w:rPr>
                      <w:color w:val="auto"/>
                      <w:highlight w:val="none"/>
                    </w:rPr>
                    <w:t>本项目在通风生产设备、操作工位、车间厂房等应在符合安全生产、职业卫生相关规定的前提下，根据行业作业规程与标准、工业建筑及洁净厂房通风设计规范等的要求，采用合理的通风量。</w:t>
                  </w:r>
                </w:p>
                <w:p w14:paraId="41EDC0E7">
                  <w:pPr>
                    <w:keepNext w:val="0"/>
                    <w:keepLines w:val="0"/>
                    <w:pageBreakBefore w:val="0"/>
                    <w:widowControl w:val="0"/>
                    <w:kinsoku/>
                    <w:wordWrap/>
                    <w:overflowPunct/>
                    <w:topLinePunct w:val="0"/>
                    <w:autoSpaceDE/>
                    <w:autoSpaceDN/>
                    <w:bidi w:val="0"/>
                    <w:adjustRightInd w:val="0"/>
                    <w:snapToGrid w:val="0"/>
                    <w:jc w:val="both"/>
                    <w:textAlignment w:val="auto"/>
                    <w:rPr>
                      <w:color w:val="auto"/>
                      <w:highlight w:val="none"/>
                    </w:rPr>
                  </w:pPr>
                  <w:r>
                    <w:rPr>
                      <w:color w:val="auto"/>
                      <w:highlight w:val="none"/>
                    </w:rPr>
                    <w:t>本项目</w:t>
                  </w:r>
                  <w:r>
                    <w:rPr>
                      <w:rFonts w:hint="eastAsia"/>
                      <w:color w:val="auto"/>
                      <w:highlight w:val="none"/>
                      <w:lang w:val="en-US" w:eastAsia="zh-CN"/>
                    </w:rPr>
                    <w:t>光学专用胶</w:t>
                  </w:r>
                  <w:r>
                    <w:rPr>
                      <w:rFonts w:hint="eastAsia"/>
                      <w:color w:val="auto"/>
                      <w:highlight w:val="none"/>
                    </w:rPr>
                    <w:t>、</w:t>
                  </w:r>
                  <w:r>
                    <w:rPr>
                      <w:rFonts w:hint="eastAsia"/>
                      <w:color w:val="auto"/>
                      <w:highlight w:val="none"/>
                      <w:lang w:val="en-US" w:eastAsia="zh-CN"/>
                    </w:rPr>
                    <w:t>清洗剂</w:t>
                  </w:r>
                  <w:r>
                    <w:rPr>
                      <w:color w:val="auto"/>
                      <w:highlight w:val="none"/>
                    </w:rPr>
                    <w:t>等储存在密闭包装桶中，存放于原料仓库中。</w:t>
                  </w:r>
                </w:p>
              </w:tc>
              <w:tc>
                <w:tcPr>
                  <w:tcW w:w="730" w:type="dxa"/>
                  <w:noWrap w:val="0"/>
                  <w:vAlign w:val="center"/>
                </w:tcPr>
                <w:p w14:paraId="31334FF1">
                  <w:pPr>
                    <w:keepNext w:val="0"/>
                    <w:keepLines w:val="0"/>
                    <w:pageBreakBefore w:val="0"/>
                    <w:widowControl/>
                    <w:kinsoku/>
                    <w:wordWrap/>
                    <w:overflowPunct/>
                    <w:topLinePunct w:val="0"/>
                    <w:autoSpaceDE/>
                    <w:autoSpaceDN/>
                    <w:bidi w:val="0"/>
                    <w:adjustRightInd w:val="0"/>
                    <w:snapToGrid w:val="0"/>
                    <w:jc w:val="center"/>
                    <w:textAlignment w:val="auto"/>
                    <w:rPr>
                      <w:color w:val="auto"/>
                      <w:highlight w:val="none"/>
                    </w:rPr>
                  </w:pPr>
                  <w:r>
                    <w:rPr>
                      <w:color w:val="auto"/>
                      <w:highlight w:val="none"/>
                    </w:rPr>
                    <w:t>相符</w:t>
                  </w:r>
                </w:p>
              </w:tc>
            </w:tr>
            <w:tr w14:paraId="53E154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876" w:type="dxa"/>
                  <w:vMerge w:val="restart"/>
                  <w:noWrap w:val="0"/>
                  <w:vAlign w:val="center"/>
                </w:tcPr>
                <w:p w14:paraId="026A3834">
                  <w:pPr>
                    <w:keepNext w:val="0"/>
                    <w:keepLines w:val="0"/>
                    <w:pageBreakBefore w:val="0"/>
                    <w:kinsoku/>
                    <w:wordWrap/>
                    <w:overflowPunct/>
                    <w:topLinePunct w:val="0"/>
                    <w:autoSpaceDE/>
                    <w:autoSpaceDN/>
                    <w:bidi w:val="0"/>
                    <w:adjustRightInd w:val="0"/>
                    <w:snapToGrid w:val="0"/>
                    <w:jc w:val="center"/>
                    <w:textAlignment w:val="auto"/>
                    <w:rPr>
                      <w:color w:val="auto"/>
                      <w:highlight w:val="none"/>
                    </w:rPr>
                  </w:pPr>
                  <w:r>
                    <w:rPr>
                      <w:rFonts w:eastAsia="TimesNewRomanPSMT"/>
                      <w:color w:val="auto"/>
                      <w:highlight w:val="none"/>
                    </w:rPr>
                    <w:t>VOCs</w:t>
                  </w:r>
                  <w:r>
                    <w:rPr>
                      <w:color w:val="auto"/>
                      <w:highlight w:val="none"/>
                    </w:rPr>
                    <w:t>无组织排放废气收集处理系统要求</w:t>
                  </w:r>
                </w:p>
              </w:tc>
              <w:tc>
                <w:tcPr>
                  <w:tcW w:w="830" w:type="dxa"/>
                  <w:noWrap w:val="0"/>
                  <w:vAlign w:val="center"/>
                </w:tcPr>
                <w:p w14:paraId="43F937C3">
                  <w:pPr>
                    <w:keepNext w:val="0"/>
                    <w:keepLines w:val="0"/>
                    <w:pageBreakBefore w:val="0"/>
                    <w:kinsoku/>
                    <w:wordWrap/>
                    <w:overflowPunct/>
                    <w:topLinePunct w:val="0"/>
                    <w:autoSpaceDE/>
                    <w:autoSpaceDN/>
                    <w:bidi w:val="0"/>
                    <w:adjustRightInd w:val="0"/>
                    <w:snapToGrid w:val="0"/>
                    <w:jc w:val="center"/>
                    <w:textAlignment w:val="auto"/>
                    <w:rPr>
                      <w:color w:val="auto"/>
                      <w:highlight w:val="none"/>
                    </w:rPr>
                  </w:pPr>
                  <w:r>
                    <w:rPr>
                      <w:color w:val="auto"/>
                      <w:highlight w:val="none"/>
                    </w:rPr>
                    <w:t>基本要求</w:t>
                  </w:r>
                </w:p>
              </w:tc>
              <w:tc>
                <w:tcPr>
                  <w:tcW w:w="4068" w:type="dxa"/>
                  <w:noWrap w:val="0"/>
                  <w:vAlign w:val="center"/>
                </w:tcPr>
                <w:p w14:paraId="6B1F9238">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10.1.1</w:t>
                  </w:r>
                  <w:r>
                    <w:rPr>
                      <w:color w:val="auto"/>
                      <w:highlight w:val="none"/>
                    </w:rPr>
                    <w:t>针对</w:t>
                  </w:r>
                  <w:r>
                    <w:rPr>
                      <w:rFonts w:eastAsia="TimesNewRomanPSMT"/>
                      <w:color w:val="auto"/>
                      <w:highlight w:val="none"/>
                    </w:rPr>
                    <w:t>VOCs</w:t>
                  </w:r>
                  <w:r>
                    <w:rPr>
                      <w:color w:val="auto"/>
                      <w:highlight w:val="none"/>
                    </w:rPr>
                    <w:t>无组织排放设置的废气收集处理系统应满足本章要求。</w:t>
                  </w:r>
                </w:p>
                <w:p w14:paraId="48434DA8">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10.1.2VOCs</w:t>
                  </w:r>
                  <w:r>
                    <w:rPr>
                      <w:color w:val="auto"/>
                      <w:highlight w:val="none"/>
                    </w:rPr>
                    <w:t>废气收集处理系统应与生产工艺设备同步运行。</w:t>
                  </w:r>
                  <w:r>
                    <w:rPr>
                      <w:rFonts w:eastAsia="TimesNewRomanPSMT"/>
                      <w:color w:val="auto"/>
                      <w:highlight w:val="none"/>
                    </w:rPr>
                    <w:t>VOCs</w:t>
                  </w:r>
                  <w:r>
                    <w:rPr>
                      <w:color w:val="auto"/>
                      <w:highlight w:val="none"/>
                    </w:rPr>
                    <w:t>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587" w:type="dxa"/>
                  <w:vMerge w:val="restart"/>
                  <w:noWrap w:val="0"/>
                  <w:vAlign w:val="center"/>
                </w:tcPr>
                <w:p w14:paraId="35F86751">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color w:val="auto"/>
                      <w:highlight w:val="none"/>
                    </w:rPr>
                    <w:t>本项目微量有机废气车间无组织排放</w:t>
                  </w:r>
                  <w:r>
                    <w:rPr>
                      <w:rFonts w:hint="eastAsia"/>
                      <w:color w:val="auto"/>
                      <w:highlight w:val="none"/>
                    </w:rPr>
                    <w:t>，NMHC初始排放速率远小于2kg/h</w:t>
                  </w:r>
                  <w:r>
                    <w:rPr>
                      <w:color w:val="auto"/>
                      <w:highlight w:val="none"/>
                    </w:rPr>
                    <w:t>。</w:t>
                  </w:r>
                </w:p>
              </w:tc>
              <w:tc>
                <w:tcPr>
                  <w:tcW w:w="730" w:type="dxa"/>
                  <w:noWrap w:val="0"/>
                  <w:vAlign w:val="center"/>
                </w:tcPr>
                <w:p w14:paraId="01BC6CF7">
                  <w:pPr>
                    <w:keepNext w:val="0"/>
                    <w:keepLines w:val="0"/>
                    <w:pageBreakBefore w:val="0"/>
                    <w:widowControl/>
                    <w:kinsoku/>
                    <w:wordWrap/>
                    <w:overflowPunct/>
                    <w:topLinePunct w:val="0"/>
                    <w:autoSpaceDE/>
                    <w:autoSpaceDN/>
                    <w:bidi w:val="0"/>
                    <w:adjustRightInd w:val="0"/>
                    <w:snapToGrid w:val="0"/>
                    <w:jc w:val="center"/>
                    <w:textAlignment w:val="auto"/>
                    <w:rPr>
                      <w:color w:val="auto"/>
                      <w:highlight w:val="none"/>
                    </w:rPr>
                  </w:pPr>
                  <w:r>
                    <w:rPr>
                      <w:color w:val="auto"/>
                      <w:highlight w:val="none"/>
                    </w:rPr>
                    <w:t>相符</w:t>
                  </w:r>
                </w:p>
              </w:tc>
            </w:tr>
            <w:tr w14:paraId="6CC7DB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876" w:type="dxa"/>
                  <w:vMerge w:val="continue"/>
                  <w:noWrap w:val="0"/>
                  <w:vAlign w:val="center"/>
                </w:tcPr>
                <w:p w14:paraId="118727F7">
                  <w:pPr>
                    <w:keepNext w:val="0"/>
                    <w:keepLines w:val="0"/>
                    <w:pageBreakBefore w:val="0"/>
                    <w:kinsoku/>
                    <w:wordWrap/>
                    <w:overflowPunct/>
                    <w:topLinePunct w:val="0"/>
                    <w:autoSpaceDE/>
                    <w:autoSpaceDN/>
                    <w:bidi w:val="0"/>
                    <w:adjustRightInd w:val="0"/>
                    <w:snapToGrid w:val="0"/>
                    <w:jc w:val="center"/>
                    <w:textAlignment w:val="auto"/>
                    <w:rPr>
                      <w:color w:val="auto"/>
                      <w:highlight w:val="none"/>
                    </w:rPr>
                  </w:pPr>
                </w:p>
              </w:tc>
              <w:tc>
                <w:tcPr>
                  <w:tcW w:w="830" w:type="dxa"/>
                  <w:noWrap w:val="0"/>
                  <w:vAlign w:val="center"/>
                </w:tcPr>
                <w:p w14:paraId="0B75453B">
                  <w:pPr>
                    <w:keepNext w:val="0"/>
                    <w:keepLines w:val="0"/>
                    <w:pageBreakBefore w:val="0"/>
                    <w:kinsoku/>
                    <w:wordWrap/>
                    <w:overflowPunct/>
                    <w:topLinePunct w:val="0"/>
                    <w:autoSpaceDE/>
                    <w:autoSpaceDN/>
                    <w:bidi w:val="0"/>
                    <w:adjustRightInd w:val="0"/>
                    <w:snapToGrid w:val="0"/>
                    <w:jc w:val="center"/>
                    <w:textAlignment w:val="auto"/>
                    <w:rPr>
                      <w:color w:val="auto"/>
                      <w:highlight w:val="none"/>
                    </w:rPr>
                  </w:pPr>
                  <w:r>
                    <w:rPr>
                      <w:color w:val="auto"/>
                      <w:highlight w:val="none"/>
                    </w:rPr>
                    <w:t>废气收集系统</w:t>
                  </w:r>
                </w:p>
                <w:p w14:paraId="5F7B9A3F">
                  <w:pPr>
                    <w:keepNext w:val="0"/>
                    <w:keepLines w:val="0"/>
                    <w:pageBreakBefore w:val="0"/>
                    <w:kinsoku/>
                    <w:wordWrap/>
                    <w:overflowPunct/>
                    <w:topLinePunct w:val="0"/>
                    <w:autoSpaceDE/>
                    <w:autoSpaceDN/>
                    <w:bidi w:val="0"/>
                    <w:adjustRightInd w:val="0"/>
                    <w:snapToGrid w:val="0"/>
                    <w:jc w:val="center"/>
                    <w:textAlignment w:val="auto"/>
                    <w:rPr>
                      <w:color w:val="auto"/>
                      <w:highlight w:val="none"/>
                    </w:rPr>
                  </w:pPr>
                  <w:r>
                    <w:rPr>
                      <w:color w:val="auto"/>
                      <w:highlight w:val="none"/>
                    </w:rPr>
                    <w:t>要求</w:t>
                  </w:r>
                </w:p>
              </w:tc>
              <w:tc>
                <w:tcPr>
                  <w:tcW w:w="4068" w:type="dxa"/>
                  <w:noWrap w:val="0"/>
                  <w:vAlign w:val="center"/>
                </w:tcPr>
                <w:p w14:paraId="2D2D0573">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10.2.1</w:t>
                  </w:r>
                  <w:r>
                    <w:rPr>
                      <w:color w:val="auto"/>
                      <w:highlight w:val="none"/>
                    </w:rPr>
                    <w:t>企业应考虑生产工艺、操作方式、废气性质、处理方法等因素，对</w:t>
                  </w:r>
                  <w:r>
                    <w:rPr>
                      <w:rFonts w:eastAsia="TimesNewRomanPSMT"/>
                      <w:color w:val="auto"/>
                      <w:highlight w:val="none"/>
                    </w:rPr>
                    <w:t>VOCs</w:t>
                  </w:r>
                  <w:r>
                    <w:rPr>
                      <w:color w:val="auto"/>
                      <w:highlight w:val="none"/>
                    </w:rPr>
                    <w:t>废气进行分类收集。</w:t>
                  </w:r>
                </w:p>
                <w:p w14:paraId="0E0DA9C2">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 xml:space="preserve">10.2.2 </w:t>
                  </w:r>
                  <w:r>
                    <w:rPr>
                      <w:color w:val="auto"/>
                      <w:highlight w:val="none"/>
                    </w:rPr>
                    <w:t>废气收集系统排风罩（集气罩）的设置应符合</w:t>
                  </w:r>
                  <w:r>
                    <w:rPr>
                      <w:rFonts w:eastAsia="TimesNewRomanPSMT"/>
                      <w:color w:val="auto"/>
                      <w:highlight w:val="none"/>
                    </w:rPr>
                    <w:t xml:space="preserve">GB/T 16758 </w:t>
                  </w:r>
                  <w:r>
                    <w:rPr>
                      <w:color w:val="auto"/>
                      <w:highlight w:val="none"/>
                    </w:rPr>
                    <w:t>的规定。采用外部排风罩的，应按</w:t>
                  </w:r>
                  <w:r>
                    <w:rPr>
                      <w:rFonts w:eastAsia="TimesNewRomanPSMT"/>
                      <w:color w:val="auto"/>
                      <w:highlight w:val="none"/>
                    </w:rPr>
                    <w:t>GB/T 16758</w:t>
                  </w:r>
                  <w:r>
                    <w:rPr>
                      <w:color w:val="auto"/>
                      <w:highlight w:val="none"/>
                    </w:rPr>
                    <w:t>、</w:t>
                  </w:r>
                  <w:r>
                    <w:rPr>
                      <w:rFonts w:eastAsia="TimesNewRomanPSMT"/>
                      <w:color w:val="auto"/>
                      <w:highlight w:val="none"/>
                    </w:rPr>
                    <w:t xml:space="preserve">AQ/T 4274—2016 </w:t>
                  </w:r>
                  <w:r>
                    <w:rPr>
                      <w:color w:val="auto"/>
                      <w:highlight w:val="none"/>
                    </w:rPr>
                    <w:t>规定的方法测量控制风速，测量点应选取在距排风罩开口面最远处的</w:t>
                  </w:r>
                  <w:r>
                    <w:rPr>
                      <w:rFonts w:eastAsia="TimesNewRomanPSMT"/>
                      <w:color w:val="auto"/>
                      <w:highlight w:val="none"/>
                    </w:rPr>
                    <w:t>VOCs</w:t>
                  </w:r>
                  <w:r>
                    <w:rPr>
                      <w:color w:val="auto"/>
                      <w:highlight w:val="none"/>
                    </w:rPr>
                    <w:t>无组织排放位置，控制风速不应低于</w:t>
                  </w:r>
                  <w:r>
                    <w:rPr>
                      <w:rFonts w:eastAsia="TimesNewRomanPSMT"/>
                      <w:color w:val="auto"/>
                      <w:highlight w:val="none"/>
                    </w:rPr>
                    <w:t>0.3m/s</w:t>
                  </w:r>
                  <w:r>
                    <w:rPr>
                      <w:color w:val="auto"/>
                      <w:highlight w:val="none"/>
                    </w:rPr>
                    <w:t>（行业相关规范有具体规定的，按相关规定执行）。</w:t>
                  </w:r>
                </w:p>
                <w:p w14:paraId="0E170F0D">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 xml:space="preserve">10.2.3 </w:t>
                  </w:r>
                  <w:r>
                    <w:rPr>
                      <w:color w:val="auto"/>
                      <w:highlight w:val="none"/>
                    </w:rPr>
                    <w:t>废气收集系统的输送管道应密闭。废气收集系统应在负压下运行，若处于正压状态，应对输送管道组件的密封点进行泄漏检测，泄漏检测值不应超过</w:t>
                  </w:r>
                  <w:r>
                    <w:rPr>
                      <w:rFonts w:eastAsia="TimesNewRomanPSMT"/>
                      <w:color w:val="auto"/>
                      <w:highlight w:val="none"/>
                    </w:rPr>
                    <w:t>500mol/mol</w:t>
                  </w:r>
                  <w:r>
                    <w:rPr>
                      <w:color w:val="auto"/>
                      <w:highlight w:val="none"/>
                    </w:rPr>
                    <w:t>，亦不应有感官可察觉泄漏。泄漏检测频次、修复与记录的要求按照第</w:t>
                  </w:r>
                  <w:r>
                    <w:rPr>
                      <w:rFonts w:eastAsia="TimesNewRomanPSMT"/>
                      <w:color w:val="auto"/>
                      <w:highlight w:val="none"/>
                    </w:rPr>
                    <w:t>8</w:t>
                  </w:r>
                  <w:r>
                    <w:rPr>
                      <w:color w:val="auto"/>
                      <w:highlight w:val="none"/>
                    </w:rPr>
                    <w:t>章规定执行。</w:t>
                  </w:r>
                </w:p>
              </w:tc>
              <w:tc>
                <w:tcPr>
                  <w:tcW w:w="1587" w:type="dxa"/>
                  <w:vMerge w:val="continue"/>
                  <w:noWrap w:val="0"/>
                  <w:vAlign w:val="center"/>
                </w:tcPr>
                <w:p w14:paraId="7EF90F45">
                  <w:pPr>
                    <w:keepNext w:val="0"/>
                    <w:keepLines w:val="0"/>
                    <w:pageBreakBefore w:val="0"/>
                    <w:kinsoku/>
                    <w:wordWrap/>
                    <w:overflowPunct/>
                    <w:topLinePunct w:val="0"/>
                    <w:autoSpaceDE/>
                    <w:autoSpaceDN/>
                    <w:bidi w:val="0"/>
                    <w:adjustRightInd w:val="0"/>
                    <w:snapToGrid w:val="0"/>
                    <w:jc w:val="left"/>
                    <w:textAlignment w:val="auto"/>
                    <w:rPr>
                      <w:rFonts w:eastAsia="TimesNewRomanPSMT"/>
                      <w:color w:val="auto"/>
                      <w:highlight w:val="none"/>
                    </w:rPr>
                  </w:pPr>
                </w:p>
              </w:tc>
              <w:tc>
                <w:tcPr>
                  <w:tcW w:w="730" w:type="dxa"/>
                  <w:noWrap w:val="0"/>
                  <w:vAlign w:val="center"/>
                </w:tcPr>
                <w:p w14:paraId="09D97D03">
                  <w:pPr>
                    <w:keepNext w:val="0"/>
                    <w:keepLines w:val="0"/>
                    <w:pageBreakBefore w:val="0"/>
                    <w:widowControl/>
                    <w:kinsoku/>
                    <w:wordWrap/>
                    <w:overflowPunct/>
                    <w:topLinePunct w:val="0"/>
                    <w:autoSpaceDE/>
                    <w:autoSpaceDN/>
                    <w:bidi w:val="0"/>
                    <w:adjustRightInd w:val="0"/>
                    <w:snapToGrid w:val="0"/>
                    <w:jc w:val="center"/>
                    <w:textAlignment w:val="auto"/>
                    <w:rPr>
                      <w:color w:val="auto"/>
                      <w:highlight w:val="none"/>
                    </w:rPr>
                  </w:pPr>
                  <w:r>
                    <w:rPr>
                      <w:color w:val="auto"/>
                      <w:highlight w:val="none"/>
                    </w:rPr>
                    <w:t>相符</w:t>
                  </w:r>
                </w:p>
              </w:tc>
            </w:tr>
            <w:tr w14:paraId="1C8449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876" w:type="dxa"/>
                  <w:vMerge w:val="continue"/>
                  <w:noWrap w:val="0"/>
                  <w:vAlign w:val="center"/>
                </w:tcPr>
                <w:p w14:paraId="1780ABB1">
                  <w:pPr>
                    <w:keepNext w:val="0"/>
                    <w:keepLines w:val="0"/>
                    <w:pageBreakBefore w:val="0"/>
                    <w:kinsoku/>
                    <w:wordWrap/>
                    <w:overflowPunct/>
                    <w:topLinePunct w:val="0"/>
                    <w:autoSpaceDE/>
                    <w:autoSpaceDN/>
                    <w:bidi w:val="0"/>
                    <w:adjustRightInd w:val="0"/>
                    <w:snapToGrid w:val="0"/>
                    <w:jc w:val="center"/>
                    <w:textAlignment w:val="auto"/>
                    <w:rPr>
                      <w:color w:val="auto"/>
                      <w:highlight w:val="none"/>
                    </w:rPr>
                  </w:pPr>
                </w:p>
              </w:tc>
              <w:tc>
                <w:tcPr>
                  <w:tcW w:w="830" w:type="dxa"/>
                  <w:noWrap w:val="0"/>
                  <w:vAlign w:val="center"/>
                </w:tcPr>
                <w:p w14:paraId="49AD5000">
                  <w:pPr>
                    <w:keepNext w:val="0"/>
                    <w:keepLines w:val="0"/>
                    <w:pageBreakBefore w:val="0"/>
                    <w:kinsoku/>
                    <w:wordWrap/>
                    <w:overflowPunct/>
                    <w:topLinePunct w:val="0"/>
                    <w:autoSpaceDE/>
                    <w:autoSpaceDN/>
                    <w:bidi w:val="0"/>
                    <w:adjustRightInd w:val="0"/>
                    <w:snapToGrid w:val="0"/>
                    <w:jc w:val="center"/>
                    <w:textAlignment w:val="auto"/>
                    <w:rPr>
                      <w:rFonts w:eastAsia="TimesNewRomanPSMT"/>
                      <w:color w:val="auto"/>
                      <w:highlight w:val="none"/>
                    </w:rPr>
                  </w:pPr>
                  <w:r>
                    <w:rPr>
                      <w:rFonts w:eastAsia="TimesNewRomanPSMT"/>
                      <w:color w:val="auto"/>
                      <w:highlight w:val="none"/>
                    </w:rPr>
                    <w:t>VOCs</w:t>
                  </w:r>
                </w:p>
                <w:p w14:paraId="66708B40">
                  <w:pPr>
                    <w:keepNext w:val="0"/>
                    <w:keepLines w:val="0"/>
                    <w:pageBreakBefore w:val="0"/>
                    <w:kinsoku/>
                    <w:wordWrap/>
                    <w:overflowPunct/>
                    <w:topLinePunct w:val="0"/>
                    <w:autoSpaceDE/>
                    <w:autoSpaceDN/>
                    <w:bidi w:val="0"/>
                    <w:adjustRightInd w:val="0"/>
                    <w:snapToGrid w:val="0"/>
                    <w:jc w:val="center"/>
                    <w:textAlignment w:val="auto"/>
                    <w:rPr>
                      <w:color w:val="auto"/>
                      <w:highlight w:val="none"/>
                    </w:rPr>
                  </w:pPr>
                  <w:r>
                    <w:rPr>
                      <w:color w:val="auto"/>
                      <w:highlight w:val="none"/>
                    </w:rPr>
                    <w:t>排放</w:t>
                  </w:r>
                </w:p>
                <w:p w14:paraId="28212F26">
                  <w:pPr>
                    <w:keepNext w:val="0"/>
                    <w:keepLines w:val="0"/>
                    <w:pageBreakBefore w:val="0"/>
                    <w:kinsoku/>
                    <w:wordWrap/>
                    <w:overflowPunct/>
                    <w:topLinePunct w:val="0"/>
                    <w:autoSpaceDE/>
                    <w:autoSpaceDN/>
                    <w:bidi w:val="0"/>
                    <w:adjustRightInd w:val="0"/>
                    <w:snapToGrid w:val="0"/>
                    <w:jc w:val="center"/>
                    <w:textAlignment w:val="auto"/>
                    <w:rPr>
                      <w:color w:val="auto"/>
                      <w:highlight w:val="none"/>
                    </w:rPr>
                  </w:pPr>
                  <w:r>
                    <w:rPr>
                      <w:color w:val="auto"/>
                      <w:highlight w:val="none"/>
                    </w:rPr>
                    <w:t>控制</w:t>
                  </w:r>
                </w:p>
                <w:p w14:paraId="2C3BCFFF">
                  <w:pPr>
                    <w:keepNext w:val="0"/>
                    <w:keepLines w:val="0"/>
                    <w:pageBreakBefore w:val="0"/>
                    <w:kinsoku/>
                    <w:wordWrap/>
                    <w:overflowPunct/>
                    <w:topLinePunct w:val="0"/>
                    <w:autoSpaceDE/>
                    <w:autoSpaceDN/>
                    <w:bidi w:val="0"/>
                    <w:adjustRightInd w:val="0"/>
                    <w:snapToGrid w:val="0"/>
                    <w:jc w:val="center"/>
                    <w:textAlignment w:val="auto"/>
                    <w:rPr>
                      <w:color w:val="auto"/>
                      <w:highlight w:val="none"/>
                    </w:rPr>
                  </w:pPr>
                  <w:r>
                    <w:rPr>
                      <w:color w:val="auto"/>
                      <w:highlight w:val="none"/>
                    </w:rPr>
                    <w:t>要</w:t>
                  </w:r>
                </w:p>
              </w:tc>
              <w:tc>
                <w:tcPr>
                  <w:tcW w:w="4068" w:type="dxa"/>
                  <w:noWrap w:val="0"/>
                  <w:vAlign w:val="center"/>
                </w:tcPr>
                <w:p w14:paraId="26FED8B8">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10.3.1VOCs</w:t>
                  </w:r>
                  <w:r>
                    <w:rPr>
                      <w:color w:val="auto"/>
                      <w:highlight w:val="none"/>
                    </w:rPr>
                    <w:t>废气收集处理系统污染物排放应符合</w:t>
                  </w:r>
                  <w:r>
                    <w:rPr>
                      <w:rFonts w:eastAsia="TimesNewRomanPSMT"/>
                      <w:color w:val="auto"/>
                      <w:highlight w:val="none"/>
                    </w:rPr>
                    <w:t>GB16297</w:t>
                  </w:r>
                  <w:r>
                    <w:rPr>
                      <w:color w:val="auto"/>
                      <w:highlight w:val="none"/>
                    </w:rPr>
                    <w:t>或相关行业排放标准的规定。</w:t>
                  </w:r>
                </w:p>
                <w:p w14:paraId="6A101230">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10.3.2</w:t>
                  </w:r>
                  <w:r>
                    <w:rPr>
                      <w:color w:val="auto"/>
                      <w:highlight w:val="none"/>
                    </w:rPr>
                    <w:t>收集的废气中</w:t>
                  </w:r>
                  <w:r>
                    <w:rPr>
                      <w:rFonts w:eastAsia="TimesNewRomanPSMT"/>
                      <w:color w:val="auto"/>
                      <w:highlight w:val="none"/>
                    </w:rPr>
                    <w:t>NMHC</w:t>
                  </w:r>
                  <w:r>
                    <w:rPr>
                      <w:color w:val="auto"/>
                      <w:highlight w:val="none"/>
                    </w:rPr>
                    <w:t>初始排放速率</w:t>
                  </w:r>
                  <w:r>
                    <w:rPr>
                      <w:rFonts w:eastAsia="TimesNewRomanPSMT"/>
                      <w:color w:val="auto"/>
                      <w:highlight w:val="none"/>
                    </w:rPr>
                    <w:t>≥3kg/h</w:t>
                  </w:r>
                  <w:r>
                    <w:rPr>
                      <w:color w:val="auto"/>
                      <w:highlight w:val="none"/>
                    </w:rPr>
                    <w:t>时，应配置</w:t>
                  </w:r>
                  <w:r>
                    <w:rPr>
                      <w:rFonts w:eastAsia="TimesNewRomanPSMT"/>
                      <w:color w:val="auto"/>
                      <w:highlight w:val="none"/>
                    </w:rPr>
                    <w:t>VOCs</w:t>
                  </w:r>
                  <w:r>
                    <w:rPr>
                      <w:color w:val="auto"/>
                      <w:highlight w:val="none"/>
                    </w:rPr>
                    <w:t>处理设施，处理效率不应低于</w:t>
                  </w:r>
                  <w:r>
                    <w:rPr>
                      <w:rFonts w:eastAsia="TimesNewRomanPSMT"/>
                      <w:color w:val="auto"/>
                      <w:highlight w:val="none"/>
                    </w:rPr>
                    <w:t>80%</w:t>
                  </w:r>
                  <w:r>
                    <w:rPr>
                      <w:color w:val="auto"/>
                      <w:highlight w:val="none"/>
                    </w:rPr>
                    <w:t>；对于重点地区，收集的废气中</w:t>
                  </w:r>
                  <w:r>
                    <w:rPr>
                      <w:rFonts w:eastAsia="TimesNewRomanPSMT"/>
                      <w:color w:val="auto"/>
                      <w:highlight w:val="none"/>
                    </w:rPr>
                    <w:t>NMHC</w:t>
                  </w:r>
                  <w:r>
                    <w:rPr>
                      <w:color w:val="auto"/>
                      <w:highlight w:val="none"/>
                    </w:rPr>
                    <w:t>初始排放速率</w:t>
                  </w:r>
                  <w:r>
                    <w:rPr>
                      <w:rFonts w:eastAsia="TimesNewRomanPSMT"/>
                      <w:color w:val="auto"/>
                      <w:highlight w:val="none"/>
                    </w:rPr>
                    <w:t>≥2kg/h</w:t>
                  </w:r>
                  <w:r>
                    <w:rPr>
                      <w:color w:val="auto"/>
                      <w:highlight w:val="none"/>
                    </w:rPr>
                    <w:t>时，应配置</w:t>
                  </w:r>
                  <w:r>
                    <w:rPr>
                      <w:rFonts w:eastAsia="TimesNewRomanPSMT"/>
                      <w:color w:val="auto"/>
                      <w:highlight w:val="none"/>
                    </w:rPr>
                    <w:t>VOCs</w:t>
                  </w:r>
                  <w:r>
                    <w:rPr>
                      <w:color w:val="auto"/>
                      <w:highlight w:val="none"/>
                    </w:rPr>
                    <w:t>处理设施，处理效率不应低于</w:t>
                  </w:r>
                  <w:r>
                    <w:rPr>
                      <w:rFonts w:eastAsia="TimesNewRomanPSMT"/>
                      <w:color w:val="auto"/>
                      <w:highlight w:val="none"/>
                    </w:rPr>
                    <w:t>80%</w:t>
                  </w:r>
                  <w:r>
                    <w:rPr>
                      <w:color w:val="auto"/>
                      <w:highlight w:val="none"/>
                    </w:rPr>
                    <w:t>；采用的原辅材料符合国家有关低</w:t>
                  </w:r>
                  <w:r>
                    <w:rPr>
                      <w:rFonts w:eastAsia="TimesNewRomanPSMT"/>
                      <w:color w:val="auto"/>
                      <w:highlight w:val="none"/>
                    </w:rPr>
                    <w:t>VOCs</w:t>
                  </w:r>
                  <w:r>
                    <w:rPr>
                      <w:color w:val="auto"/>
                      <w:highlight w:val="none"/>
                    </w:rPr>
                    <w:t>含量产品规定的除外。</w:t>
                  </w:r>
                </w:p>
                <w:p w14:paraId="4D9F2AAF">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r>
                    <w:rPr>
                      <w:rFonts w:eastAsia="TimesNewRomanPSMT"/>
                      <w:color w:val="auto"/>
                      <w:highlight w:val="none"/>
                    </w:rPr>
                    <w:t>10.3.4</w:t>
                  </w:r>
                  <w:r>
                    <w:rPr>
                      <w:color w:val="auto"/>
                      <w:highlight w:val="none"/>
                    </w:rPr>
                    <w:t>排气筒高度不低于</w:t>
                  </w:r>
                  <w:r>
                    <w:rPr>
                      <w:rFonts w:eastAsia="TimesNewRomanPSMT"/>
                      <w:color w:val="auto"/>
                      <w:highlight w:val="none"/>
                    </w:rPr>
                    <w:t>15m</w:t>
                  </w:r>
                  <w:r>
                    <w:rPr>
                      <w:color w:val="auto"/>
                      <w:highlight w:val="none"/>
                    </w:rPr>
                    <w:t>（因安全考虑或有特殊工艺要求的除外），具体高度以及与周围建筑物的相对高度关系应根据环境影响评价文件确定。</w:t>
                  </w:r>
                </w:p>
              </w:tc>
              <w:tc>
                <w:tcPr>
                  <w:tcW w:w="1587" w:type="dxa"/>
                  <w:vMerge w:val="continue"/>
                  <w:noWrap w:val="0"/>
                  <w:vAlign w:val="center"/>
                </w:tcPr>
                <w:p w14:paraId="254F6332">
                  <w:pPr>
                    <w:keepNext w:val="0"/>
                    <w:keepLines w:val="0"/>
                    <w:pageBreakBefore w:val="0"/>
                    <w:kinsoku/>
                    <w:wordWrap/>
                    <w:overflowPunct/>
                    <w:topLinePunct w:val="0"/>
                    <w:autoSpaceDE/>
                    <w:autoSpaceDN/>
                    <w:bidi w:val="0"/>
                    <w:adjustRightInd w:val="0"/>
                    <w:snapToGrid w:val="0"/>
                    <w:jc w:val="left"/>
                    <w:textAlignment w:val="auto"/>
                    <w:rPr>
                      <w:color w:val="auto"/>
                      <w:highlight w:val="none"/>
                    </w:rPr>
                  </w:pPr>
                </w:p>
              </w:tc>
              <w:tc>
                <w:tcPr>
                  <w:tcW w:w="730" w:type="dxa"/>
                  <w:noWrap w:val="0"/>
                  <w:vAlign w:val="center"/>
                </w:tcPr>
                <w:p w14:paraId="6D950EC5">
                  <w:pPr>
                    <w:keepNext w:val="0"/>
                    <w:keepLines w:val="0"/>
                    <w:pageBreakBefore w:val="0"/>
                    <w:widowControl/>
                    <w:kinsoku/>
                    <w:wordWrap/>
                    <w:overflowPunct/>
                    <w:topLinePunct w:val="0"/>
                    <w:autoSpaceDE/>
                    <w:autoSpaceDN/>
                    <w:bidi w:val="0"/>
                    <w:adjustRightInd w:val="0"/>
                    <w:snapToGrid w:val="0"/>
                    <w:jc w:val="center"/>
                    <w:textAlignment w:val="auto"/>
                    <w:rPr>
                      <w:color w:val="auto"/>
                      <w:highlight w:val="none"/>
                    </w:rPr>
                  </w:pPr>
                  <w:r>
                    <w:rPr>
                      <w:color w:val="auto"/>
                      <w:highlight w:val="none"/>
                    </w:rPr>
                    <w:t>相符</w:t>
                  </w:r>
                </w:p>
              </w:tc>
            </w:tr>
            <w:tr w14:paraId="1B38BC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876" w:type="dxa"/>
                  <w:vMerge w:val="continue"/>
                  <w:noWrap w:val="0"/>
                  <w:vAlign w:val="center"/>
                </w:tcPr>
                <w:p w14:paraId="1D5E833B">
                  <w:pPr>
                    <w:keepNext w:val="0"/>
                    <w:keepLines w:val="0"/>
                    <w:pageBreakBefore w:val="0"/>
                    <w:kinsoku/>
                    <w:wordWrap/>
                    <w:overflowPunct/>
                    <w:topLinePunct w:val="0"/>
                    <w:autoSpaceDE/>
                    <w:autoSpaceDN/>
                    <w:bidi w:val="0"/>
                    <w:adjustRightInd w:val="0"/>
                    <w:snapToGrid w:val="0"/>
                    <w:jc w:val="center"/>
                    <w:textAlignment w:val="auto"/>
                    <w:rPr>
                      <w:color w:val="auto"/>
                      <w:highlight w:val="none"/>
                    </w:rPr>
                  </w:pPr>
                </w:p>
              </w:tc>
              <w:tc>
                <w:tcPr>
                  <w:tcW w:w="830" w:type="dxa"/>
                  <w:noWrap w:val="0"/>
                  <w:vAlign w:val="center"/>
                </w:tcPr>
                <w:p w14:paraId="0E4F48DC">
                  <w:pPr>
                    <w:keepNext w:val="0"/>
                    <w:keepLines w:val="0"/>
                    <w:pageBreakBefore w:val="0"/>
                    <w:kinsoku/>
                    <w:wordWrap/>
                    <w:overflowPunct/>
                    <w:topLinePunct w:val="0"/>
                    <w:autoSpaceDE/>
                    <w:autoSpaceDN/>
                    <w:bidi w:val="0"/>
                    <w:adjustRightInd w:val="0"/>
                    <w:snapToGrid w:val="0"/>
                    <w:jc w:val="center"/>
                    <w:textAlignment w:val="auto"/>
                    <w:rPr>
                      <w:color w:val="auto"/>
                      <w:highlight w:val="none"/>
                    </w:rPr>
                  </w:pPr>
                  <w:r>
                    <w:rPr>
                      <w:color w:val="auto"/>
                      <w:highlight w:val="none"/>
                    </w:rPr>
                    <w:t>记录</w:t>
                  </w:r>
                </w:p>
                <w:p w14:paraId="7D301071">
                  <w:pPr>
                    <w:keepNext w:val="0"/>
                    <w:keepLines w:val="0"/>
                    <w:pageBreakBefore w:val="0"/>
                    <w:kinsoku/>
                    <w:wordWrap/>
                    <w:overflowPunct/>
                    <w:topLinePunct w:val="0"/>
                    <w:autoSpaceDE/>
                    <w:autoSpaceDN/>
                    <w:bidi w:val="0"/>
                    <w:adjustRightInd w:val="0"/>
                    <w:snapToGrid w:val="0"/>
                    <w:jc w:val="center"/>
                    <w:textAlignment w:val="auto"/>
                    <w:rPr>
                      <w:color w:val="auto"/>
                      <w:highlight w:val="none"/>
                    </w:rPr>
                  </w:pPr>
                  <w:r>
                    <w:rPr>
                      <w:color w:val="auto"/>
                      <w:highlight w:val="none"/>
                    </w:rPr>
                    <w:t>要求</w:t>
                  </w:r>
                </w:p>
              </w:tc>
              <w:tc>
                <w:tcPr>
                  <w:tcW w:w="4068" w:type="dxa"/>
                  <w:noWrap w:val="0"/>
                  <w:vAlign w:val="center"/>
                </w:tcPr>
                <w:p w14:paraId="21205F51">
                  <w:pPr>
                    <w:keepNext w:val="0"/>
                    <w:keepLines w:val="0"/>
                    <w:pageBreakBefore w:val="0"/>
                    <w:kinsoku/>
                    <w:wordWrap/>
                    <w:overflowPunct/>
                    <w:topLinePunct w:val="0"/>
                    <w:autoSpaceDE/>
                    <w:autoSpaceDN/>
                    <w:bidi w:val="0"/>
                    <w:adjustRightInd w:val="0"/>
                    <w:snapToGrid w:val="0"/>
                    <w:jc w:val="left"/>
                    <w:textAlignment w:val="auto"/>
                    <w:rPr>
                      <w:rFonts w:eastAsia="TimesNewRomanPSMT"/>
                      <w:color w:val="auto"/>
                      <w:highlight w:val="none"/>
                    </w:rPr>
                  </w:pPr>
                  <w:r>
                    <w:rPr>
                      <w:color w:val="auto"/>
                      <w:highlight w:val="none"/>
                    </w:rPr>
                    <w:t>企业应建立台账，记录废气收集系统、</w:t>
                  </w:r>
                  <w:r>
                    <w:rPr>
                      <w:rFonts w:eastAsia="TimesNewRomanPSMT"/>
                      <w:color w:val="auto"/>
                      <w:highlight w:val="none"/>
                    </w:rPr>
                    <w:t>VOCs</w:t>
                  </w:r>
                  <w:r>
                    <w:rPr>
                      <w:color w:val="auto"/>
                      <w:highlight w:val="none"/>
                    </w:rPr>
                    <w:t>处理设施的主要运行和维护信息，如运行时间、废气处理量、操作温度、停留时间、吸附剂再生</w:t>
                  </w:r>
                  <w:r>
                    <w:rPr>
                      <w:rFonts w:eastAsia="TimesNewRomanPSMT"/>
                      <w:color w:val="auto"/>
                      <w:highlight w:val="none"/>
                    </w:rPr>
                    <w:t>/</w:t>
                  </w:r>
                  <w:r>
                    <w:rPr>
                      <w:color w:val="auto"/>
                      <w:highlight w:val="none"/>
                    </w:rPr>
                    <w:t>更换周期和更换量、催化剂更换周期和更换量、吸收液</w:t>
                  </w:r>
                  <w:r>
                    <w:rPr>
                      <w:rFonts w:eastAsia="TimesNewRomanPSMT"/>
                      <w:color w:val="auto"/>
                      <w:highlight w:val="none"/>
                    </w:rPr>
                    <w:t>pH</w:t>
                  </w:r>
                  <w:r>
                    <w:rPr>
                      <w:color w:val="auto"/>
                      <w:highlight w:val="none"/>
                    </w:rPr>
                    <w:t>值等关键运行参数。台账保存期限不少于</w:t>
                  </w:r>
                  <w:r>
                    <w:rPr>
                      <w:rFonts w:eastAsia="TimesNewRomanPSMT"/>
                      <w:color w:val="auto"/>
                      <w:highlight w:val="none"/>
                    </w:rPr>
                    <w:t>3</w:t>
                  </w:r>
                  <w:r>
                    <w:rPr>
                      <w:color w:val="auto"/>
                      <w:highlight w:val="none"/>
                    </w:rPr>
                    <w:t>年。</w:t>
                  </w:r>
                </w:p>
              </w:tc>
              <w:tc>
                <w:tcPr>
                  <w:tcW w:w="1587" w:type="dxa"/>
                  <w:vMerge w:val="continue"/>
                  <w:noWrap w:val="0"/>
                  <w:vAlign w:val="center"/>
                </w:tcPr>
                <w:p w14:paraId="3165CB12">
                  <w:pPr>
                    <w:keepNext w:val="0"/>
                    <w:keepLines w:val="0"/>
                    <w:pageBreakBefore w:val="0"/>
                    <w:kinsoku/>
                    <w:wordWrap/>
                    <w:overflowPunct/>
                    <w:topLinePunct w:val="0"/>
                    <w:autoSpaceDE/>
                    <w:autoSpaceDN/>
                    <w:bidi w:val="0"/>
                    <w:adjustRightInd w:val="0"/>
                    <w:snapToGrid w:val="0"/>
                    <w:jc w:val="left"/>
                    <w:textAlignment w:val="auto"/>
                    <w:rPr>
                      <w:rFonts w:eastAsia="TimesNewRomanPSMT"/>
                      <w:color w:val="auto"/>
                      <w:highlight w:val="none"/>
                    </w:rPr>
                  </w:pPr>
                </w:p>
              </w:tc>
              <w:tc>
                <w:tcPr>
                  <w:tcW w:w="730" w:type="dxa"/>
                  <w:noWrap w:val="0"/>
                  <w:vAlign w:val="center"/>
                </w:tcPr>
                <w:p w14:paraId="16557FF1">
                  <w:pPr>
                    <w:keepNext w:val="0"/>
                    <w:keepLines w:val="0"/>
                    <w:pageBreakBefore w:val="0"/>
                    <w:widowControl/>
                    <w:kinsoku/>
                    <w:wordWrap/>
                    <w:overflowPunct/>
                    <w:topLinePunct w:val="0"/>
                    <w:autoSpaceDE/>
                    <w:autoSpaceDN/>
                    <w:bidi w:val="0"/>
                    <w:adjustRightInd w:val="0"/>
                    <w:snapToGrid w:val="0"/>
                    <w:jc w:val="center"/>
                    <w:textAlignment w:val="auto"/>
                    <w:rPr>
                      <w:color w:val="auto"/>
                      <w:highlight w:val="none"/>
                    </w:rPr>
                  </w:pPr>
                  <w:r>
                    <w:rPr>
                      <w:color w:val="auto"/>
                      <w:highlight w:val="none"/>
                    </w:rPr>
                    <w:t>相符</w:t>
                  </w:r>
                </w:p>
              </w:tc>
            </w:tr>
          </w:tbl>
          <w:p w14:paraId="702DDFC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eastAsia" w:cs="Times New Roman" w:eastAsiaTheme="minorEastAsia"/>
                <w:b/>
                <w:bCs/>
                <w:color w:val="auto"/>
                <w:sz w:val="24"/>
                <w:szCs w:val="24"/>
                <w:highlight w:val="none"/>
                <w:lang w:val="en-US" w:eastAsia="zh-CN"/>
              </w:rPr>
              <w:t>8</w:t>
            </w:r>
            <w:r>
              <w:rPr>
                <w:rFonts w:hint="eastAsia" w:ascii="Times New Roman" w:hAnsi="Times New Roman" w:cs="Times New Roman" w:eastAsiaTheme="minorEastAsia"/>
                <w:b/>
                <w:bCs/>
                <w:color w:val="auto"/>
                <w:sz w:val="24"/>
                <w:szCs w:val="24"/>
                <w:highlight w:val="none"/>
                <w:lang w:val="en-US" w:eastAsia="zh-CN"/>
              </w:rPr>
              <w:t>、</w:t>
            </w:r>
            <w:r>
              <w:rPr>
                <w:rFonts w:hint="eastAsia" w:eastAsia="宋体" w:cs="Times New Roman"/>
                <w:b/>
                <w:bCs/>
                <w:color w:val="auto"/>
                <w:sz w:val="24"/>
                <w:szCs w:val="24"/>
                <w:highlight w:val="none"/>
                <w:lang w:val="en-US" w:eastAsia="zh-CN"/>
              </w:rPr>
              <w:t>与</w:t>
            </w:r>
            <w:r>
              <w:rPr>
                <w:rFonts w:hint="default" w:ascii="Times New Roman" w:hAnsi="Times New Roman" w:eastAsia="宋体" w:cs="Times New Roman"/>
                <w:b/>
                <w:bCs/>
                <w:color w:val="auto"/>
                <w:sz w:val="24"/>
                <w:szCs w:val="24"/>
                <w:highlight w:val="none"/>
                <w:lang w:val="en-US" w:eastAsia="zh-CN"/>
              </w:rPr>
              <w:t>《关于做好生态环境和应急管理部门联动工作的意见》（苏环办〔2020〕101号）的</w:t>
            </w:r>
            <w:r>
              <w:rPr>
                <w:rFonts w:hint="eastAsia" w:eastAsia="宋体" w:cs="Times New Roman"/>
                <w:b/>
                <w:bCs/>
                <w:color w:val="auto"/>
                <w:sz w:val="24"/>
                <w:szCs w:val="24"/>
                <w:highlight w:val="none"/>
                <w:lang w:val="en-US" w:eastAsia="zh-CN"/>
              </w:rPr>
              <w:t>相符性分析</w:t>
            </w:r>
          </w:p>
          <w:p w14:paraId="28E2160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企业要切实履行好从危险废物产生、收集、贮存、运输、利用、处置等环节各项环保和安全职责；要制定危险废物管理计划并报属地生态环境部门备案。申请备案时，对废弃危险化学品、物理危险性尚不确定、根据相关文件无法认定达到稳定化要求的，要提供有资质单位出具的化学品物理危险性报告及其他证明材料，认定达到稳定化要求。</w:t>
            </w:r>
          </w:p>
          <w:p w14:paraId="676B72D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p w14:paraId="7217DA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本项目涉及的环境治理设施如下表。</w:t>
            </w:r>
          </w:p>
          <w:p w14:paraId="1599E049">
            <w:pPr>
              <w:keepNext w:val="0"/>
              <w:keepLines w:val="0"/>
              <w:widowControl/>
              <w:suppressLineNumbers w:val="0"/>
              <w:shd w:val="clear" w:color="auto" w:fill="auto"/>
              <w:spacing w:line="240" w:lineRule="auto"/>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表1-1</w:t>
            </w: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 xml:space="preserve"> 环境治理设施</w:t>
            </w:r>
            <w:r>
              <w:rPr>
                <w:rFonts w:hint="eastAsia" w:ascii="Times New Roman" w:hAnsi="Times New Roman" w:eastAsia="宋体" w:cs="Times New Roman"/>
                <w:b/>
                <w:bCs/>
                <w:color w:val="auto"/>
                <w:sz w:val="24"/>
                <w:szCs w:val="24"/>
                <w:highlight w:val="none"/>
                <w:lang w:val="en-US" w:eastAsia="zh-CN"/>
              </w:rPr>
              <w:t>表</w:t>
            </w:r>
          </w:p>
          <w:tbl>
            <w:tblPr>
              <w:tblStyle w:val="38"/>
              <w:tblW w:w="493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301"/>
              <w:gridCol w:w="1652"/>
              <w:gridCol w:w="2451"/>
              <w:gridCol w:w="1973"/>
            </w:tblGrid>
            <w:tr w14:paraId="6409A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03" w:type="pct"/>
                  <w:tcBorders>
                    <w:tl2br w:val="nil"/>
                    <w:tr2bl w:val="nil"/>
                  </w:tcBorders>
                  <w:noWrap w:val="0"/>
                  <w:vAlign w:val="center"/>
                </w:tcPr>
                <w:p w14:paraId="0678A8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1800" w:type="pct"/>
                  <w:gridSpan w:val="2"/>
                  <w:tcBorders>
                    <w:tl2br w:val="nil"/>
                    <w:tr2bl w:val="nil"/>
                  </w:tcBorders>
                  <w:noWrap w:val="0"/>
                  <w:vAlign w:val="center"/>
                </w:tcPr>
                <w:p w14:paraId="37CC81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环境治理设施</w:t>
                  </w:r>
                </w:p>
              </w:tc>
              <w:tc>
                <w:tcPr>
                  <w:tcW w:w="1493" w:type="pct"/>
                  <w:tcBorders>
                    <w:tl2br w:val="nil"/>
                    <w:tr2bl w:val="nil"/>
                  </w:tcBorders>
                  <w:noWrap w:val="0"/>
                  <w:vAlign w:val="center"/>
                </w:tcPr>
                <w:p w14:paraId="7B5364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本项目涉及的处理设施</w:t>
                  </w:r>
                </w:p>
              </w:tc>
              <w:tc>
                <w:tcPr>
                  <w:tcW w:w="1202" w:type="pct"/>
                  <w:tcBorders>
                    <w:tl2br w:val="nil"/>
                    <w:tr2bl w:val="nil"/>
                  </w:tcBorders>
                  <w:noWrap w:val="0"/>
                  <w:vAlign w:val="center"/>
                </w:tcPr>
                <w:p w14:paraId="66ED49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去向</w:t>
                  </w:r>
                </w:p>
              </w:tc>
            </w:tr>
            <w:tr w14:paraId="4F42A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exact"/>
                <w:jc w:val="center"/>
              </w:trPr>
              <w:tc>
                <w:tcPr>
                  <w:tcW w:w="503" w:type="pct"/>
                  <w:tcBorders>
                    <w:tl2br w:val="nil"/>
                    <w:tr2bl w:val="nil"/>
                  </w:tcBorders>
                  <w:noWrap w:val="0"/>
                  <w:vAlign w:val="center"/>
                </w:tcPr>
                <w:p w14:paraId="1EFC63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793" w:type="pct"/>
                  <w:vMerge w:val="restart"/>
                  <w:tcBorders>
                    <w:tl2br w:val="nil"/>
                    <w:tr2bl w:val="nil"/>
                  </w:tcBorders>
                  <w:noWrap w:val="0"/>
                  <w:vAlign w:val="center"/>
                </w:tcPr>
                <w:p w14:paraId="485D28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w:t>
                  </w:r>
                </w:p>
              </w:tc>
              <w:tc>
                <w:tcPr>
                  <w:tcW w:w="1007" w:type="pct"/>
                  <w:tcBorders>
                    <w:tl2br w:val="nil"/>
                    <w:tr2bl w:val="nil"/>
                  </w:tcBorders>
                  <w:noWrap w:val="0"/>
                  <w:vAlign w:val="center"/>
                </w:tcPr>
                <w:p w14:paraId="4CB408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w:t>
                  </w:r>
                </w:p>
              </w:tc>
              <w:tc>
                <w:tcPr>
                  <w:tcW w:w="1493" w:type="pct"/>
                  <w:tcBorders>
                    <w:tl2br w:val="nil"/>
                    <w:tr2bl w:val="nil"/>
                  </w:tcBorders>
                  <w:noWrap w:val="0"/>
                  <w:vAlign w:val="center"/>
                </w:tcPr>
                <w:p w14:paraId="311C91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园区化粪池</w:t>
                  </w:r>
                </w:p>
              </w:tc>
              <w:tc>
                <w:tcPr>
                  <w:tcW w:w="1202" w:type="pct"/>
                  <w:vMerge w:val="restart"/>
                  <w:tcBorders>
                    <w:tl2br w:val="nil"/>
                    <w:tr2bl w:val="nil"/>
                  </w:tcBorders>
                  <w:noWrap w:val="0"/>
                  <w:vAlign w:val="center"/>
                </w:tcPr>
                <w:p w14:paraId="45CB0E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接管至</w:t>
                  </w:r>
                  <w:r>
                    <w:rPr>
                      <w:rFonts w:hint="eastAsia" w:eastAsia="宋体" w:cs="Times New Roman"/>
                      <w:color w:val="auto"/>
                      <w:sz w:val="21"/>
                      <w:szCs w:val="21"/>
                      <w:highlight w:val="none"/>
                      <w:lang w:val="en-US" w:eastAsia="zh-CN"/>
                    </w:rPr>
                    <w:t>郭庄</w:t>
                  </w:r>
                  <w:r>
                    <w:rPr>
                      <w:rFonts w:hint="default" w:ascii="Times New Roman" w:hAnsi="Times New Roman" w:eastAsia="宋体" w:cs="Times New Roman"/>
                      <w:color w:val="auto"/>
                      <w:sz w:val="21"/>
                      <w:szCs w:val="21"/>
                      <w:highlight w:val="none"/>
                      <w:lang w:val="en-US" w:eastAsia="zh-CN"/>
                    </w:rPr>
                    <w:t>污水处理厂</w:t>
                  </w:r>
                </w:p>
              </w:tc>
            </w:tr>
            <w:tr w14:paraId="17D37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exact"/>
                <w:jc w:val="center"/>
              </w:trPr>
              <w:tc>
                <w:tcPr>
                  <w:tcW w:w="503" w:type="pct"/>
                  <w:tcBorders>
                    <w:tl2br w:val="nil"/>
                    <w:tr2bl w:val="nil"/>
                  </w:tcBorders>
                  <w:noWrap w:val="0"/>
                  <w:vAlign w:val="center"/>
                </w:tcPr>
                <w:p w14:paraId="7BAA0C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793" w:type="pct"/>
                  <w:vMerge w:val="continue"/>
                  <w:tcBorders>
                    <w:tl2br w:val="nil"/>
                    <w:tr2bl w:val="nil"/>
                  </w:tcBorders>
                  <w:noWrap w:val="0"/>
                  <w:vAlign w:val="center"/>
                </w:tcPr>
                <w:p w14:paraId="60B142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07" w:type="pct"/>
                  <w:tcBorders>
                    <w:tl2br w:val="nil"/>
                    <w:tr2bl w:val="nil"/>
                  </w:tcBorders>
                  <w:noWrap w:val="0"/>
                  <w:vAlign w:val="center"/>
                </w:tcPr>
                <w:p w14:paraId="737EB5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生产废水</w:t>
                  </w:r>
                </w:p>
              </w:tc>
              <w:tc>
                <w:tcPr>
                  <w:tcW w:w="1493" w:type="pct"/>
                  <w:tcBorders>
                    <w:tl2br w:val="nil"/>
                    <w:tr2bl w:val="nil"/>
                  </w:tcBorders>
                  <w:noWrap w:val="0"/>
                  <w:vAlign w:val="center"/>
                </w:tcPr>
                <w:p w14:paraId="26AD97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沉淀池</w:t>
                  </w:r>
                </w:p>
              </w:tc>
              <w:tc>
                <w:tcPr>
                  <w:tcW w:w="1202" w:type="pct"/>
                  <w:vMerge w:val="continue"/>
                  <w:tcBorders>
                    <w:tl2br w:val="nil"/>
                    <w:tr2bl w:val="nil"/>
                  </w:tcBorders>
                  <w:noWrap w:val="0"/>
                  <w:vAlign w:val="center"/>
                </w:tcPr>
                <w:p w14:paraId="31F8B2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bl>
          <w:p w14:paraId="6C5725AE">
            <w:pPr>
              <w:pStyle w:val="43"/>
              <w:keepNext w:val="0"/>
              <w:keepLines w:val="0"/>
              <w:pageBreakBefore w:val="0"/>
              <w:widowControl w:val="0"/>
              <w:kinsoku/>
              <w:wordWrap/>
              <w:overflowPunct/>
              <w:topLinePunct w:val="0"/>
              <w:autoSpaceDE/>
              <w:autoSpaceDN/>
              <w:bidi w:val="0"/>
              <w:adjustRightInd w:val="0"/>
              <w:snapToGrid/>
              <w:spacing w:line="360" w:lineRule="auto"/>
              <w:ind w:left="0" w:leftChars="0" w:firstLine="480" w:firstLineChars="200"/>
              <w:jc w:val="both"/>
              <w:textAlignment w:val="auto"/>
              <w:rPr>
                <w:rFonts w:hint="eastAsia" w:ascii="Times New Roman" w:hAnsi="Times New Roman" w:eastAsia="宋体" w:cs="Times New Roman"/>
                <w:snapToGrid w:val="0"/>
                <w:color w:val="auto"/>
                <w:w w:val="100"/>
                <w:kern w:val="0"/>
                <w:sz w:val="24"/>
                <w:szCs w:val="24"/>
                <w:highlight w:val="none"/>
                <w:lang w:val="en-US" w:eastAsia="zh-CN" w:bidi="ar-SA"/>
              </w:rPr>
            </w:pPr>
            <w:r>
              <w:rPr>
                <w:rFonts w:hint="eastAsia" w:ascii="Times New Roman" w:hAnsi="Times New Roman" w:eastAsia="宋体" w:cs="Times New Roman"/>
                <w:snapToGrid w:val="0"/>
                <w:color w:val="auto"/>
                <w:w w:val="100"/>
                <w:kern w:val="0"/>
                <w:sz w:val="24"/>
                <w:szCs w:val="24"/>
                <w:highlight w:val="none"/>
                <w:lang w:val="en-US" w:eastAsia="zh-CN" w:bidi="ar-SA"/>
              </w:rPr>
              <w:t>本环评要求建设单位按该文件要求在运营过程中切实履行好自身主体责任，配合相关部门积极有效开展环境保护和应急管理工作。</w:t>
            </w:r>
          </w:p>
          <w:p w14:paraId="6A55DBF7">
            <w:pPr>
              <w:pStyle w:val="43"/>
              <w:keepNext w:val="0"/>
              <w:keepLines w:val="0"/>
              <w:pageBreakBefore w:val="0"/>
              <w:widowControl w:val="0"/>
              <w:kinsoku/>
              <w:wordWrap/>
              <w:overflowPunct/>
              <w:topLinePunct w:val="0"/>
              <w:autoSpaceDE/>
              <w:autoSpaceDN/>
              <w:bidi w:val="0"/>
              <w:adjustRightInd w:val="0"/>
              <w:snapToGrid/>
              <w:spacing w:line="360" w:lineRule="auto"/>
              <w:ind w:left="0" w:leftChars="0" w:firstLine="480" w:firstLineChars="200"/>
              <w:jc w:val="both"/>
              <w:textAlignment w:val="auto"/>
              <w:rPr>
                <w:rFonts w:hint="eastAsia" w:ascii="Times New Roman" w:hAnsi="Times New Roman" w:eastAsia="宋体" w:cs="Times New Roman"/>
                <w:snapToGrid w:val="0"/>
                <w:color w:val="auto"/>
                <w:w w:val="100"/>
                <w:kern w:val="0"/>
                <w:sz w:val="24"/>
                <w:szCs w:val="24"/>
                <w:highlight w:val="none"/>
                <w:lang w:val="en-US" w:eastAsia="zh-CN" w:bidi="ar-SA"/>
              </w:rPr>
            </w:pPr>
          </w:p>
        </w:tc>
      </w:tr>
    </w:tbl>
    <w:p w14:paraId="2DF51CF7">
      <w:pPr>
        <w:spacing w:line="360" w:lineRule="auto"/>
        <w:outlineLvl w:val="0"/>
        <w:rPr>
          <w:rFonts w:eastAsiaTheme="minorEastAsia"/>
          <w:color w:val="auto"/>
          <w:sz w:val="30"/>
          <w:highlight w:val="none"/>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42B18BAF">
      <w:pPr>
        <w:pStyle w:val="33"/>
        <w:spacing w:before="0" w:beforeAutospacing="0" w:after="0" w:afterAutospacing="0"/>
        <w:jc w:val="center"/>
        <w:outlineLvl w:val="0"/>
        <w:rPr>
          <w:rFonts w:ascii="Times New Roman" w:hAnsi="Times New Roman" w:eastAsiaTheme="minorEastAsia"/>
          <w:b/>
          <w:snapToGrid w:val="0"/>
          <w:color w:val="auto"/>
          <w:sz w:val="30"/>
          <w:szCs w:val="30"/>
          <w:highlight w:val="none"/>
        </w:rPr>
      </w:pPr>
      <w:bookmarkStart w:id="8" w:name="_Toc17082"/>
      <w:r>
        <w:rPr>
          <w:rFonts w:ascii="Times New Roman" w:hAnsi="Times New Roman" w:eastAsiaTheme="minorEastAsia"/>
          <w:b/>
          <w:snapToGrid w:val="0"/>
          <w:color w:val="auto"/>
          <w:sz w:val="30"/>
          <w:szCs w:val="30"/>
          <w:highlight w:val="none"/>
        </w:rPr>
        <w:t>二、建设项目工程分析</w:t>
      </w:r>
      <w:bookmarkEnd w:id="8"/>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633"/>
      </w:tblGrid>
      <w:tr w14:paraId="15618D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13" w:hRule="atLeast"/>
          <w:jc w:val="center"/>
        </w:trPr>
        <w:tc>
          <w:tcPr>
            <w:tcW w:w="425" w:type="dxa"/>
            <w:vAlign w:val="center"/>
          </w:tcPr>
          <w:p w14:paraId="17034778">
            <w:pPr>
              <w:pStyle w:val="33"/>
              <w:adjustRightInd w:val="0"/>
              <w:snapToGrid w:val="0"/>
              <w:spacing w:before="0" w:beforeAutospacing="0" w:after="0" w:afterAutospacing="0"/>
              <w:jc w:val="center"/>
              <w:rPr>
                <w:rFonts w:ascii="Times New Roman" w:hAnsi="Times New Roman" w:eastAsiaTheme="minorEastAsia"/>
                <w:b/>
                <w:bCs/>
                <w:color w:val="auto"/>
                <w:sz w:val="21"/>
                <w:szCs w:val="21"/>
                <w:highlight w:val="none"/>
              </w:rPr>
            </w:pPr>
            <w:r>
              <w:rPr>
                <w:rFonts w:ascii="Times New Roman" w:hAnsi="Times New Roman" w:eastAsiaTheme="minorEastAsia"/>
                <w:b/>
                <w:bCs/>
                <w:color w:val="auto"/>
                <w:sz w:val="21"/>
                <w:szCs w:val="21"/>
                <w:highlight w:val="none"/>
              </w:rPr>
              <w:t>建设内容</w:t>
            </w:r>
          </w:p>
        </w:tc>
        <w:tc>
          <w:tcPr>
            <w:tcW w:w="8635" w:type="dxa"/>
          </w:tcPr>
          <w:p w14:paraId="1CB20037">
            <w:pPr>
              <w:spacing w:line="360" w:lineRule="auto"/>
              <w:rPr>
                <w:b/>
                <w:color w:val="auto"/>
                <w:sz w:val="24"/>
                <w:highlight w:val="none"/>
              </w:rPr>
            </w:pPr>
            <w:r>
              <w:rPr>
                <w:b/>
                <w:color w:val="auto"/>
                <w:sz w:val="24"/>
                <w:highlight w:val="none"/>
              </w:rPr>
              <w:t>（一）工程内容及规模</w:t>
            </w:r>
          </w:p>
          <w:p w14:paraId="0150F754">
            <w:pPr>
              <w:pStyle w:val="47"/>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1.工程概况</w:t>
            </w:r>
          </w:p>
          <w:p w14:paraId="467E9A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kern w:val="0"/>
                <w:sz w:val="24"/>
                <w:highlight w:val="none"/>
              </w:rPr>
            </w:pPr>
            <w:r>
              <w:rPr>
                <w:rFonts w:hint="eastAsia" w:cs="Times New Roman" w:eastAsiaTheme="minorEastAsia"/>
                <w:color w:val="auto"/>
                <w:kern w:val="0"/>
                <w:sz w:val="24"/>
                <w:highlight w:val="none"/>
                <w:lang w:val="en-US" w:eastAsia="zh-CN"/>
              </w:rPr>
              <w:t>句容透反光学科技有限公司</w:t>
            </w:r>
            <w:r>
              <w:rPr>
                <w:rFonts w:hint="default" w:ascii="Times New Roman" w:hAnsi="Times New Roman" w:cs="Times New Roman" w:eastAsiaTheme="minorEastAsia"/>
                <w:color w:val="auto"/>
                <w:kern w:val="0"/>
                <w:sz w:val="24"/>
                <w:highlight w:val="none"/>
              </w:rPr>
              <w:t>成立于20</w:t>
            </w:r>
            <w:r>
              <w:rPr>
                <w:rFonts w:hint="default" w:ascii="Times New Roman" w:hAnsi="Times New Roman" w:cs="Times New Roman" w:eastAsiaTheme="minorEastAsia"/>
                <w:color w:val="auto"/>
                <w:kern w:val="0"/>
                <w:sz w:val="24"/>
                <w:highlight w:val="none"/>
                <w:lang w:val="en-US" w:eastAsia="zh-CN"/>
              </w:rPr>
              <w:t>2</w:t>
            </w:r>
            <w:r>
              <w:rPr>
                <w:rFonts w:hint="eastAsia" w:cs="Times New Roman" w:eastAsiaTheme="minorEastAsia"/>
                <w:color w:val="auto"/>
                <w:kern w:val="0"/>
                <w:sz w:val="24"/>
                <w:highlight w:val="none"/>
                <w:lang w:val="en-US" w:eastAsia="zh-CN"/>
              </w:rPr>
              <w:t>4</w:t>
            </w:r>
            <w:r>
              <w:rPr>
                <w:rFonts w:hint="default" w:ascii="Times New Roman" w:hAnsi="Times New Roman" w:cs="Times New Roman" w:eastAsiaTheme="minorEastAsia"/>
                <w:color w:val="auto"/>
                <w:kern w:val="0"/>
                <w:sz w:val="24"/>
                <w:highlight w:val="none"/>
              </w:rPr>
              <w:t>年</w:t>
            </w:r>
            <w:r>
              <w:rPr>
                <w:rFonts w:hint="eastAsia" w:cs="Times New Roman" w:eastAsiaTheme="minorEastAsia"/>
                <w:color w:val="auto"/>
                <w:kern w:val="0"/>
                <w:sz w:val="24"/>
                <w:highlight w:val="none"/>
                <w:lang w:val="en-US" w:eastAsia="zh-CN"/>
              </w:rPr>
              <w:t>4</w:t>
            </w:r>
            <w:r>
              <w:rPr>
                <w:rFonts w:hint="default" w:ascii="Times New Roman" w:hAnsi="Times New Roman" w:cs="Times New Roman" w:eastAsiaTheme="minorEastAsia"/>
                <w:color w:val="auto"/>
                <w:kern w:val="0"/>
                <w:sz w:val="24"/>
                <w:highlight w:val="none"/>
              </w:rPr>
              <w:t>月，现拟投资</w:t>
            </w:r>
            <w:r>
              <w:rPr>
                <w:rFonts w:hint="eastAsia" w:cs="Times New Roman" w:eastAsiaTheme="minorEastAsia"/>
                <w:color w:val="auto"/>
                <w:kern w:val="0"/>
                <w:sz w:val="24"/>
                <w:highlight w:val="none"/>
                <w:lang w:val="en-US" w:eastAsia="zh-CN"/>
              </w:rPr>
              <w:t>1000</w:t>
            </w:r>
            <w:r>
              <w:rPr>
                <w:rFonts w:hint="default" w:ascii="Times New Roman" w:hAnsi="Times New Roman" w:cs="Times New Roman" w:eastAsiaTheme="minorEastAsia"/>
                <w:color w:val="auto"/>
                <w:kern w:val="0"/>
                <w:sz w:val="24"/>
                <w:highlight w:val="none"/>
              </w:rPr>
              <w:t>万元，购买</w:t>
            </w:r>
            <w:r>
              <w:rPr>
                <w:rFonts w:hint="eastAsia" w:eastAsiaTheme="minorEastAsia"/>
                <w:color w:val="auto"/>
                <w:sz w:val="24"/>
                <w:highlight w:val="none"/>
                <w:u w:val="none"/>
              </w:rPr>
              <w:t>镇江市句容市郭庄镇空港大道9号</w:t>
            </w:r>
            <w:r>
              <w:rPr>
                <w:rFonts w:hint="eastAsia" w:eastAsiaTheme="minorEastAsia"/>
                <w:color w:val="auto"/>
                <w:sz w:val="24"/>
                <w:highlight w:val="none"/>
                <w:u w:val="none"/>
                <w:lang w:eastAsia="zh-CN"/>
              </w:rPr>
              <w:t>2幢</w:t>
            </w:r>
            <w:r>
              <w:rPr>
                <w:rFonts w:hint="default" w:ascii="Times New Roman" w:hAnsi="Times New Roman" w:cs="Times New Roman" w:eastAsiaTheme="minorEastAsia"/>
                <w:color w:val="auto"/>
                <w:kern w:val="0"/>
                <w:sz w:val="24"/>
                <w:highlight w:val="none"/>
              </w:rPr>
              <w:t>现有</w:t>
            </w:r>
            <w:r>
              <w:rPr>
                <w:rFonts w:hint="default" w:ascii="Times New Roman" w:hAnsi="Times New Roman" w:cs="Times New Roman" w:eastAsiaTheme="minorEastAsia"/>
                <w:color w:val="auto"/>
                <w:kern w:val="0"/>
                <w:sz w:val="24"/>
                <w:highlight w:val="none"/>
                <w:lang w:eastAsia="zh-CN"/>
              </w:rPr>
              <w:t>标准</w:t>
            </w:r>
            <w:r>
              <w:rPr>
                <w:rFonts w:hint="default" w:ascii="Times New Roman" w:hAnsi="Times New Roman" w:cs="Times New Roman" w:eastAsiaTheme="minorEastAsia"/>
                <w:color w:val="auto"/>
                <w:kern w:val="0"/>
                <w:sz w:val="24"/>
                <w:highlight w:val="none"/>
              </w:rPr>
              <w:t>厂房建设</w:t>
            </w:r>
            <w:r>
              <w:rPr>
                <w:rFonts w:hint="eastAsia" w:cs="Times New Roman" w:eastAsiaTheme="minorEastAsia"/>
                <w:color w:val="auto"/>
                <w:kern w:val="0"/>
                <w:sz w:val="24"/>
                <w:highlight w:val="none"/>
                <w:lang w:eastAsia="zh-CN"/>
              </w:rPr>
              <w:t>年产100万件光学玻璃项目</w:t>
            </w:r>
            <w:r>
              <w:rPr>
                <w:rFonts w:hint="default" w:ascii="Times New Roman" w:hAnsi="Times New Roman" w:cs="Times New Roman" w:eastAsiaTheme="minorEastAsia"/>
                <w:color w:val="auto"/>
                <w:kern w:val="0"/>
                <w:sz w:val="24"/>
                <w:highlight w:val="none"/>
              </w:rPr>
              <w:t>。项目建成后，预计年产</w:t>
            </w:r>
            <w:r>
              <w:rPr>
                <w:rFonts w:hint="default" w:ascii="Times New Roman" w:hAnsi="Times New Roman" w:cs="Times New Roman" w:eastAsiaTheme="minorEastAsia"/>
                <w:color w:val="auto"/>
                <w:kern w:val="0"/>
                <w:sz w:val="24"/>
                <w:highlight w:val="none"/>
                <w:lang w:eastAsia="zh-CN"/>
              </w:rPr>
              <w:t>光学</w:t>
            </w:r>
            <w:r>
              <w:rPr>
                <w:rFonts w:hint="eastAsia" w:cs="Times New Roman" w:eastAsiaTheme="minorEastAsia"/>
                <w:color w:val="auto"/>
                <w:kern w:val="0"/>
                <w:sz w:val="24"/>
                <w:highlight w:val="none"/>
                <w:lang w:eastAsia="zh-CN"/>
              </w:rPr>
              <w:t>玻璃</w:t>
            </w:r>
            <w:r>
              <w:rPr>
                <w:rFonts w:hint="eastAsia" w:cs="Times New Roman" w:eastAsiaTheme="minorEastAsia"/>
                <w:color w:val="auto"/>
                <w:kern w:val="0"/>
                <w:sz w:val="24"/>
                <w:highlight w:val="none"/>
                <w:lang w:val="en-US" w:eastAsia="zh-CN"/>
              </w:rPr>
              <w:t>100</w:t>
            </w:r>
            <w:r>
              <w:rPr>
                <w:rFonts w:hint="default" w:ascii="Times New Roman" w:hAnsi="Times New Roman" w:cs="Times New Roman" w:eastAsiaTheme="minorEastAsia"/>
                <w:color w:val="auto"/>
                <w:kern w:val="0"/>
                <w:sz w:val="24"/>
                <w:highlight w:val="none"/>
              </w:rPr>
              <w:t>万</w:t>
            </w:r>
            <w:r>
              <w:rPr>
                <w:rFonts w:hint="default" w:ascii="Times New Roman" w:hAnsi="Times New Roman" w:cs="Times New Roman" w:eastAsiaTheme="minorEastAsia"/>
                <w:color w:val="auto"/>
                <w:kern w:val="0"/>
                <w:sz w:val="24"/>
                <w:highlight w:val="none"/>
                <w:lang w:eastAsia="zh-CN"/>
              </w:rPr>
              <w:t>件</w:t>
            </w:r>
            <w:r>
              <w:rPr>
                <w:rFonts w:hint="default" w:ascii="Times New Roman" w:hAnsi="Times New Roman" w:cs="Times New Roman" w:eastAsiaTheme="minorEastAsia"/>
                <w:color w:val="auto"/>
                <w:kern w:val="0"/>
                <w:sz w:val="24"/>
                <w:highlight w:val="none"/>
              </w:rPr>
              <w:t>。本项目已取得</w:t>
            </w:r>
            <w:r>
              <w:rPr>
                <w:rFonts w:hint="eastAsia" w:eastAsiaTheme="minorEastAsia"/>
                <w:color w:val="auto"/>
                <w:sz w:val="24"/>
                <w:highlight w:val="none"/>
                <w:lang w:val="en-US" w:eastAsia="zh-CN"/>
              </w:rPr>
              <w:t>句容市政务服务管理办公室</w:t>
            </w:r>
            <w:r>
              <w:rPr>
                <w:rFonts w:hint="default" w:ascii="Times New Roman" w:hAnsi="Times New Roman" w:cs="Times New Roman" w:eastAsiaTheme="minorEastAsia"/>
                <w:color w:val="auto"/>
                <w:kern w:val="0"/>
                <w:sz w:val="24"/>
                <w:highlight w:val="none"/>
              </w:rPr>
              <w:t>立项备案（备案证号：</w:t>
            </w:r>
            <w:r>
              <w:rPr>
                <w:rFonts w:hint="eastAsia" w:eastAsiaTheme="minorEastAsia"/>
                <w:color w:val="auto"/>
                <w:sz w:val="24"/>
                <w:highlight w:val="none"/>
                <w:lang w:val="en-US" w:eastAsia="zh-CN"/>
              </w:rPr>
              <w:t>句政务备〔2024〕135号</w:t>
            </w:r>
            <w:r>
              <w:rPr>
                <w:rFonts w:hint="default" w:ascii="Times New Roman" w:hAnsi="Times New Roman" w:cs="Times New Roman" w:eastAsiaTheme="minorEastAsia"/>
                <w:color w:val="auto"/>
                <w:kern w:val="0"/>
                <w:sz w:val="24"/>
                <w:highlight w:val="none"/>
              </w:rPr>
              <w:t>；项目代码：</w:t>
            </w:r>
            <w:r>
              <w:rPr>
                <w:rFonts w:hint="eastAsia" w:cs="Times New Roman" w:eastAsiaTheme="minorEastAsia"/>
                <w:color w:val="auto"/>
                <w:kern w:val="0"/>
                <w:sz w:val="24"/>
                <w:highlight w:val="none"/>
                <w:lang w:eastAsia="zh-CN"/>
              </w:rPr>
              <w:t>2409-321183-89-01-106245）</w:t>
            </w:r>
            <w:r>
              <w:rPr>
                <w:rFonts w:hint="default" w:ascii="Times New Roman" w:hAnsi="Times New Roman" w:cs="Times New Roman" w:eastAsiaTheme="minorEastAsia"/>
                <w:color w:val="auto"/>
                <w:kern w:val="0"/>
                <w:sz w:val="24"/>
                <w:highlight w:val="none"/>
              </w:rPr>
              <w:t>。</w:t>
            </w:r>
          </w:p>
          <w:p w14:paraId="78961A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1"/>
                <w:szCs w:val="21"/>
                <w:highlight w:val="none"/>
              </w:rPr>
            </w:pPr>
            <w:r>
              <w:rPr>
                <w:rFonts w:hint="default" w:ascii="Times New Roman" w:hAnsi="Times New Roman" w:cs="Times New Roman" w:eastAsiaTheme="minorEastAsia"/>
                <w:color w:val="0070C0"/>
                <w:sz w:val="24"/>
                <w:lang w:val="en-US" w:eastAsia="zh-CN"/>
              </w:rPr>
              <w:t>镇江市句容生态环境综合行政执法局于2025年6月23日对本项目进行建设项目环评现场核查，经现场核查，本项目搬迁建设中。2025年6月24日，镇江市句容生态环境局下达了《镇江</w:t>
            </w:r>
            <w:r>
              <w:rPr>
                <w:rFonts w:hint="default" w:ascii="Times New Roman" w:hAnsi="Times New Roman" w:cs="Times New Roman"/>
              </w:rPr>
              <w:commentReference w:id="6"/>
            </w:r>
            <w:r>
              <w:rPr>
                <w:rFonts w:hint="default" w:ascii="Times New Roman" w:hAnsi="Times New Roman" w:cs="Times New Roman" w:eastAsiaTheme="minorEastAsia"/>
                <w:color w:val="0070C0"/>
                <w:sz w:val="24"/>
                <w:lang w:val="en-US" w:eastAsia="zh-CN"/>
              </w:rPr>
              <w:t>市生态环境局责令改正违法行为决定书》（镇03环责改〔2025〕2</w:t>
            </w:r>
            <w:r>
              <w:rPr>
                <w:rFonts w:hint="eastAsia" w:ascii="Times New Roman" w:hAnsi="Times New Roman" w:cs="Times New Roman" w:eastAsiaTheme="minorEastAsia"/>
                <w:color w:val="0070C0"/>
                <w:sz w:val="24"/>
                <w:lang w:val="en-US" w:eastAsia="zh-CN"/>
              </w:rPr>
              <w:t>3</w:t>
            </w:r>
            <w:r>
              <w:rPr>
                <w:rFonts w:hint="default" w:ascii="Times New Roman" w:hAnsi="Times New Roman" w:cs="Times New Roman" w:eastAsiaTheme="minorEastAsia"/>
                <w:color w:val="0070C0"/>
                <w:sz w:val="24"/>
                <w:lang w:val="en-US" w:eastAsia="zh-CN"/>
              </w:rPr>
              <w:t>号），现责令企业改正违法行为，3个月内补办相关手续，并接受环保部门下一步处理。</w:t>
            </w:r>
            <w:r>
              <w:rPr>
                <w:rFonts w:hint="default" w:ascii="Times New Roman" w:hAnsi="Times New Roman" w:cs="Times New Roman"/>
                <w:b w:val="0"/>
                <w:bCs w:val="0"/>
                <w:color w:val="00B050"/>
                <w:kern w:val="0"/>
                <w:sz w:val="24"/>
                <w:lang w:val="en-US" w:eastAsia="zh-CN" w:bidi="ar"/>
              </w:rPr>
              <w:t>企业现状为未批先建停工状态，目前尚未进行生产。</w:t>
            </w:r>
          </w:p>
          <w:p w14:paraId="4688C784">
            <w:pPr>
              <w:pStyle w:val="47"/>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b w:val="0"/>
                <w:bCs w:val="0"/>
                <w:color w:val="auto"/>
                <w:kern w:val="21"/>
                <w:szCs w:val="21"/>
                <w:highlight w:val="none"/>
              </w:rPr>
            </w:pPr>
            <w:r>
              <w:rPr>
                <w:rFonts w:hint="default" w:ascii="Times New Roman" w:hAnsi="Times New Roman" w:eastAsia="宋体" w:cs="Times New Roman"/>
                <w:b w:val="0"/>
                <w:bCs w:val="0"/>
                <w:color w:val="auto"/>
                <w:kern w:val="21"/>
                <w:szCs w:val="21"/>
                <w:highlight w:val="none"/>
              </w:rPr>
              <w:t>根据《建设项目环境影响评价分类管理名录》（2021年版），本项目属于“</w:t>
            </w:r>
            <w:r>
              <w:rPr>
                <w:rFonts w:hint="default" w:ascii="Times New Roman" w:hAnsi="Times New Roman" w:cs="Times New Roman" w:eastAsiaTheme="minorEastAsia"/>
                <w:b w:val="0"/>
                <w:bCs w:val="0"/>
                <w:color w:val="auto"/>
                <w:sz w:val="24"/>
                <w:highlight w:val="none"/>
                <w:lang w:eastAsia="zh-CN"/>
              </w:rPr>
              <w:t>二十七、非金属矿物制品业30玻璃制品制造305</w:t>
            </w:r>
            <w:r>
              <w:rPr>
                <w:rFonts w:hint="default" w:ascii="Times New Roman" w:hAnsi="Times New Roman" w:eastAsia="宋体" w:cs="Times New Roman"/>
                <w:b w:val="0"/>
                <w:bCs w:val="0"/>
                <w:color w:val="auto"/>
                <w:kern w:val="21"/>
                <w:szCs w:val="21"/>
                <w:highlight w:val="none"/>
                <w:lang w:val="en-US" w:eastAsia="zh-CN"/>
              </w:rPr>
              <w:t>中的玻璃制品制造（电加热的除外；仅切割、打磨、成型的除外）”</w:t>
            </w:r>
            <w:r>
              <w:rPr>
                <w:rFonts w:hint="default" w:ascii="Times New Roman" w:hAnsi="Times New Roman" w:eastAsia="宋体" w:cs="Times New Roman"/>
                <w:b w:val="0"/>
                <w:bCs w:val="0"/>
                <w:color w:val="auto"/>
                <w:kern w:val="21"/>
                <w:szCs w:val="21"/>
                <w:highlight w:val="none"/>
              </w:rPr>
              <w:t>，所以应当做报告表。</w:t>
            </w:r>
          </w:p>
          <w:p w14:paraId="21AF590C">
            <w:pPr>
              <w:pStyle w:val="47"/>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为此，建设单位委托</w:t>
            </w:r>
            <w:r>
              <w:rPr>
                <w:rFonts w:hint="default" w:ascii="Times New Roman" w:hAnsi="Times New Roman" w:eastAsia="宋体" w:cs="Times New Roman"/>
                <w:b w:val="0"/>
                <w:color w:val="auto"/>
                <w:highlight w:val="none"/>
                <w:lang w:eastAsia="zh-CN"/>
              </w:rPr>
              <w:t>本</w:t>
            </w:r>
            <w:r>
              <w:rPr>
                <w:rFonts w:hint="default" w:ascii="Times New Roman" w:hAnsi="Times New Roman" w:eastAsia="宋体" w:cs="Times New Roman"/>
                <w:b w:val="0"/>
                <w:color w:val="auto"/>
                <w:highlight w:val="none"/>
              </w:rPr>
              <w:t>公司承担该项目的环境影响报告的编制工作，环评单位接受委托后，认真研究该项目的有关材料，并进行实地踏勘、调研，收集和核实了有关材料，</w:t>
            </w:r>
            <w:r>
              <w:rPr>
                <w:rFonts w:hint="default" w:ascii="Times New Roman" w:hAnsi="Times New Roman" w:eastAsia="宋体" w:cs="Times New Roman"/>
                <w:b w:val="0"/>
                <w:bCs w:val="0"/>
                <w:color w:val="auto"/>
                <w:highlight w:val="none"/>
              </w:rPr>
              <w:t>依据《建设项目环境影响报告表编制技术指南（污染影响类）（试行）》编制了本环境影响报告表。</w:t>
            </w:r>
          </w:p>
          <w:p w14:paraId="20AD7917">
            <w:pPr>
              <w:widowControl/>
              <w:adjustRightInd w:val="0"/>
              <w:snapToGrid w:val="0"/>
              <w:spacing w:line="360" w:lineRule="auto"/>
              <w:ind w:firstLine="482" w:firstLineChars="200"/>
              <w:jc w:val="left"/>
              <w:rPr>
                <w:rFonts w:eastAsiaTheme="minorEastAsia"/>
                <w:color w:val="auto"/>
                <w:kern w:val="0"/>
                <w:sz w:val="24"/>
                <w:highlight w:val="none"/>
              </w:rPr>
            </w:pPr>
            <w:r>
              <w:rPr>
                <w:rFonts w:eastAsiaTheme="minorEastAsia"/>
                <w:b/>
                <w:color w:val="auto"/>
                <w:kern w:val="0"/>
                <w:sz w:val="24"/>
                <w:highlight w:val="none"/>
              </w:rPr>
              <w:t>2.项目概况</w:t>
            </w:r>
          </w:p>
          <w:p w14:paraId="2330033F">
            <w:pPr>
              <w:adjustRightInd w:val="0"/>
              <w:snapToGrid w:val="0"/>
              <w:spacing w:line="360" w:lineRule="auto"/>
              <w:ind w:firstLine="480" w:firstLineChars="200"/>
              <w:rPr>
                <w:rFonts w:hint="eastAsia" w:eastAsiaTheme="minorEastAsia"/>
                <w:color w:val="auto"/>
                <w:kern w:val="0"/>
                <w:sz w:val="24"/>
                <w:highlight w:val="none"/>
                <w:lang w:eastAsia="zh-CN"/>
              </w:rPr>
            </w:pPr>
            <w:r>
              <w:rPr>
                <w:rFonts w:eastAsiaTheme="minorEastAsia"/>
                <w:color w:val="auto"/>
                <w:kern w:val="0"/>
                <w:sz w:val="24"/>
                <w:highlight w:val="none"/>
              </w:rPr>
              <w:t>（1）项目名称：</w:t>
            </w:r>
            <w:r>
              <w:rPr>
                <w:rFonts w:hint="eastAsia" w:eastAsiaTheme="minorEastAsia"/>
                <w:color w:val="auto"/>
                <w:kern w:val="0"/>
                <w:sz w:val="24"/>
                <w:highlight w:val="none"/>
                <w:lang w:eastAsia="zh-CN"/>
              </w:rPr>
              <w:t>年产100万件光学玻璃项目</w:t>
            </w:r>
          </w:p>
          <w:p w14:paraId="539DD415">
            <w:pPr>
              <w:adjustRightInd w:val="0"/>
              <w:snapToGrid w:val="0"/>
              <w:spacing w:line="360" w:lineRule="auto"/>
              <w:ind w:firstLine="480" w:firstLineChars="200"/>
              <w:rPr>
                <w:rFonts w:eastAsiaTheme="minorEastAsia"/>
                <w:color w:val="auto"/>
                <w:kern w:val="0"/>
                <w:sz w:val="24"/>
                <w:highlight w:val="none"/>
              </w:rPr>
            </w:pPr>
            <w:r>
              <w:rPr>
                <w:rFonts w:eastAsiaTheme="minorEastAsia"/>
                <w:color w:val="auto"/>
                <w:kern w:val="0"/>
                <w:sz w:val="24"/>
                <w:highlight w:val="none"/>
              </w:rPr>
              <w:t>（2）建设单位：</w:t>
            </w:r>
            <w:r>
              <w:rPr>
                <w:rFonts w:hint="eastAsia" w:eastAsiaTheme="minorEastAsia"/>
                <w:color w:val="auto"/>
                <w:kern w:val="0"/>
                <w:sz w:val="24"/>
                <w:highlight w:val="none"/>
                <w:lang w:val="en-US" w:eastAsia="zh-CN"/>
              </w:rPr>
              <w:t>句容透反光学科技有限公司</w:t>
            </w:r>
          </w:p>
          <w:p w14:paraId="6F0E48AB">
            <w:pPr>
              <w:adjustRightInd w:val="0"/>
              <w:snapToGrid w:val="0"/>
              <w:spacing w:line="360" w:lineRule="auto"/>
              <w:ind w:firstLine="480" w:firstLineChars="200"/>
              <w:rPr>
                <w:rFonts w:hint="eastAsia" w:eastAsiaTheme="minorEastAsia"/>
                <w:color w:val="auto"/>
                <w:kern w:val="0"/>
                <w:sz w:val="24"/>
                <w:highlight w:val="none"/>
                <w:lang w:eastAsia="zh-CN"/>
              </w:rPr>
            </w:pPr>
            <w:r>
              <w:rPr>
                <w:rFonts w:eastAsiaTheme="minorEastAsia"/>
                <w:color w:val="auto"/>
                <w:kern w:val="0"/>
                <w:sz w:val="24"/>
                <w:highlight w:val="none"/>
              </w:rPr>
              <w:t>（3）建设地点：</w:t>
            </w:r>
            <w:r>
              <w:rPr>
                <w:rFonts w:hint="eastAsia" w:eastAsiaTheme="minorEastAsia"/>
                <w:color w:val="auto"/>
                <w:kern w:val="0"/>
                <w:sz w:val="24"/>
                <w:highlight w:val="none"/>
                <w:lang w:eastAsia="zh-CN"/>
              </w:rPr>
              <w:t>镇江市句容市郭庄镇空港大道9号2幢</w:t>
            </w:r>
          </w:p>
          <w:p w14:paraId="2B3D8D72">
            <w:pPr>
              <w:adjustRightInd w:val="0"/>
              <w:snapToGrid w:val="0"/>
              <w:spacing w:line="360" w:lineRule="auto"/>
              <w:ind w:firstLine="480" w:firstLineChars="200"/>
              <w:rPr>
                <w:rFonts w:hint="default" w:eastAsiaTheme="minorEastAsia"/>
                <w:color w:val="auto"/>
                <w:kern w:val="0"/>
                <w:sz w:val="24"/>
                <w:highlight w:val="none"/>
                <w:lang w:val="en-US"/>
              </w:rPr>
            </w:pPr>
            <w:r>
              <w:rPr>
                <w:rFonts w:eastAsiaTheme="minorEastAsia"/>
                <w:color w:val="auto"/>
                <w:kern w:val="0"/>
                <w:sz w:val="24"/>
                <w:highlight w:val="none"/>
              </w:rPr>
              <w:t>（4）项目性质：</w:t>
            </w:r>
            <w:r>
              <w:rPr>
                <w:rFonts w:hint="eastAsia" w:eastAsiaTheme="minorEastAsia"/>
                <w:color w:val="auto"/>
                <w:kern w:val="0"/>
                <w:sz w:val="24"/>
                <w:highlight w:val="none"/>
                <w:lang w:val="en-US" w:eastAsia="zh-CN"/>
              </w:rPr>
              <w:t>新建</w:t>
            </w:r>
          </w:p>
          <w:p w14:paraId="0BB56600">
            <w:pPr>
              <w:adjustRightInd w:val="0"/>
              <w:snapToGrid w:val="0"/>
              <w:spacing w:line="360" w:lineRule="auto"/>
              <w:ind w:firstLine="480" w:firstLineChars="200"/>
              <w:rPr>
                <w:rFonts w:hint="eastAsia" w:eastAsiaTheme="minorEastAsia"/>
                <w:color w:val="auto"/>
                <w:kern w:val="0"/>
                <w:sz w:val="24"/>
                <w:highlight w:val="none"/>
                <w:lang w:eastAsia="zh-CN"/>
              </w:rPr>
            </w:pPr>
            <w:r>
              <w:rPr>
                <w:rFonts w:eastAsiaTheme="minorEastAsia"/>
                <w:color w:val="auto"/>
                <w:kern w:val="0"/>
                <w:sz w:val="24"/>
                <w:highlight w:val="none"/>
              </w:rPr>
              <w:t>（5）项目投资：</w:t>
            </w:r>
            <w:r>
              <w:rPr>
                <w:rFonts w:hint="eastAsia" w:eastAsiaTheme="minorEastAsia"/>
                <w:color w:val="auto"/>
                <w:kern w:val="0"/>
                <w:sz w:val="24"/>
                <w:highlight w:val="none"/>
                <w:lang w:val="en-US" w:eastAsia="zh-CN"/>
              </w:rPr>
              <w:t>本</w:t>
            </w:r>
            <w:r>
              <w:rPr>
                <w:rFonts w:eastAsiaTheme="minorEastAsia"/>
                <w:color w:val="auto"/>
                <w:kern w:val="0"/>
                <w:sz w:val="24"/>
                <w:highlight w:val="none"/>
              </w:rPr>
              <w:t>项目总投资</w:t>
            </w:r>
            <w:r>
              <w:rPr>
                <w:rFonts w:hint="eastAsia" w:eastAsiaTheme="minorEastAsia"/>
                <w:color w:val="auto"/>
                <w:kern w:val="0"/>
                <w:sz w:val="24"/>
                <w:highlight w:val="none"/>
                <w:lang w:val="en-US" w:eastAsia="zh-CN"/>
              </w:rPr>
              <w:t>1000</w:t>
            </w:r>
            <w:r>
              <w:rPr>
                <w:rFonts w:eastAsiaTheme="minorEastAsia"/>
                <w:color w:val="auto"/>
                <w:kern w:val="0"/>
                <w:sz w:val="24"/>
                <w:highlight w:val="none"/>
              </w:rPr>
              <w:t>万元，其中环保投资</w:t>
            </w:r>
            <w:r>
              <w:rPr>
                <w:rFonts w:hint="eastAsia" w:eastAsiaTheme="minorEastAsia"/>
                <w:color w:val="auto"/>
                <w:kern w:val="0"/>
                <w:sz w:val="24"/>
                <w:highlight w:val="none"/>
                <w:lang w:val="en-US" w:eastAsia="zh-CN"/>
              </w:rPr>
              <w:t>30</w:t>
            </w:r>
            <w:r>
              <w:rPr>
                <w:rFonts w:eastAsiaTheme="minorEastAsia"/>
                <w:color w:val="auto"/>
                <w:kern w:val="0"/>
                <w:sz w:val="24"/>
                <w:highlight w:val="none"/>
              </w:rPr>
              <w:t>万元，占总投资额的</w:t>
            </w:r>
            <w:r>
              <w:rPr>
                <w:rFonts w:hint="eastAsia" w:eastAsiaTheme="minorEastAsia"/>
                <w:color w:val="auto"/>
                <w:kern w:val="0"/>
                <w:sz w:val="24"/>
                <w:highlight w:val="none"/>
                <w:lang w:val="en-US" w:eastAsia="zh-CN"/>
              </w:rPr>
              <w:t>3</w:t>
            </w:r>
            <w:r>
              <w:rPr>
                <w:rFonts w:eastAsiaTheme="minorEastAsia"/>
                <w:color w:val="auto"/>
                <w:kern w:val="0"/>
                <w:sz w:val="24"/>
                <w:highlight w:val="none"/>
              </w:rPr>
              <w:t>%</w:t>
            </w:r>
          </w:p>
          <w:p w14:paraId="409E2224">
            <w:pPr>
              <w:widowControl/>
              <w:adjustRightInd w:val="0"/>
              <w:snapToGrid w:val="0"/>
              <w:spacing w:line="360" w:lineRule="auto"/>
              <w:ind w:firstLine="480" w:firstLineChars="200"/>
              <w:jc w:val="left"/>
              <w:rPr>
                <w:rFonts w:hint="default" w:eastAsiaTheme="minorEastAsia"/>
                <w:color w:val="auto"/>
                <w:kern w:val="0"/>
                <w:sz w:val="24"/>
                <w:szCs w:val="24"/>
                <w:highlight w:val="none"/>
                <w:lang w:val="en-US" w:eastAsia="zh-CN"/>
              </w:rPr>
            </w:pPr>
            <w:r>
              <w:rPr>
                <w:rFonts w:eastAsiaTheme="minorEastAsia"/>
                <w:color w:val="auto"/>
                <w:kern w:val="0"/>
                <w:sz w:val="24"/>
                <w:highlight w:val="none"/>
              </w:rPr>
              <w:t>（6）劳动定员：</w:t>
            </w:r>
            <w:r>
              <w:rPr>
                <w:rFonts w:hint="eastAsia" w:eastAsiaTheme="minorEastAsia"/>
                <w:color w:val="auto"/>
                <w:kern w:val="0"/>
                <w:sz w:val="24"/>
                <w:highlight w:val="none"/>
                <w:lang w:val="en-US" w:eastAsia="zh-CN"/>
              </w:rPr>
              <w:t>本项目职工人数50人</w:t>
            </w:r>
            <w:r>
              <w:rPr>
                <w:rFonts w:eastAsiaTheme="minorEastAsia"/>
                <w:color w:val="auto"/>
                <w:kern w:val="0"/>
                <w:sz w:val="24"/>
                <w:szCs w:val="20"/>
                <w:highlight w:val="none"/>
              </w:rPr>
              <w:t>，</w:t>
            </w:r>
            <w:r>
              <w:rPr>
                <w:rFonts w:hint="eastAsia" w:eastAsiaTheme="minorEastAsia"/>
                <w:color w:val="auto"/>
                <w:kern w:val="0"/>
                <w:sz w:val="24"/>
                <w:szCs w:val="24"/>
                <w:highlight w:val="none"/>
                <w:lang w:val="en-US" w:eastAsia="zh-CN"/>
              </w:rPr>
              <w:t>不设食堂</w:t>
            </w:r>
          </w:p>
          <w:p w14:paraId="2575CDF9">
            <w:pPr>
              <w:adjustRightInd w:val="0"/>
              <w:snapToGrid w:val="0"/>
              <w:spacing w:line="360" w:lineRule="auto"/>
              <w:ind w:firstLine="480" w:firstLineChars="200"/>
              <w:rPr>
                <w:rFonts w:hint="eastAsia" w:eastAsiaTheme="minorEastAsia"/>
                <w:color w:val="auto"/>
                <w:kern w:val="0"/>
                <w:sz w:val="24"/>
                <w:szCs w:val="20"/>
                <w:highlight w:val="none"/>
                <w:lang w:eastAsia="zh-CN"/>
              </w:rPr>
            </w:pPr>
            <w:r>
              <w:rPr>
                <w:rFonts w:eastAsiaTheme="minorEastAsia"/>
                <w:color w:val="auto"/>
                <w:kern w:val="0"/>
                <w:sz w:val="24"/>
                <w:szCs w:val="20"/>
                <w:highlight w:val="none"/>
              </w:rPr>
              <w:t>（7）工作制度：年工作</w:t>
            </w:r>
            <w:r>
              <w:rPr>
                <w:rFonts w:hint="eastAsia" w:eastAsiaTheme="minorEastAsia"/>
                <w:color w:val="auto"/>
                <w:kern w:val="0"/>
                <w:sz w:val="24"/>
                <w:szCs w:val="20"/>
                <w:highlight w:val="none"/>
                <w:lang w:val="en-US" w:eastAsia="zh-CN"/>
              </w:rPr>
              <w:t>300</w:t>
            </w:r>
            <w:r>
              <w:rPr>
                <w:rFonts w:eastAsiaTheme="minorEastAsia"/>
                <w:color w:val="auto"/>
                <w:kern w:val="0"/>
                <w:sz w:val="24"/>
                <w:szCs w:val="20"/>
                <w:highlight w:val="none"/>
              </w:rPr>
              <w:t>天，</w:t>
            </w:r>
            <w:r>
              <w:rPr>
                <w:rFonts w:hint="eastAsia" w:eastAsiaTheme="minorEastAsia"/>
                <w:color w:val="auto"/>
                <w:kern w:val="0"/>
                <w:sz w:val="24"/>
                <w:szCs w:val="20"/>
                <w:highlight w:val="none"/>
                <w:lang w:val="en-US" w:eastAsia="zh-CN"/>
              </w:rPr>
              <w:t>白班</w:t>
            </w:r>
            <w:r>
              <w:rPr>
                <w:rFonts w:eastAsiaTheme="minorEastAsia"/>
                <w:color w:val="auto"/>
                <w:kern w:val="0"/>
                <w:sz w:val="24"/>
                <w:szCs w:val="20"/>
                <w:highlight w:val="none"/>
              </w:rPr>
              <w:t>8小时</w:t>
            </w:r>
            <w:r>
              <w:rPr>
                <w:rFonts w:hint="eastAsia" w:eastAsiaTheme="minorEastAsia"/>
                <w:color w:val="auto"/>
                <w:kern w:val="0"/>
                <w:sz w:val="24"/>
                <w:szCs w:val="20"/>
                <w:highlight w:val="none"/>
                <w:lang w:val="en-US" w:eastAsia="zh-CN"/>
              </w:rPr>
              <w:t>制</w:t>
            </w:r>
            <w:r>
              <w:rPr>
                <w:rFonts w:eastAsiaTheme="minorEastAsia"/>
                <w:color w:val="auto"/>
                <w:kern w:val="0"/>
                <w:sz w:val="24"/>
                <w:szCs w:val="20"/>
                <w:highlight w:val="none"/>
              </w:rPr>
              <w:t>，全年工作</w:t>
            </w:r>
            <w:r>
              <w:rPr>
                <w:rFonts w:hint="eastAsia" w:eastAsiaTheme="minorEastAsia"/>
                <w:color w:val="auto"/>
                <w:kern w:val="0"/>
                <w:sz w:val="24"/>
                <w:szCs w:val="20"/>
                <w:highlight w:val="none"/>
                <w:lang w:val="en-US" w:eastAsia="zh-CN"/>
              </w:rPr>
              <w:t>2400</w:t>
            </w:r>
            <w:r>
              <w:rPr>
                <w:rFonts w:eastAsiaTheme="minorEastAsia"/>
                <w:color w:val="auto"/>
                <w:kern w:val="0"/>
                <w:sz w:val="24"/>
                <w:szCs w:val="20"/>
                <w:highlight w:val="none"/>
              </w:rPr>
              <w:t>小时</w:t>
            </w:r>
            <w:r>
              <w:rPr>
                <w:rFonts w:hint="eastAsia" w:eastAsiaTheme="minorEastAsia"/>
                <w:color w:val="auto"/>
                <w:kern w:val="0"/>
                <w:sz w:val="24"/>
                <w:szCs w:val="20"/>
                <w:highlight w:val="none"/>
                <w:lang w:eastAsia="zh-CN"/>
              </w:rPr>
              <w:t>。</w:t>
            </w:r>
          </w:p>
          <w:p w14:paraId="69B97FC9">
            <w:pPr>
              <w:pStyle w:val="47"/>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eastAsiaTheme="minorEastAsia"/>
                <w:color w:val="auto"/>
                <w:kern w:val="0"/>
                <w:sz w:val="24"/>
                <w:szCs w:val="20"/>
                <w:highlight w:val="none"/>
                <w:lang w:eastAsia="zh-CN"/>
              </w:rPr>
              <w:t>（</w:t>
            </w:r>
            <w:r>
              <w:rPr>
                <w:rFonts w:hint="default" w:ascii="Times New Roman" w:hAnsi="Times New Roman" w:cs="Times New Roman" w:eastAsiaTheme="minorEastAsia"/>
                <w:color w:val="auto"/>
                <w:kern w:val="0"/>
                <w:sz w:val="24"/>
                <w:szCs w:val="20"/>
                <w:highlight w:val="none"/>
                <w:lang w:val="en-US" w:eastAsia="zh-CN"/>
              </w:rPr>
              <w:t>8</w:t>
            </w:r>
            <w:r>
              <w:rPr>
                <w:rFonts w:hint="default" w:ascii="Times New Roman" w:hAnsi="Times New Roman" w:cs="Times New Roman" w:eastAsiaTheme="minorEastAsia"/>
                <w:color w:val="auto"/>
                <w:kern w:val="0"/>
                <w:sz w:val="24"/>
                <w:szCs w:val="20"/>
                <w:highlight w:val="none"/>
                <w:lang w:eastAsia="zh-CN"/>
              </w:rPr>
              <w:t>）建设内容和规模：项目购买镇江句容星郭产业园开发有限公司2</w:t>
            </w:r>
            <w:r>
              <w:rPr>
                <w:rFonts w:hint="eastAsia" w:ascii="Times New Roman" w:hAnsi="Times New Roman" w:cs="Times New Roman" w:eastAsiaTheme="minorEastAsia"/>
                <w:color w:val="auto"/>
                <w:kern w:val="0"/>
                <w:sz w:val="24"/>
                <w:szCs w:val="20"/>
                <w:highlight w:val="none"/>
                <w:lang w:val="en-US" w:eastAsia="zh-CN"/>
              </w:rPr>
              <w:t>5</w:t>
            </w:r>
            <w:r>
              <w:rPr>
                <w:rFonts w:hint="default" w:ascii="Times New Roman" w:hAnsi="Times New Roman" w:cs="Times New Roman" w:eastAsiaTheme="minorEastAsia"/>
                <w:color w:val="auto"/>
                <w:kern w:val="0"/>
                <w:sz w:val="24"/>
                <w:szCs w:val="20"/>
                <w:highlight w:val="none"/>
                <w:lang w:eastAsia="zh-CN"/>
              </w:rPr>
              <w:t>00平方米厂房进行生产，项目达产后形成年产</w:t>
            </w:r>
            <w:r>
              <w:rPr>
                <w:rFonts w:hint="eastAsia" w:ascii="Times New Roman" w:hAnsi="Times New Roman" w:cs="Times New Roman" w:eastAsiaTheme="minorEastAsia"/>
                <w:color w:val="auto"/>
                <w:kern w:val="0"/>
                <w:sz w:val="24"/>
                <w:szCs w:val="20"/>
                <w:highlight w:val="none"/>
                <w:lang w:val="en-US" w:eastAsia="zh-CN"/>
              </w:rPr>
              <w:t>100</w:t>
            </w:r>
            <w:r>
              <w:rPr>
                <w:rFonts w:hint="default" w:ascii="Times New Roman" w:hAnsi="Times New Roman" w:cs="Times New Roman" w:eastAsiaTheme="minorEastAsia"/>
                <w:color w:val="auto"/>
                <w:kern w:val="0"/>
                <w:sz w:val="24"/>
                <w:szCs w:val="20"/>
                <w:highlight w:val="none"/>
                <w:lang w:eastAsia="zh-CN"/>
              </w:rPr>
              <w:t>万件光学</w:t>
            </w:r>
            <w:r>
              <w:rPr>
                <w:rFonts w:hint="eastAsia" w:ascii="Times New Roman" w:hAnsi="Times New Roman" w:cs="Times New Roman" w:eastAsiaTheme="minorEastAsia"/>
                <w:color w:val="auto"/>
                <w:kern w:val="0"/>
                <w:sz w:val="24"/>
                <w:szCs w:val="20"/>
                <w:highlight w:val="none"/>
                <w:lang w:eastAsia="zh-CN"/>
              </w:rPr>
              <w:t>玻璃</w:t>
            </w:r>
            <w:r>
              <w:rPr>
                <w:rFonts w:hint="default" w:ascii="Times New Roman" w:hAnsi="Times New Roman" w:cs="Times New Roman" w:eastAsiaTheme="minorEastAsia"/>
                <w:color w:val="auto"/>
                <w:kern w:val="0"/>
                <w:sz w:val="24"/>
                <w:szCs w:val="20"/>
                <w:highlight w:val="none"/>
                <w:lang w:eastAsia="zh-CN"/>
              </w:rPr>
              <w:t>生产能力。</w:t>
            </w:r>
            <w:r>
              <w:rPr>
                <w:rFonts w:hint="eastAsia" w:ascii="Times New Roman" w:hAnsi="Times New Roman" w:cs="Times New Roman" w:eastAsiaTheme="minorEastAsia"/>
                <w:color w:val="auto"/>
                <w:kern w:val="0"/>
                <w:sz w:val="24"/>
                <w:szCs w:val="20"/>
                <w:highlight w:val="none"/>
                <w:lang w:val="en-US" w:eastAsia="zh-CN"/>
              </w:rPr>
              <w:t>企业将购买的三层厂房（建筑面积1824.24m</w:t>
            </w:r>
            <w:r>
              <w:rPr>
                <w:rFonts w:hint="eastAsia" w:ascii="Times New Roman" w:hAnsi="Times New Roman" w:cs="Times New Roman" w:eastAsiaTheme="minorEastAsia"/>
                <w:color w:val="auto"/>
                <w:kern w:val="0"/>
                <w:sz w:val="24"/>
                <w:szCs w:val="20"/>
                <w:highlight w:val="none"/>
                <w:vertAlign w:val="superscript"/>
                <w:lang w:val="en-US" w:eastAsia="zh-CN"/>
              </w:rPr>
              <w:t>2</w:t>
            </w:r>
            <w:r>
              <w:rPr>
                <w:rFonts w:hint="eastAsia" w:ascii="Times New Roman" w:hAnsi="Times New Roman" w:cs="Times New Roman" w:eastAsiaTheme="minorEastAsia"/>
                <w:color w:val="auto"/>
                <w:kern w:val="0"/>
                <w:sz w:val="24"/>
                <w:szCs w:val="20"/>
                <w:highlight w:val="none"/>
                <w:lang w:val="en-US" w:eastAsia="zh-CN"/>
              </w:rPr>
              <w:t>）进行隔层改造，改为四层（建筑面积2500m</w:t>
            </w:r>
            <w:r>
              <w:rPr>
                <w:rFonts w:hint="eastAsia" w:ascii="Times New Roman" w:hAnsi="Times New Roman" w:cs="Times New Roman" w:eastAsiaTheme="minorEastAsia"/>
                <w:color w:val="auto"/>
                <w:kern w:val="0"/>
                <w:sz w:val="24"/>
                <w:szCs w:val="20"/>
                <w:highlight w:val="none"/>
                <w:vertAlign w:val="superscript"/>
                <w:lang w:val="en-US" w:eastAsia="zh-CN"/>
              </w:rPr>
              <w:t>2</w:t>
            </w:r>
            <w:r>
              <w:rPr>
                <w:rFonts w:hint="eastAsia" w:ascii="Times New Roman" w:hAnsi="Times New Roman" w:cs="Times New Roman" w:eastAsiaTheme="minorEastAsia"/>
                <w:color w:val="auto"/>
                <w:kern w:val="0"/>
                <w:sz w:val="24"/>
                <w:szCs w:val="20"/>
                <w:highlight w:val="none"/>
                <w:lang w:val="en-US" w:eastAsia="zh-CN"/>
              </w:rPr>
              <w:t>）</w:t>
            </w:r>
            <w:r>
              <w:rPr>
                <w:rFonts w:hint="default" w:ascii="Times New Roman" w:hAnsi="Times New Roman" w:cs="Times New Roman" w:eastAsiaTheme="minorEastAsia"/>
                <w:color w:val="auto"/>
                <w:kern w:val="0"/>
                <w:sz w:val="24"/>
                <w:szCs w:val="20"/>
                <w:highlight w:val="none"/>
                <w:lang w:eastAsia="zh-CN"/>
              </w:rPr>
              <w:t>。</w:t>
            </w:r>
          </w:p>
          <w:p w14:paraId="3F356B67">
            <w:pPr>
              <w:adjustRightInd w:val="0"/>
              <w:snapToGrid w:val="0"/>
              <w:spacing w:line="360" w:lineRule="auto"/>
              <w:ind w:firstLine="482" w:firstLineChars="200"/>
              <w:rPr>
                <w:b/>
                <w:color w:val="auto"/>
                <w:sz w:val="24"/>
                <w:highlight w:val="none"/>
              </w:rPr>
            </w:pPr>
            <w:r>
              <w:rPr>
                <w:b/>
                <w:color w:val="auto"/>
                <w:sz w:val="24"/>
                <w:highlight w:val="none"/>
              </w:rPr>
              <w:t>3、主体建构筑物工程及平面布置情况</w:t>
            </w:r>
          </w:p>
          <w:p w14:paraId="01B8217B">
            <w:pPr>
              <w:pStyle w:val="18"/>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color w:val="auto"/>
                <w:sz w:val="24"/>
                <w:highlight w:val="none"/>
              </w:rPr>
            </w:pPr>
            <w:r>
              <w:rPr>
                <w:rFonts w:hint="default" w:ascii="Times New Roman" w:hAnsi="Times New Roman" w:eastAsia="宋体" w:cs="Times New Roman"/>
                <w:color w:val="auto"/>
                <w:szCs w:val="22"/>
                <w:highlight w:val="none"/>
                <w:lang w:val="en-US" w:eastAsia="zh-CN"/>
              </w:rPr>
              <w:t>建设项目位于</w:t>
            </w:r>
            <w:r>
              <w:rPr>
                <w:rFonts w:hint="eastAsia" w:eastAsiaTheme="minorEastAsia"/>
                <w:color w:val="auto"/>
                <w:kern w:val="0"/>
                <w:sz w:val="24"/>
                <w:highlight w:val="none"/>
                <w:lang w:eastAsia="zh-CN"/>
              </w:rPr>
              <w:t>镇江市句容市郭庄镇空港大道9号2幢</w:t>
            </w:r>
            <w:r>
              <w:rPr>
                <w:rFonts w:hint="default" w:ascii="Times New Roman" w:hAnsi="Times New Roman" w:cs="Times New Roman"/>
                <w:color w:val="auto"/>
                <w:szCs w:val="22"/>
                <w:highlight w:val="none"/>
                <w:lang w:val="en-US" w:eastAsia="zh-CN"/>
              </w:rPr>
              <w:t>，</w:t>
            </w:r>
            <w:r>
              <w:rPr>
                <w:rFonts w:hint="eastAsia"/>
                <w:color w:val="auto"/>
                <w:sz w:val="24"/>
                <w:szCs w:val="24"/>
                <w:highlight w:val="none"/>
                <w:lang w:val="en-US" w:eastAsia="zh-CN"/>
              </w:rPr>
              <w:t>厂区</w:t>
            </w:r>
            <w:r>
              <w:rPr>
                <w:color w:val="auto"/>
                <w:sz w:val="24"/>
                <w:szCs w:val="24"/>
                <w:highlight w:val="none"/>
              </w:rPr>
              <w:t>生产车间</w:t>
            </w:r>
            <w:r>
              <w:rPr>
                <w:rFonts w:hint="eastAsia"/>
                <w:color w:val="auto"/>
                <w:sz w:val="24"/>
                <w:szCs w:val="24"/>
                <w:highlight w:val="none"/>
                <w:lang w:val="en-US" w:eastAsia="zh-CN"/>
              </w:rPr>
              <w:t>一层</w:t>
            </w:r>
            <w:r>
              <w:rPr>
                <w:rFonts w:hint="eastAsia" w:cs="Times New Roman"/>
                <w:color w:val="auto"/>
                <w:sz w:val="24"/>
                <w:szCs w:val="24"/>
                <w:highlight w:val="none"/>
                <w:lang w:val="en-US" w:eastAsia="zh-CN"/>
              </w:rPr>
              <w:t>布置为镀膜、清洗、胶合、危废仓库、一般固废库、办公室等；二层布置为仪器测量区、检验区、打包间、成品库等；三层目前暂未规划；四层主要为总经理办公室等</w:t>
            </w:r>
            <w:r>
              <w:rPr>
                <w:color w:val="auto"/>
                <w:sz w:val="24"/>
                <w:highlight w:val="none"/>
              </w:rPr>
              <w:t>。厂区平面布置图详见</w:t>
            </w:r>
            <w:r>
              <w:rPr>
                <w:bCs/>
                <w:color w:val="auto"/>
                <w:sz w:val="24"/>
                <w:highlight w:val="none"/>
              </w:rPr>
              <w:t>附图2</w:t>
            </w:r>
            <w:r>
              <w:rPr>
                <w:rFonts w:hint="eastAsia"/>
                <w:bCs/>
                <w:color w:val="auto"/>
                <w:sz w:val="24"/>
                <w:highlight w:val="none"/>
                <w:lang w:val="en-US" w:eastAsia="zh-CN"/>
              </w:rPr>
              <w:t>-1~2-4</w:t>
            </w:r>
            <w:r>
              <w:rPr>
                <w:rFonts w:hint="eastAsia"/>
                <w:color w:val="auto"/>
                <w:sz w:val="24"/>
                <w:highlight w:val="none"/>
              </w:rPr>
              <w:t>。</w:t>
            </w:r>
          </w:p>
          <w:p w14:paraId="1091BACA">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color w:val="auto"/>
                <w:highlight w:val="none"/>
              </w:rPr>
            </w:pPr>
            <w:r>
              <w:rPr>
                <w:b/>
                <w:color w:val="auto"/>
                <w:sz w:val="24"/>
                <w:highlight w:val="none"/>
              </w:rPr>
              <w:t>4、主体工程及产品方案</w:t>
            </w:r>
          </w:p>
          <w:p w14:paraId="7BF89C6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eastAsiaTheme="minorEastAsia"/>
                <w:color w:val="auto"/>
                <w:sz w:val="24"/>
                <w:highlight w:val="none"/>
              </w:rPr>
            </w:pPr>
            <w:r>
              <w:rPr>
                <w:rFonts w:eastAsiaTheme="minorEastAsia"/>
                <w:color w:val="auto"/>
                <w:sz w:val="24"/>
                <w:highlight w:val="none"/>
              </w:rPr>
              <w:t>根据建设单位提供的资料，</w:t>
            </w:r>
            <w:r>
              <w:rPr>
                <w:rFonts w:hint="eastAsia" w:eastAsiaTheme="minorEastAsia"/>
                <w:color w:val="auto"/>
                <w:sz w:val="24"/>
                <w:highlight w:val="none"/>
                <w:lang w:val="en-US" w:eastAsia="zh-CN"/>
              </w:rPr>
              <w:t>建设</w:t>
            </w:r>
            <w:r>
              <w:rPr>
                <w:rFonts w:eastAsiaTheme="minorEastAsia"/>
                <w:color w:val="auto"/>
                <w:sz w:val="24"/>
                <w:highlight w:val="none"/>
              </w:rPr>
              <w:t>项目主要产品方案见表2-</w:t>
            </w:r>
            <w:r>
              <w:rPr>
                <w:rFonts w:hint="eastAsia" w:eastAsiaTheme="minorEastAsia"/>
                <w:color w:val="auto"/>
                <w:sz w:val="24"/>
                <w:highlight w:val="none"/>
                <w:lang w:val="en-US" w:eastAsia="zh-CN"/>
              </w:rPr>
              <w:t>1</w:t>
            </w:r>
            <w:r>
              <w:rPr>
                <w:rFonts w:eastAsiaTheme="minorEastAsia"/>
                <w:color w:val="auto"/>
                <w:sz w:val="24"/>
                <w:highlight w:val="none"/>
              </w:rPr>
              <w:t>。</w:t>
            </w:r>
          </w:p>
          <w:p w14:paraId="4DBEE836">
            <w:pPr>
              <w:widowControl/>
              <w:adjustRightInd w:val="0"/>
              <w:snapToGrid w:val="0"/>
              <w:jc w:val="center"/>
              <w:rPr>
                <w:rFonts w:eastAsiaTheme="minorEastAsia"/>
                <w:b/>
                <w:color w:val="auto"/>
                <w:kern w:val="0"/>
                <w:szCs w:val="21"/>
                <w:highlight w:val="none"/>
              </w:rPr>
            </w:pPr>
            <w:r>
              <w:rPr>
                <w:rFonts w:eastAsiaTheme="minorEastAsia"/>
                <w:b/>
                <w:color w:val="auto"/>
                <w:kern w:val="0"/>
                <w:sz w:val="24"/>
                <w:szCs w:val="20"/>
                <w:highlight w:val="none"/>
              </w:rPr>
              <w:t>表2-</w:t>
            </w:r>
            <w:r>
              <w:rPr>
                <w:rFonts w:hint="eastAsia" w:eastAsiaTheme="minorEastAsia"/>
                <w:b/>
                <w:color w:val="auto"/>
                <w:kern w:val="0"/>
                <w:sz w:val="24"/>
                <w:szCs w:val="20"/>
                <w:highlight w:val="none"/>
                <w:lang w:val="en-US" w:eastAsia="zh-CN"/>
              </w:rPr>
              <w:t>1</w:t>
            </w:r>
            <w:r>
              <w:rPr>
                <w:rFonts w:eastAsiaTheme="minorEastAsia"/>
                <w:b/>
                <w:color w:val="auto"/>
                <w:kern w:val="0"/>
                <w:sz w:val="24"/>
                <w:szCs w:val="20"/>
                <w:highlight w:val="none"/>
              </w:rPr>
              <w:t xml:space="preserve"> </w:t>
            </w:r>
            <w:r>
              <w:rPr>
                <w:rFonts w:hint="eastAsia" w:eastAsiaTheme="minorEastAsia"/>
                <w:b/>
                <w:color w:val="auto"/>
                <w:kern w:val="0"/>
                <w:sz w:val="24"/>
                <w:szCs w:val="20"/>
                <w:highlight w:val="none"/>
                <w:lang w:val="en-US" w:eastAsia="zh-CN"/>
              </w:rPr>
              <w:t>建设</w:t>
            </w:r>
            <w:r>
              <w:rPr>
                <w:rFonts w:eastAsiaTheme="minorEastAsia"/>
                <w:b/>
                <w:color w:val="auto"/>
                <w:kern w:val="0"/>
                <w:sz w:val="24"/>
                <w:szCs w:val="20"/>
                <w:highlight w:val="none"/>
              </w:rPr>
              <w:t>项目产品方案</w:t>
            </w:r>
          </w:p>
          <w:tbl>
            <w:tblPr>
              <w:tblStyle w:val="3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380"/>
              <w:gridCol w:w="1431"/>
              <w:gridCol w:w="764"/>
              <w:gridCol w:w="2291"/>
              <w:gridCol w:w="1546"/>
            </w:tblGrid>
            <w:tr w14:paraId="064AFB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3" w:hRule="atLeast"/>
              </w:trPr>
              <w:tc>
                <w:tcPr>
                  <w:tcW w:w="1414" w:type="pct"/>
                  <w:tcBorders>
                    <w:top w:val="single" w:color="auto" w:sz="12" w:space="0"/>
                    <w:right w:val="single" w:color="auto" w:sz="4" w:space="0"/>
                  </w:tcBorders>
                  <w:vAlign w:val="center"/>
                </w:tcPr>
                <w:p w14:paraId="2F78346C">
                  <w:pPr>
                    <w:widowControl/>
                    <w:adjustRightInd w:val="0"/>
                    <w:snapToGrid w:val="0"/>
                    <w:jc w:val="center"/>
                    <w:rPr>
                      <w:rFonts w:eastAsiaTheme="minorEastAsia"/>
                      <w:b/>
                      <w:color w:val="auto"/>
                      <w:kern w:val="0"/>
                      <w:szCs w:val="21"/>
                      <w:highlight w:val="none"/>
                    </w:rPr>
                  </w:pPr>
                  <w:r>
                    <w:rPr>
                      <w:rFonts w:eastAsiaTheme="minorEastAsia"/>
                      <w:b/>
                      <w:color w:val="auto"/>
                      <w:kern w:val="0"/>
                      <w:szCs w:val="21"/>
                      <w:highlight w:val="none"/>
                    </w:rPr>
                    <w:t>工程名称（车间或生产线）</w:t>
                  </w:r>
                </w:p>
              </w:tc>
              <w:tc>
                <w:tcPr>
                  <w:tcW w:w="850" w:type="pct"/>
                  <w:tcBorders>
                    <w:top w:val="single" w:color="auto" w:sz="12" w:space="0"/>
                  </w:tcBorders>
                  <w:vAlign w:val="center"/>
                </w:tcPr>
                <w:p w14:paraId="77A1FBC2">
                  <w:pPr>
                    <w:widowControl/>
                    <w:autoSpaceDE w:val="0"/>
                    <w:autoSpaceDN w:val="0"/>
                    <w:adjustRightInd w:val="0"/>
                    <w:snapToGrid w:val="0"/>
                    <w:jc w:val="center"/>
                    <w:rPr>
                      <w:rFonts w:eastAsiaTheme="minorEastAsia"/>
                      <w:b/>
                      <w:color w:val="auto"/>
                      <w:kern w:val="0"/>
                      <w:szCs w:val="21"/>
                      <w:highlight w:val="none"/>
                    </w:rPr>
                  </w:pPr>
                  <w:r>
                    <w:rPr>
                      <w:rFonts w:eastAsiaTheme="minorEastAsia"/>
                      <w:b/>
                      <w:color w:val="auto"/>
                      <w:kern w:val="0"/>
                      <w:szCs w:val="21"/>
                      <w:highlight w:val="none"/>
                    </w:rPr>
                    <w:t>产品名称</w:t>
                  </w:r>
                </w:p>
              </w:tc>
              <w:tc>
                <w:tcPr>
                  <w:tcW w:w="454" w:type="pct"/>
                  <w:tcBorders>
                    <w:top w:val="single" w:color="auto" w:sz="12" w:space="0"/>
                  </w:tcBorders>
                  <w:vAlign w:val="center"/>
                </w:tcPr>
                <w:p w14:paraId="5C8D50CD">
                  <w:pPr>
                    <w:widowControl/>
                    <w:autoSpaceDE w:val="0"/>
                    <w:autoSpaceDN w:val="0"/>
                    <w:adjustRightInd w:val="0"/>
                    <w:snapToGrid w:val="0"/>
                    <w:jc w:val="center"/>
                    <w:rPr>
                      <w:rFonts w:hint="eastAsia" w:eastAsiaTheme="minorEastAsia"/>
                      <w:b/>
                      <w:color w:val="auto"/>
                      <w:kern w:val="0"/>
                      <w:szCs w:val="21"/>
                      <w:highlight w:val="none"/>
                      <w:lang w:val="en-US" w:eastAsia="zh-CN"/>
                    </w:rPr>
                  </w:pPr>
                  <w:r>
                    <w:rPr>
                      <w:rFonts w:hint="eastAsia" w:eastAsiaTheme="minorEastAsia"/>
                      <w:b/>
                      <w:color w:val="auto"/>
                      <w:kern w:val="0"/>
                      <w:szCs w:val="21"/>
                      <w:highlight w:val="none"/>
                      <w:lang w:val="en-US" w:eastAsia="zh-CN"/>
                    </w:rPr>
                    <w:t>规格</w:t>
                  </w:r>
                </w:p>
              </w:tc>
              <w:tc>
                <w:tcPr>
                  <w:tcW w:w="1361" w:type="pct"/>
                  <w:tcBorders>
                    <w:top w:val="single" w:color="auto" w:sz="12" w:space="0"/>
                    <w:bottom w:val="single" w:color="auto" w:sz="12" w:space="0"/>
                    <w:right w:val="single" w:color="auto" w:sz="4" w:space="0"/>
                  </w:tcBorders>
                  <w:vAlign w:val="center"/>
                </w:tcPr>
                <w:p w14:paraId="72861113">
                  <w:pPr>
                    <w:widowControl/>
                    <w:adjustRightInd w:val="0"/>
                    <w:snapToGrid w:val="0"/>
                    <w:jc w:val="center"/>
                    <w:rPr>
                      <w:rFonts w:eastAsiaTheme="minorEastAsia"/>
                      <w:b/>
                      <w:color w:val="auto"/>
                      <w:kern w:val="0"/>
                      <w:szCs w:val="21"/>
                      <w:highlight w:val="none"/>
                    </w:rPr>
                  </w:pPr>
                  <w:r>
                    <w:rPr>
                      <w:rFonts w:eastAsiaTheme="minorEastAsia"/>
                      <w:b/>
                      <w:color w:val="auto"/>
                      <w:kern w:val="0"/>
                      <w:szCs w:val="21"/>
                      <w:highlight w:val="none"/>
                    </w:rPr>
                    <w:t>设计能力（万</w:t>
                  </w:r>
                  <w:r>
                    <w:rPr>
                      <w:rFonts w:hint="eastAsia" w:eastAsiaTheme="minorEastAsia"/>
                      <w:b/>
                      <w:color w:val="auto"/>
                      <w:kern w:val="0"/>
                      <w:szCs w:val="21"/>
                      <w:highlight w:val="none"/>
                      <w:lang w:eastAsia="zh-CN"/>
                    </w:rPr>
                    <w:t>件</w:t>
                  </w:r>
                  <w:r>
                    <w:rPr>
                      <w:rFonts w:eastAsiaTheme="minorEastAsia"/>
                      <w:b/>
                      <w:color w:val="auto"/>
                      <w:kern w:val="0"/>
                      <w:szCs w:val="21"/>
                      <w:highlight w:val="none"/>
                    </w:rPr>
                    <w:t>/年）</w:t>
                  </w:r>
                </w:p>
              </w:tc>
              <w:tc>
                <w:tcPr>
                  <w:tcW w:w="918" w:type="pct"/>
                  <w:tcBorders>
                    <w:top w:val="single" w:color="auto" w:sz="12" w:space="0"/>
                    <w:left w:val="single" w:color="auto" w:sz="4" w:space="0"/>
                  </w:tcBorders>
                  <w:vAlign w:val="center"/>
                </w:tcPr>
                <w:p w14:paraId="5D9C9D91">
                  <w:pPr>
                    <w:widowControl/>
                    <w:adjustRightInd w:val="0"/>
                    <w:snapToGrid w:val="0"/>
                    <w:jc w:val="center"/>
                    <w:rPr>
                      <w:rFonts w:eastAsiaTheme="minorEastAsia"/>
                      <w:b/>
                      <w:color w:val="auto"/>
                      <w:kern w:val="0"/>
                      <w:szCs w:val="21"/>
                      <w:highlight w:val="none"/>
                    </w:rPr>
                  </w:pPr>
                  <w:r>
                    <w:rPr>
                      <w:rFonts w:eastAsiaTheme="minorEastAsia"/>
                      <w:b/>
                      <w:color w:val="auto"/>
                      <w:kern w:val="0"/>
                      <w:szCs w:val="21"/>
                      <w:highlight w:val="none"/>
                    </w:rPr>
                    <w:t>年运行时数</w:t>
                  </w:r>
                </w:p>
              </w:tc>
            </w:tr>
            <w:tr w14:paraId="3B926E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414" w:type="pct"/>
                  <w:tcBorders>
                    <w:top w:val="single" w:color="auto" w:sz="12" w:space="0"/>
                    <w:bottom w:val="single" w:color="auto" w:sz="12" w:space="0"/>
                    <w:right w:val="single" w:color="auto" w:sz="4" w:space="0"/>
                  </w:tcBorders>
                  <w:vAlign w:val="center"/>
                </w:tcPr>
                <w:p w14:paraId="717B7D4D">
                  <w:pPr>
                    <w:widowControl/>
                    <w:adjustRightInd w:val="0"/>
                    <w:snapToGrid w:val="0"/>
                    <w:jc w:val="center"/>
                    <w:rPr>
                      <w:rFonts w:hint="default" w:eastAsiaTheme="minorEastAsia"/>
                      <w:color w:val="auto"/>
                      <w:kern w:val="0"/>
                      <w:szCs w:val="21"/>
                      <w:highlight w:val="none"/>
                      <w:lang w:val="en-US"/>
                    </w:rPr>
                  </w:pPr>
                  <w:r>
                    <w:rPr>
                      <w:rFonts w:hint="eastAsia" w:eastAsiaTheme="minorEastAsia"/>
                      <w:color w:val="auto"/>
                      <w:kern w:val="0"/>
                      <w:szCs w:val="21"/>
                      <w:highlight w:val="none"/>
                      <w:lang w:val="en-US" w:eastAsia="zh-CN"/>
                    </w:rPr>
                    <w:t>光学玻璃生产线</w:t>
                  </w:r>
                </w:p>
              </w:tc>
              <w:tc>
                <w:tcPr>
                  <w:tcW w:w="850" w:type="pct"/>
                  <w:tcBorders>
                    <w:top w:val="single" w:color="auto" w:sz="12" w:space="0"/>
                    <w:bottom w:val="single" w:color="auto" w:sz="12" w:space="0"/>
                  </w:tcBorders>
                  <w:vAlign w:val="center"/>
                </w:tcPr>
                <w:p w14:paraId="5B72128F">
                  <w:pPr>
                    <w:widowControl/>
                    <w:adjustRightInd w:val="0"/>
                    <w:snapToGrid w:val="0"/>
                    <w:jc w:val="center"/>
                    <w:rPr>
                      <w:rFonts w:hint="eastAsia" w:eastAsiaTheme="minorEastAsia"/>
                      <w:color w:val="auto"/>
                      <w:kern w:val="0"/>
                      <w:szCs w:val="21"/>
                      <w:highlight w:val="none"/>
                      <w:lang w:eastAsia="zh-CN"/>
                    </w:rPr>
                  </w:pPr>
                  <w:r>
                    <w:rPr>
                      <w:rFonts w:hint="eastAsia" w:eastAsiaTheme="minorEastAsia"/>
                      <w:color w:val="auto"/>
                      <w:kern w:val="0"/>
                      <w:szCs w:val="21"/>
                      <w:highlight w:val="none"/>
                      <w:lang w:val="en-US" w:eastAsia="zh-CN"/>
                    </w:rPr>
                    <w:t>光学玻璃</w:t>
                  </w:r>
                </w:p>
              </w:tc>
              <w:tc>
                <w:tcPr>
                  <w:tcW w:w="454" w:type="pct"/>
                  <w:tcBorders>
                    <w:top w:val="single" w:color="auto" w:sz="12" w:space="0"/>
                    <w:bottom w:val="single" w:color="auto" w:sz="12" w:space="0"/>
                  </w:tcBorders>
                  <w:vAlign w:val="center"/>
                </w:tcPr>
                <w:p w14:paraId="309DB81D">
                  <w:pPr>
                    <w:widowControl/>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w:t>
                  </w:r>
                </w:p>
              </w:tc>
              <w:tc>
                <w:tcPr>
                  <w:tcW w:w="1361" w:type="pct"/>
                  <w:tcBorders>
                    <w:top w:val="single" w:color="auto" w:sz="12" w:space="0"/>
                    <w:bottom w:val="single" w:color="auto" w:sz="12" w:space="0"/>
                    <w:right w:val="single" w:color="auto" w:sz="4" w:space="0"/>
                  </w:tcBorders>
                  <w:vAlign w:val="center"/>
                </w:tcPr>
                <w:p w14:paraId="6B331458">
                  <w:pPr>
                    <w:autoSpaceDE w:val="0"/>
                    <w:autoSpaceDN w:val="0"/>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100</w:t>
                  </w:r>
                </w:p>
              </w:tc>
              <w:tc>
                <w:tcPr>
                  <w:tcW w:w="918" w:type="pct"/>
                  <w:tcBorders>
                    <w:top w:val="single" w:color="auto" w:sz="12" w:space="0"/>
                    <w:left w:val="single" w:color="auto" w:sz="4" w:space="0"/>
                    <w:bottom w:val="single" w:color="auto" w:sz="12" w:space="0"/>
                  </w:tcBorders>
                  <w:vAlign w:val="center"/>
                </w:tcPr>
                <w:p w14:paraId="75B27FBA">
                  <w:pPr>
                    <w:widowControl/>
                    <w:autoSpaceDE w:val="0"/>
                    <w:autoSpaceDN w:val="0"/>
                    <w:adjustRightInd w:val="0"/>
                    <w:snapToGrid w:val="0"/>
                    <w:jc w:val="center"/>
                    <w:rPr>
                      <w:rFonts w:eastAsiaTheme="minorEastAsia"/>
                      <w:color w:val="auto"/>
                      <w:kern w:val="0"/>
                      <w:szCs w:val="21"/>
                      <w:highlight w:val="none"/>
                    </w:rPr>
                  </w:pPr>
                  <w:r>
                    <w:rPr>
                      <w:rFonts w:hint="eastAsia" w:eastAsiaTheme="minorEastAsia"/>
                      <w:color w:val="auto"/>
                      <w:kern w:val="0"/>
                      <w:szCs w:val="21"/>
                      <w:highlight w:val="none"/>
                      <w:lang w:val="en-US" w:eastAsia="zh-CN"/>
                    </w:rPr>
                    <w:t>2400</w:t>
                  </w:r>
                  <w:r>
                    <w:rPr>
                      <w:rFonts w:eastAsiaTheme="minorEastAsia"/>
                      <w:color w:val="auto"/>
                      <w:kern w:val="0"/>
                      <w:szCs w:val="21"/>
                      <w:highlight w:val="none"/>
                    </w:rPr>
                    <w:t>h</w:t>
                  </w:r>
                </w:p>
              </w:tc>
            </w:tr>
          </w:tbl>
          <w:p w14:paraId="12316F43">
            <w:pPr>
              <w:spacing w:before="120" w:beforeLines="50" w:line="360" w:lineRule="auto"/>
              <w:ind w:firstLine="482" w:firstLineChars="200"/>
              <w:rPr>
                <w:b/>
                <w:color w:val="auto"/>
                <w:sz w:val="24"/>
                <w:highlight w:val="none"/>
              </w:rPr>
            </w:pPr>
            <w:r>
              <w:rPr>
                <w:b/>
                <w:color w:val="auto"/>
                <w:sz w:val="24"/>
                <w:highlight w:val="none"/>
              </w:rPr>
              <w:t>5、公用工程</w:t>
            </w:r>
          </w:p>
          <w:p w14:paraId="39CA0373">
            <w:pPr>
              <w:autoSpaceDE w:val="0"/>
              <w:autoSpaceDN w:val="0"/>
              <w:adjustRightInd w:val="0"/>
              <w:snapToGrid w:val="0"/>
              <w:spacing w:line="360" w:lineRule="auto"/>
              <w:ind w:left="105" w:leftChars="50" w:firstLine="480" w:firstLineChars="200"/>
              <w:jc w:val="left"/>
              <w:rPr>
                <w:color w:val="auto"/>
                <w:sz w:val="24"/>
                <w:highlight w:val="none"/>
              </w:rPr>
            </w:pPr>
            <w:r>
              <w:rPr>
                <w:rFonts w:hint="eastAsia"/>
                <w:color w:val="auto"/>
                <w:sz w:val="24"/>
                <w:highlight w:val="none"/>
                <w:lang w:val="en-US" w:eastAsia="zh-CN"/>
              </w:rPr>
              <w:t>本</w:t>
            </w:r>
            <w:r>
              <w:rPr>
                <w:color w:val="auto"/>
                <w:sz w:val="24"/>
                <w:highlight w:val="none"/>
              </w:rPr>
              <w:t>项目主要用水为职工生活用水</w:t>
            </w:r>
            <w:r>
              <w:rPr>
                <w:rFonts w:hint="eastAsia"/>
                <w:color w:val="auto"/>
                <w:sz w:val="24"/>
                <w:highlight w:val="none"/>
                <w:lang w:val="en-US" w:eastAsia="zh-CN"/>
              </w:rPr>
              <w:t>、清洗和镀膜冷却用水</w:t>
            </w:r>
            <w:r>
              <w:rPr>
                <w:color w:val="auto"/>
                <w:sz w:val="24"/>
                <w:highlight w:val="none"/>
              </w:rPr>
              <w:t>，给水量为</w:t>
            </w:r>
            <w:r>
              <w:rPr>
                <w:rFonts w:hint="eastAsia"/>
                <w:color w:val="auto"/>
                <w:sz w:val="24"/>
                <w:highlight w:val="none"/>
                <w:lang w:val="en-US" w:eastAsia="zh-CN"/>
              </w:rPr>
              <w:t>1100.4</w:t>
            </w:r>
            <w:r>
              <w:rPr>
                <w:color w:val="auto"/>
                <w:sz w:val="24"/>
                <w:highlight w:val="none"/>
              </w:rPr>
              <w:t>t/a，由市政给水管网集中供给。</w:t>
            </w:r>
            <w:r>
              <w:rPr>
                <w:rFonts w:hint="eastAsia"/>
                <w:color w:val="auto"/>
                <w:sz w:val="24"/>
                <w:highlight w:val="none"/>
                <w:lang w:val="en-US" w:eastAsia="zh-CN"/>
              </w:rPr>
              <w:t>本项目光学玻璃擦片使用水基清洗剂，不涉及配水。</w:t>
            </w:r>
          </w:p>
          <w:p w14:paraId="08814307">
            <w:pPr>
              <w:spacing w:line="360" w:lineRule="auto"/>
              <w:ind w:firstLine="482"/>
              <w:rPr>
                <w:rFonts w:hint="eastAsia"/>
                <w:color w:val="auto"/>
                <w:sz w:val="24"/>
                <w:highlight w:val="none"/>
              </w:rPr>
            </w:pPr>
            <w:r>
              <w:rPr>
                <w:color w:val="auto"/>
                <w:sz w:val="24"/>
                <w:highlight w:val="none"/>
                <w:lang w:val="de-DE"/>
              </w:rPr>
              <w:fldChar w:fldCharType="begin"/>
            </w:r>
            <w:r>
              <w:rPr>
                <w:color w:val="auto"/>
                <w:sz w:val="24"/>
                <w:highlight w:val="none"/>
                <w:lang w:val="de-DE"/>
              </w:rPr>
              <w:instrText xml:space="preserve"> = 1 \* GB3 </w:instrText>
            </w:r>
            <w:r>
              <w:rPr>
                <w:color w:val="auto"/>
                <w:sz w:val="24"/>
                <w:highlight w:val="none"/>
                <w:lang w:val="de-DE"/>
              </w:rPr>
              <w:fldChar w:fldCharType="separate"/>
            </w:r>
            <w:r>
              <w:rPr>
                <w:color w:val="auto"/>
                <w:sz w:val="24"/>
                <w:highlight w:val="none"/>
                <w:lang w:val="de-DE"/>
              </w:rPr>
              <w:t>①</w:t>
            </w:r>
            <w:r>
              <w:rPr>
                <w:color w:val="auto"/>
                <w:sz w:val="24"/>
                <w:highlight w:val="none"/>
                <w:lang w:val="de-DE"/>
              </w:rPr>
              <w:fldChar w:fldCharType="end"/>
            </w:r>
            <w:r>
              <w:rPr>
                <w:rFonts w:hint="eastAsia"/>
                <w:color w:val="auto"/>
                <w:sz w:val="24"/>
                <w:highlight w:val="none"/>
              </w:rPr>
              <w:t>生活用水</w:t>
            </w:r>
          </w:p>
          <w:p w14:paraId="6B6087F1">
            <w:pPr>
              <w:widowControl/>
              <w:autoSpaceDE w:val="0"/>
              <w:autoSpaceDN w:val="0"/>
              <w:spacing w:line="360" w:lineRule="auto"/>
              <w:ind w:firstLine="480" w:firstLineChars="200"/>
              <w:outlineLvl w:val="3"/>
              <w:rPr>
                <w:color w:val="auto"/>
                <w:kern w:val="0"/>
                <w:sz w:val="24"/>
                <w:highlight w:val="none"/>
                <w:lang w:val="zh-CN"/>
              </w:rPr>
            </w:pPr>
            <w:r>
              <w:rPr>
                <w:rFonts w:hint="eastAsia"/>
                <w:color w:val="auto"/>
                <w:kern w:val="0"/>
                <w:sz w:val="24"/>
                <w:highlight w:val="none"/>
              </w:rPr>
              <w:t>本</w:t>
            </w:r>
            <w:r>
              <w:rPr>
                <w:color w:val="auto"/>
                <w:kern w:val="0"/>
                <w:sz w:val="24"/>
                <w:highlight w:val="none"/>
                <w:lang w:val="zh-CN"/>
              </w:rPr>
              <w:t>项目</w:t>
            </w:r>
            <w:r>
              <w:rPr>
                <w:rFonts w:hint="eastAsia"/>
                <w:color w:val="auto"/>
                <w:kern w:val="0"/>
                <w:sz w:val="24"/>
                <w:highlight w:val="none"/>
                <w:lang w:val="en-US" w:eastAsia="zh-CN"/>
              </w:rPr>
              <w:t>全厂</w:t>
            </w:r>
            <w:r>
              <w:rPr>
                <w:rFonts w:hint="eastAsia"/>
                <w:color w:val="auto"/>
                <w:kern w:val="0"/>
                <w:sz w:val="24"/>
                <w:highlight w:val="none"/>
              </w:rPr>
              <w:t>定员</w:t>
            </w:r>
            <w:r>
              <w:rPr>
                <w:rFonts w:hint="eastAsia"/>
                <w:color w:val="auto"/>
                <w:kern w:val="0"/>
                <w:sz w:val="24"/>
                <w:highlight w:val="none"/>
                <w:lang w:val="en-US" w:eastAsia="zh-CN"/>
              </w:rPr>
              <w:t>50</w:t>
            </w:r>
            <w:r>
              <w:rPr>
                <w:color w:val="auto"/>
                <w:kern w:val="0"/>
                <w:sz w:val="24"/>
                <w:highlight w:val="none"/>
                <w:lang w:val="zh-CN"/>
              </w:rPr>
              <w:t>人，根据《建筑给水排水设计标准》（GB50015-2019），工业企业建筑管理人员、车间工人的生活用水定额应根据车间性质确定，宜采用30L/（人•班）~50L/（人•班），本项目生活用水量按50L/（人•班）计，年工作时间</w:t>
            </w:r>
            <w:r>
              <w:rPr>
                <w:rFonts w:hint="eastAsia"/>
                <w:color w:val="auto"/>
                <w:kern w:val="0"/>
                <w:sz w:val="24"/>
                <w:highlight w:val="none"/>
                <w:lang w:val="en-US" w:eastAsia="zh-CN"/>
              </w:rPr>
              <w:t>为300</w:t>
            </w:r>
            <w:r>
              <w:rPr>
                <w:color w:val="auto"/>
                <w:kern w:val="0"/>
                <w:sz w:val="24"/>
                <w:highlight w:val="none"/>
                <w:lang w:val="zh-CN"/>
              </w:rPr>
              <w:t>天，则本项目员工</w:t>
            </w:r>
            <w:r>
              <w:rPr>
                <w:rFonts w:hint="eastAsia"/>
                <w:color w:val="auto"/>
                <w:kern w:val="0"/>
                <w:sz w:val="24"/>
                <w:highlight w:val="none"/>
              </w:rPr>
              <w:t>生活</w:t>
            </w:r>
            <w:r>
              <w:rPr>
                <w:color w:val="auto"/>
                <w:kern w:val="0"/>
                <w:sz w:val="24"/>
                <w:highlight w:val="none"/>
                <w:lang w:val="zh-CN"/>
              </w:rPr>
              <w:t>用水量为</w:t>
            </w:r>
            <w:r>
              <w:rPr>
                <w:rFonts w:hint="eastAsia"/>
                <w:color w:val="auto"/>
                <w:kern w:val="0"/>
                <w:sz w:val="24"/>
                <w:highlight w:val="none"/>
                <w:lang w:val="en-US" w:eastAsia="zh-CN"/>
              </w:rPr>
              <w:t>750</w:t>
            </w:r>
            <w:r>
              <w:rPr>
                <w:color w:val="auto"/>
                <w:kern w:val="0"/>
                <w:sz w:val="24"/>
                <w:highlight w:val="none"/>
                <w:lang w:val="zh-CN"/>
              </w:rPr>
              <w:t>t/a。</w:t>
            </w:r>
            <w:r>
              <w:rPr>
                <w:bCs/>
                <w:color w:val="auto"/>
                <w:sz w:val="24"/>
                <w:highlight w:val="none"/>
              </w:rPr>
              <w:t>生活污水按用水量的80%计算，则污水产生量为</w:t>
            </w:r>
            <w:r>
              <w:rPr>
                <w:rFonts w:hint="eastAsia"/>
                <w:bCs/>
                <w:color w:val="auto"/>
                <w:sz w:val="24"/>
                <w:highlight w:val="none"/>
                <w:lang w:val="en-US" w:eastAsia="zh-CN"/>
              </w:rPr>
              <w:t>600</w:t>
            </w:r>
            <w:r>
              <w:rPr>
                <w:bCs/>
                <w:color w:val="auto"/>
                <w:sz w:val="24"/>
                <w:highlight w:val="none"/>
              </w:rPr>
              <w:t>t/a。生活污水经化粪池处理后通过市政管网</w:t>
            </w:r>
            <w:r>
              <w:rPr>
                <w:rFonts w:hint="eastAsia"/>
                <w:bCs/>
                <w:color w:val="auto"/>
                <w:sz w:val="24"/>
                <w:highlight w:val="none"/>
                <w:lang w:val="en-US" w:eastAsia="zh-CN"/>
              </w:rPr>
              <w:t>接入</w:t>
            </w:r>
            <w:r>
              <w:rPr>
                <w:rFonts w:hint="eastAsia"/>
                <w:color w:val="auto"/>
                <w:sz w:val="24"/>
                <w:highlight w:val="none"/>
                <w:lang w:eastAsia="zh-CN"/>
              </w:rPr>
              <w:t>句容市郭庄污水处理有限公司集中处理</w:t>
            </w:r>
            <w:r>
              <w:rPr>
                <w:bCs/>
                <w:color w:val="auto"/>
                <w:sz w:val="24"/>
                <w:highlight w:val="none"/>
              </w:rPr>
              <w:t>。</w:t>
            </w:r>
          </w:p>
          <w:p w14:paraId="4B980C16">
            <w:pPr>
              <w:autoSpaceDE w:val="0"/>
              <w:autoSpaceDN w:val="0"/>
              <w:adjustRightInd w:val="0"/>
              <w:snapToGrid w:val="0"/>
              <w:spacing w:line="360" w:lineRule="auto"/>
              <w:ind w:left="105" w:leftChars="50" w:firstLine="480" w:firstLineChars="200"/>
              <w:jc w:val="left"/>
              <w:rPr>
                <w:rFonts w:hint="default" w:eastAsia="宋体"/>
                <w:b/>
                <w:color w:val="auto"/>
                <w:sz w:val="24"/>
                <w:highlight w:val="none"/>
                <w:lang w:val="en-US" w:eastAsia="zh-CN"/>
              </w:rPr>
            </w:pPr>
            <w:r>
              <w:rPr>
                <w:color w:val="auto"/>
                <w:kern w:val="0"/>
                <w:sz w:val="24"/>
                <w:highlight w:val="none"/>
                <w:lang w:val="zh-CN"/>
              </w:rPr>
              <w:t>②</w:t>
            </w:r>
            <w:r>
              <w:rPr>
                <w:rFonts w:hint="eastAsia"/>
                <w:b w:val="0"/>
                <w:bCs/>
                <w:color w:val="auto"/>
                <w:sz w:val="24"/>
                <w:highlight w:val="none"/>
                <w:lang w:val="en-US" w:eastAsia="zh-CN"/>
              </w:rPr>
              <w:t>清洗废水</w:t>
            </w:r>
          </w:p>
          <w:p w14:paraId="66D9A7F4">
            <w:pPr>
              <w:autoSpaceDE w:val="0"/>
              <w:autoSpaceDN w:val="0"/>
              <w:adjustRightInd w:val="0"/>
              <w:snapToGrid w:val="0"/>
              <w:spacing w:line="360" w:lineRule="auto"/>
              <w:ind w:left="105" w:leftChars="50" w:firstLine="480" w:firstLineChars="200"/>
              <w:jc w:val="left"/>
              <w:rPr>
                <w:b/>
                <w:color w:val="auto"/>
                <w:sz w:val="24"/>
                <w:highlight w:val="none"/>
              </w:rPr>
            </w:pPr>
            <w:r>
              <w:rPr>
                <w:rFonts w:hint="eastAsia"/>
                <w:b w:val="0"/>
                <w:bCs/>
                <w:color w:val="auto"/>
                <w:sz w:val="24"/>
                <w:highlight w:val="none"/>
              </w:rPr>
              <w:t>根据企业提供资料，</w:t>
            </w:r>
            <w:r>
              <w:rPr>
                <w:rFonts w:hint="eastAsia"/>
                <w:b w:val="0"/>
                <w:bCs/>
                <w:color w:val="auto"/>
                <w:sz w:val="24"/>
                <w:highlight w:val="none"/>
                <w:lang w:val="en-US" w:eastAsia="zh-CN"/>
              </w:rPr>
              <w:t>光学</w:t>
            </w:r>
            <w:r>
              <w:rPr>
                <w:rFonts w:hint="eastAsia"/>
                <w:b w:val="0"/>
                <w:bCs/>
                <w:color w:val="auto"/>
                <w:sz w:val="24"/>
                <w:highlight w:val="none"/>
              </w:rPr>
              <w:t>工件需要对表面用</w:t>
            </w:r>
            <w:r>
              <w:rPr>
                <w:rFonts w:hint="eastAsia"/>
                <w:b w:val="0"/>
                <w:bCs/>
                <w:color w:val="auto"/>
                <w:sz w:val="24"/>
                <w:highlight w:val="none"/>
                <w:lang w:eastAsia="zh-CN"/>
              </w:rPr>
              <w:t>超声波清洗机</w:t>
            </w:r>
            <w:r>
              <w:rPr>
                <w:rFonts w:hint="eastAsia"/>
                <w:b w:val="0"/>
                <w:bCs/>
                <w:color w:val="auto"/>
                <w:sz w:val="24"/>
                <w:highlight w:val="none"/>
              </w:rPr>
              <w:t>进行清洗，清洗过程不添加任何清洗剂，仅使用自来水</w:t>
            </w:r>
            <w:r>
              <w:rPr>
                <w:rFonts w:hint="eastAsia"/>
                <w:b w:val="0"/>
                <w:bCs/>
                <w:color w:val="auto"/>
                <w:sz w:val="24"/>
                <w:highlight w:val="none"/>
                <w:lang w:eastAsia="zh-CN"/>
              </w:rPr>
              <w:t>，根据企业提供资料，</w:t>
            </w:r>
            <w:r>
              <w:rPr>
                <w:rFonts w:hint="eastAsia"/>
                <w:b w:val="0"/>
                <w:bCs/>
                <w:color w:val="auto"/>
                <w:sz w:val="24"/>
                <w:highlight w:val="none"/>
              </w:rPr>
              <w:t>清洗用水年用量约</w:t>
            </w:r>
            <w:r>
              <w:rPr>
                <w:rFonts w:hint="eastAsia"/>
                <w:b w:val="0"/>
                <w:bCs/>
                <w:color w:val="auto"/>
                <w:sz w:val="24"/>
                <w:highlight w:val="none"/>
                <w:lang w:val="en-US" w:eastAsia="zh-CN"/>
              </w:rPr>
              <w:t>300</w:t>
            </w:r>
            <w:r>
              <w:rPr>
                <w:rFonts w:hint="eastAsia"/>
                <w:b w:val="0"/>
                <w:bCs/>
                <w:color w:val="auto"/>
                <w:sz w:val="24"/>
                <w:highlight w:val="none"/>
              </w:rPr>
              <w:t>t/a，排污系数按</w:t>
            </w:r>
            <w:r>
              <w:rPr>
                <w:rFonts w:hint="eastAsia"/>
                <w:b w:val="0"/>
                <w:bCs/>
                <w:color w:val="auto"/>
                <w:sz w:val="24"/>
                <w:highlight w:val="none"/>
                <w:lang w:val="en-US" w:eastAsia="zh-CN"/>
              </w:rPr>
              <w:t>8</w:t>
            </w:r>
            <w:r>
              <w:rPr>
                <w:rFonts w:hint="eastAsia"/>
                <w:b w:val="0"/>
                <w:bCs/>
                <w:color w:val="auto"/>
                <w:sz w:val="24"/>
                <w:highlight w:val="none"/>
              </w:rPr>
              <w:t>0%计，</w:t>
            </w:r>
            <w:r>
              <w:rPr>
                <w:rFonts w:hint="eastAsia"/>
                <w:b w:val="0"/>
                <w:bCs/>
                <w:color w:val="auto"/>
                <w:sz w:val="24"/>
                <w:highlight w:val="none"/>
                <w:lang w:eastAsia="zh-CN"/>
              </w:rPr>
              <w:t>则</w:t>
            </w:r>
            <w:r>
              <w:rPr>
                <w:rFonts w:hint="eastAsia"/>
                <w:b w:val="0"/>
                <w:bCs/>
                <w:color w:val="auto"/>
                <w:sz w:val="24"/>
                <w:highlight w:val="none"/>
              </w:rPr>
              <w:t>清洗废水产生量为</w:t>
            </w:r>
            <w:r>
              <w:rPr>
                <w:rFonts w:hint="eastAsia"/>
                <w:b w:val="0"/>
                <w:bCs/>
                <w:color w:val="auto"/>
                <w:sz w:val="24"/>
                <w:highlight w:val="none"/>
                <w:lang w:val="en-US" w:eastAsia="zh-CN"/>
              </w:rPr>
              <w:t>240</w:t>
            </w:r>
            <w:r>
              <w:rPr>
                <w:rFonts w:hint="eastAsia"/>
                <w:b w:val="0"/>
                <w:bCs/>
                <w:color w:val="auto"/>
                <w:sz w:val="24"/>
                <w:highlight w:val="none"/>
              </w:rPr>
              <w:t>t/a。</w:t>
            </w:r>
            <w:r>
              <w:rPr>
                <w:rFonts w:hint="eastAsia"/>
                <w:color w:val="auto"/>
                <w:sz w:val="24"/>
                <w:szCs w:val="24"/>
                <w:highlight w:val="none"/>
                <w:lang w:eastAsia="zh-CN"/>
              </w:rPr>
              <w:t>经沉淀</w:t>
            </w:r>
            <w:r>
              <w:rPr>
                <w:rFonts w:hint="eastAsia" w:ascii="Times New Roman" w:hAnsi="Times New Roman" w:eastAsia="宋体" w:cs="Times New Roman"/>
                <w:color w:val="auto"/>
                <w:sz w:val="24"/>
                <w:szCs w:val="24"/>
                <w:highlight w:val="none"/>
                <w:lang w:eastAsia="zh-CN"/>
              </w:rPr>
              <w:t>池后再经化粪池后通过市政管网</w:t>
            </w:r>
            <w:r>
              <w:rPr>
                <w:rFonts w:hint="eastAsia" w:ascii="Times New Roman" w:hAnsi="Times New Roman" w:eastAsia="宋体" w:cs="Times New Roman"/>
                <w:color w:val="auto"/>
                <w:sz w:val="24"/>
                <w:szCs w:val="24"/>
                <w:highlight w:val="none"/>
                <w:lang w:val="en-US" w:eastAsia="zh-CN"/>
              </w:rPr>
              <w:t>接入</w:t>
            </w:r>
            <w:r>
              <w:rPr>
                <w:rFonts w:hint="eastAsia" w:ascii="Times New Roman" w:hAnsi="Times New Roman" w:eastAsia="宋体" w:cs="Times New Roman"/>
                <w:color w:val="auto"/>
                <w:sz w:val="24"/>
                <w:szCs w:val="24"/>
                <w:highlight w:val="none"/>
                <w:lang w:eastAsia="zh-CN"/>
              </w:rPr>
              <w:t>句容市</w:t>
            </w:r>
            <w:r>
              <w:rPr>
                <w:rFonts w:hint="eastAsia"/>
                <w:color w:val="auto"/>
                <w:sz w:val="24"/>
                <w:highlight w:val="none"/>
                <w:lang w:eastAsia="zh-CN"/>
              </w:rPr>
              <w:t>郭庄污水处理有限公司集中处理。</w:t>
            </w:r>
          </w:p>
          <w:p w14:paraId="1ABCAD6F">
            <w:pPr>
              <w:keepNext w:val="0"/>
              <w:keepLines w:val="0"/>
              <w:pageBreakBefore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eastAsia="宋体"/>
                <w:b w:val="0"/>
                <w:bCs/>
                <w:color w:val="auto"/>
                <w:sz w:val="24"/>
                <w:highlight w:val="none"/>
                <w:lang w:eastAsia="zh-CN"/>
              </w:rPr>
            </w:pPr>
            <w:r>
              <w:rPr>
                <w:rFonts w:hint="eastAsia"/>
                <w:b w:val="0"/>
                <w:bCs/>
                <w:color w:val="auto"/>
                <w:sz w:val="24"/>
                <w:highlight w:val="none"/>
              </w:rPr>
              <w:t>③</w:t>
            </w:r>
            <w:r>
              <w:rPr>
                <w:rFonts w:hint="eastAsia"/>
                <w:b w:val="0"/>
                <w:bCs/>
                <w:color w:val="auto"/>
                <w:sz w:val="24"/>
                <w:highlight w:val="none"/>
                <w:lang w:eastAsia="zh-CN"/>
              </w:rPr>
              <w:t>镀膜冷却用水</w:t>
            </w:r>
          </w:p>
          <w:p w14:paraId="0AE92CC4">
            <w:pPr>
              <w:keepNext w:val="0"/>
              <w:keepLines w:val="0"/>
              <w:pageBreakBefore w:val="0"/>
              <w:widowControl/>
              <w:suppressLineNumbers w:val="0"/>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cs="Times New Roman"/>
                <w:color w:val="auto"/>
                <w:kern w:val="0"/>
                <w:sz w:val="24"/>
                <w:szCs w:val="24"/>
                <w:highlight w:val="none"/>
              </w:rPr>
            </w:pPr>
            <w:r>
              <w:rPr>
                <w:rFonts w:hint="eastAsia" w:ascii="宋体" w:hAnsi="宋体" w:cs="宋体"/>
                <w:color w:val="auto"/>
                <w:kern w:val="0"/>
                <w:sz w:val="24"/>
                <w:szCs w:val="24"/>
                <w:highlight w:val="none"/>
                <w:lang w:val="en-US" w:eastAsia="zh-CN" w:bidi="ar"/>
              </w:rPr>
              <w:t>本</w:t>
            </w:r>
            <w:r>
              <w:rPr>
                <w:rFonts w:hint="eastAsia" w:ascii="宋体" w:hAnsi="宋体" w:eastAsia="宋体" w:cs="宋体"/>
                <w:color w:val="auto"/>
                <w:kern w:val="0"/>
                <w:sz w:val="24"/>
                <w:szCs w:val="24"/>
                <w:highlight w:val="none"/>
                <w:lang w:val="en-US" w:eastAsia="zh-CN" w:bidi="ar"/>
              </w:rPr>
              <w:t>项目镀膜过程中，镀膜机产生的热气体经过管道抽至冷水机组冷却，</w:t>
            </w:r>
            <w:r>
              <w:rPr>
                <w:rFonts w:cs="宋体"/>
                <w:color w:val="auto"/>
                <w:kern w:val="0"/>
                <w:sz w:val="24"/>
                <w:szCs w:val="24"/>
                <w:highlight w:val="none"/>
              </w:rPr>
              <w:t>冷却</w:t>
            </w:r>
            <w:r>
              <w:rPr>
                <w:rFonts w:hint="eastAsia" w:cs="宋体"/>
                <w:color w:val="auto"/>
                <w:kern w:val="0"/>
                <w:sz w:val="24"/>
                <w:szCs w:val="24"/>
                <w:highlight w:val="none"/>
                <w:lang w:eastAsia="zh-CN"/>
              </w:rPr>
              <w:t>机</w:t>
            </w:r>
            <w:r>
              <w:rPr>
                <w:rFonts w:cs="宋体"/>
                <w:color w:val="auto"/>
                <w:kern w:val="0"/>
                <w:sz w:val="24"/>
                <w:szCs w:val="24"/>
                <w:highlight w:val="none"/>
              </w:rPr>
              <w:t>循环水量为</w:t>
            </w:r>
            <w:r>
              <w:rPr>
                <w:rFonts w:hint="eastAsia" w:cs="宋体"/>
                <w:color w:val="auto"/>
                <w:kern w:val="0"/>
                <w:sz w:val="24"/>
                <w:szCs w:val="24"/>
                <w:highlight w:val="none"/>
                <w:lang w:val="en-US" w:eastAsia="zh-CN"/>
              </w:rPr>
              <w:t>2</w:t>
            </w:r>
            <w:r>
              <w:rPr>
                <w:rFonts w:cs="宋体"/>
                <w:color w:val="auto"/>
                <w:kern w:val="0"/>
                <w:sz w:val="24"/>
                <w:szCs w:val="24"/>
                <w:highlight w:val="none"/>
              </w:rPr>
              <w:t>m</w:t>
            </w:r>
            <w:r>
              <w:rPr>
                <w:rFonts w:cs="宋体"/>
                <w:color w:val="auto"/>
                <w:kern w:val="0"/>
                <w:sz w:val="24"/>
                <w:szCs w:val="24"/>
                <w:highlight w:val="none"/>
                <w:vertAlign w:val="superscript"/>
              </w:rPr>
              <w:t>3</w:t>
            </w:r>
            <w:r>
              <w:rPr>
                <w:rFonts w:cs="宋体"/>
                <w:color w:val="auto"/>
                <w:kern w:val="0"/>
                <w:sz w:val="24"/>
                <w:szCs w:val="24"/>
                <w:highlight w:val="none"/>
              </w:rPr>
              <w:t>/h，有效工作时间约6h/d，年工作300天，循环水量为</w:t>
            </w:r>
            <w:r>
              <w:rPr>
                <w:rFonts w:hint="eastAsia" w:cs="宋体"/>
                <w:color w:val="auto"/>
                <w:kern w:val="0"/>
                <w:sz w:val="24"/>
                <w:szCs w:val="24"/>
                <w:highlight w:val="none"/>
                <w:lang w:val="en-US" w:eastAsia="zh-CN"/>
              </w:rPr>
              <w:t>36</w:t>
            </w:r>
            <w:r>
              <w:rPr>
                <w:rFonts w:cs="宋体"/>
                <w:color w:val="auto"/>
                <w:kern w:val="0"/>
                <w:sz w:val="24"/>
                <w:szCs w:val="24"/>
                <w:highlight w:val="none"/>
              </w:rPr>
              <w:t>00</w:t>
            </w:r>
            <w:r>
              <w:rPr>
                <w:color w:val="auto"/>
                <w:kern w:val="0"/>
                <w:sz w:val="24"/>
                <w:szCs w:val="24"/>
                <w:highlight w:val="none"/>
              </w:rPr>
              <w:t>m</w:t>
            </w:r>
            <w:r>
              <w:rPr>
                <w:color w:val="auto"/>
                <w:kern w:val="0"/>
                <w:sz w:val="24"/>
                <w:szCs w:val="24"/>
                <w:highlight w:val="none"/>
                <w:vertAlign w:val="superscript"/>
              </w:rPr>
              <w:t>3</w:t>
            </w:r>
            <w:r>
              <w:rPr>
                <w:color w:val="auto"/>
                <w:kern w:val="0"/>
                <w:sz w:val="24"/>
                <w:szCs w:val="24"/>
                <w:highlight w:val="none"/>
              </w:rPr>
              <w:t>/a。</w:t>
            </w:r>
            <w:r>
              <w:rPr>
                <w:rFonts w:cs="宋体"/>
                <w:color w:val="auto"/>
                <w:kern w:val="0"/>
                <w:sz w:val="24"/>
                <w:szCs w:val="24"/>
                <w:highlight w:val="none"/>
              </w:rPr>
              <w:t>冷却用水需适时补充损耗水量，冷却补给水量主要包括蒸发损失水量、飞溅损失水量。蒸发水量参考《工业循环冷却水处理设计规范》（GB/T50050-2017）</w:t>
            </w:r>
            <w:r>
              <w:rPr>
                <w:rFonts w:hint="eastAsia" w:cs="宋体"/>
                <w:color w:val="auto"/>
                <w:kern w:val="0"/>
                <w:sz w:val="24"/>
                <w:szCs w:val="24"/>
                <w:highlight w:val="none"/>
                <w:lang w:val="en-US" w:eastAsia="zh-CN"/>
              </w:rPr>
              <w:t>5.0.6中公式</w:t>
            </w:r>
            <w:r>
              <w:rPr>
                <w:rFonts w:hint="eastAsia" w:cs="宋体"/>
                <w:color w:val="auto"/>
                <w:kern w:val="0"/>
                <w:sz w:val="24"/>
                <w:szCs w:val="24"/>
                <w:highlight w:val="none"/>
              </w:rPr>
              <w:t>计算</w:t>
            </w:r>
            <w:r>
              <w:rPr>
                <w:rFonts w:hint="eastAsia" w:cs="宋体"/>
                <w:color w:val="auto"/>
                <w:kern w:val="0"/>
                <w:sz w:val="24"/>
                <w:szCs w:val="24"/>
                <w:highlight w:val="none"/>
                <w:lang w:eastAsia="zh-CN"/>
              </w:rPr>
              <w:t>：</w:t>
            </w:r>
            <w:r>
              <w:rPr>
                <w:rFonts w:hint="default" w:ascii="Times New Roman" w:hAnsi="Times New Roman" w:cs="Times New Roman"/>
                <w:color w:val="auto"/>
                <w:kern w:val="0"/>
                <w:sz w:val="24"/>
                <w:szCs w:val="24"/>
                <w:highlight w:val="none"/>
              </w:rPr>
              <w:t>Qe=k∗Δt∗Qr</w:t>
            </w:r>
          </w:p>
          <w:p w14:paraId="5313FCE7">
            <w:pPr>
              <w:keepNext w:val="0"/>
              <w:keepLines w:val="0"/>
              <w:pageBreakBefore w:val="0"/>
              <w:widowControl/>
              <w:suppressLineNumbers w:val="0"/>
              <w:kinsoku/>
              <w:wordWrap/>
              <w:overflowPunct/>
              <w:topLinePunct w:val="0"/>
              <w:bidi w:val="0"/>
              <w:adjustRightInd/>
              <w:snapToGrid/>
              <w:spacing w:line="360" w:lineRule="auto"/>
              <w:ind w:left="0" w:leftChars="0" w:firstLine="480" w:firstLineChars="200"/>
              <w:jc w:val="both"/>
              <w:textAlignment w:val="auto"/>
              <w:rPr>
                <w:rFonts w:hint="eastAsia" w:cs="宋体"/>
                <w:color w:val="auto"/>
                <w:kern w:val="0"/>
                <w:sz w:val="24"/>
                <w:szCs w:val="24"/>
                <w:highlight w:val="none"/>
              </w:rPr>
            </w:pPr>
            <w:r>
              <w:rPr>
                <w:rFonts w:hint="eastAsia" w:cs="宋体"/>
                <w:color w:val="auto"/>
                <w:kern w:val="0"/>
                <w:sz w:val="24"/>
                <w:szCs w:val="24"/>
                <w:highlight w:val="none"/>
              </w:rPr>
              <w:t>其中：k—蒸发损失系数（1/℃），本项目取0.001</w:t>
            </w:r>
            <w:r>
              <w:rPr>
                <w:rFonts w:hint="eastAsia" w:cs="宋体"/>
                <w:color w:val="auto"/>
                <w:kern w:val="0"/>
                <w:sz w:val="24"/>
                <w:szCs w:val="24"/>
                <w:highlight w:val="none"/>
                <w:lang w:val="en-US" w:eastAsia="zh-CN"/>
              </w:rPr>
              <w:t>4</w:t>
            </w:r>
            <w:r>
              <w:rPr>
                <w:rFonts w:hint="eastAsia" w:cs="宋体"/>
                <w:color w:val="auto"/>
                <w:kern w:val="0"/>
                <w:sz w:val="24"/>
                <w:szCs w:val="24"/>
                <w:highlight w:val="none"/>
              </w:rPr>
              <w:t>；</w:t>
            </w:r>
          </w:p>
          <w:p w14:paraId="5A1A5A8E">
            <w:pPr>
              <w:keepNext w:val="0"/>
              <w:keepLines w:val="0"/>
              <w:pageBreakBefore w:val="0"/>
              <w:widowControl/>
              <w:suppressLineNumbers w:val="0"/>
              <w:kinsoku/>
              <w:wordWrap/>
              <w:overflowPunct/>
              <w:topLinePunct w:val="0"/>
              <w:bidi w:val="0"/>
              <w:adjustRightInd/>
              <w:snapToGrid/>
              <w:spacing w:line="360" w:lineRule="auto"/>
              <w:ind w:left="0" w:leftChars="0" w:firstLine="480" w:firstLineChars="200"/>
              <w:jc w:val="both"/>
              <w:textAlignment w:val="auto"/>
              <w:rPr>
                <w:rFonts w:hint="eastAsia" w:cs="宋体"/>
                <w:color w:val="auto"/>
                <w:kern w:val="0"/>
                <w:sz w:val="24"/>
                <w:szCs w:val="24"/>
                <w:highlight w:val="none"/>
              </w:rPr>
            </w:pPr>
            <w:r>
              <w:rPr>
                <w:rFonts w:hint="eastAsia" w:cs="宋体"/>
                <w:color w:val="auto"/>
                <w:kern w:val="0"/>
                <w:sz w:val="24"/>
                <w:szCs w:val="24"/>
                <w:highlight w:val="none"/>
              </w:rPr>
              <w:t>Δt—循环冷却水进出口温差（℃），本项目取</w:t>
            </w:r>
            <w:r>
              <w:rPr>
                <w:rFonts w:hint="eastAsia" w:cs="宋体"/>
                <w:color w:val="auto"/>
                <w:kern w:val="0"/>
                <w:sz w:val="24"/>
                <w:szCs w:val="24"/>
                <w:highlight w:val="none"/>
                <w:lang w:val="en-US" w:eastAsia="zh-CN"/>
              </w:rPr>
              <w:t>10</w:t>
            </w:r>
            <w:r>
              <w:rPr>
                <w:rFonts w:hint="eastAsia" w:cs="宋体"/>
                <w:color w:val="auto"/>
                <w:kern w:val="0"/>
                <w:sz w:val="24"/>
                <w:szCs w:val="24"/>
                <w:highlight w:val="none"/>
              </w:rPr>
              <w:t>℃；</w:t>
            </w:r>
          </w:p>
          <w:p w14:paraId="5E682709">
            <w:pPr>
              <w:keepNext w:val="0"/>
              <w:keepLines w:val="0"/>
              <w:pageBreakBefore w:val="0"/>
              <w:widowControl/>
              <w:suppressLineNumbers w:val="0"/>
              <w:kinsoku/>
              <w:wordWrap/>
              <w:overflowPunct/>
              <w:topLinePunct w:val="0"/>
              <w:bidi w:val="0"/>
              <w:adjustRightInd/>
              <w:snapToGrid/>
              <w:spacing w:line="360" w:lineRule="auto"/>
              <w:ind w:left="0" w:leftChars="0" w:firstLine="480" w:firstLineChars="200"/>
              <w:jc w:val="both"/>
              <w:textAlignment w:val="auto"/>
              <w:rPr>
                <w:rFonts w:hint="eastAsia" w:cs="宋体"/>
                <w:color w:val="auto"/>
                <w:kern w:val="0"/>
                <w:sz w:val="24"/>
                <w:szCs w:val="24"/>
                <w:highlight w:val="none"/>
              </w:rPr>
            </w:pPr>
            <w:r>
              <w:rPr>
                <w:rFonts w:hint="eastAsia" w:cs="宋体"/>
                <w:color w:val="auto"/>
                <w:kern w:val="0"/>
                <w:sz w:val="24"/>
                <w:szCs w:val="24"/>
                <w:highlight w:val="none"/>
              </w:rPr>
              <w:t>Qr—循环冷却水量（m</w:t>
            </w:r>
            <w:r>
              <w:rPr>
                <w:rFonts w:hint="eastAsia" w:cs="宋体"/>
                <w:color w:val="auto"/>
                <w:kern w:val="0"/>
                <w:sz w:val="24"/>
                <w:szCs w:val="24"/>
                <w:highlight w:val="none"/>
                <w:vertAlign w:val="superscript"/>
              </w:rPr>
              <w:t>3</w:t>
            </w:r>
            <w:r>
              <w:rPr>
                <w:rFonts w:hint="eastAsia" w:cs="宋体"/>
                <w:color w:val="auto"/>
                <w:kern w:val="0"/>
                <w:sz w:val="24"/>
                <w:szCs w:val="24"/>
                <w:highlight w:val="none"/>
              </w:rPr>
              <w:t>/a）</w:t>
            </w:r>
          </w:p>
          <w:p w14:paraId="3074C2FE">
            <w:pPr>
              <w:keepNext w:val="0"/>
              <w:keepLines w:val="0"/>
              <w:pageBreakBefore w:val="0"/>
              <w:widowControl/>
              <w:suppressLineNumbers w:val="0"/>
              <w:kinsoku/>
              <w:wordWrap/>
              <w:overflowPunct/>
              <w:topLinePunct w:val="0"/>
              <w:bidi w:val="0"/>
              <w:adjustRightInd/>
              <w:snapToGrid/>
              <w:spacing w:line="360" w:lineRule="auto"/>
              <w:ind w:left="0" w:leftChars="0" w:firstLine="480" w:firstLineChars="200"/>
              <w:jc w:val="both"/>
              <w:textAlignment w:val="auto"/>
              <w:rPr>
                <w:bCs/>
                <w:color w:val="auto"/>
                <w:sz w:val="24"/>
                <w:highlight w:val="none"/>
              </w:rPr>
            </w:pPr>
            <w:r>
              <w:rPr>
                <w:rFonts w:hint="eastAsia" w:cs="宋体"/>
                <w:color w:val="auto"/>
                <w:kern w:val="0"/>
                <w:sz w:val="24"/>
                <w:szCs w:val="24"/>
                <w:highlight w:val="none"/>
              </w:rPr>
              <w:t>根据上式计算得出冷却蒸发水量Qe=</w:t>
            </w:r>
            <w:r>
              <w:rPr>
                <w:rFonts w:hint="eastAsia" w:cs="宋体"/>
                <w:color w:val="auto"/>
                <w:kern w:val="0"/>
                <w:sz w:val="24"/>
                <w:szCs w:val="24"/>
                <w:highlight w:val="none"/>
                <w:lang w:val="en-US" w:eastAsia="zh-CN"/>
              </w:rPr>
              <w:t>50.4</w:t>
            </w:r>
            <w:r>
              <w:rPr>
                <w:rFonts w:hint="eastAsia" w:cs="宋体"/>
                <w:color w:val="auto"/>
                <w:kern w:val="0"/>
                <w:sz w:val="24"/>
                <w:szCs w:val="24"/>
                <w:highlight w:val="none"/>
              </w:rPr>
              <w:t>m</w:t>
            </w:r>
            <w:r>
              <w:rPr>
                <w:rFonts w:hint="eastAsia" w:cs="宋体"/>
                <w:color w:val="auto"/>
                <w:kern w:val="0"/>
                <w:sz w:val="24"/>
                <w:szCs w:val="24"/>
                <w:highlight w:val="none"/>
                <w:vertAlign w:val="superscript"/>
              </w:rPr>
              <w:t>3</w:t>
            </w:r>
            <w:r>
              <w:rPr>
                <w:rFonts w:hint="eastAsia" w:cs="宋体"/>
                <w:color w:val="auto"/>
                <w:kern w:val="0"/>
                <w:sz w:val="24"/>
                <w:szCs w:val="24"/>
                <w:highlight w:val="none"/>
              </w:rPr>
              <w:t>/a</w:t>
            </w:r>
            <w:r>
              <w:rPr>
                <w:rFonts w:hint="eastAsia"/>
                <w:color w:val="auto"/>
                <w:kern w:val="0"/>
                <w:sz w:val="24"/>
                <w:szCs w:val="24"/>
                <w:highlight w:val="none"/>
                <w:lang w:eastAsia="zh-CN"/>
              </w:rPr>
              <w:t>，</w:t>
            </w:r>
            <w:r>
              <w:rPr>
                <w:rFonts w:hint="eastAsia"/>
                <w:color w:val="auto"/>
                <w:sz w:val="24"/>
                <w:szCs w:val="24"/>
                <w:highlight w:val="none"/>
              </w:rPr>
              <w:t>冷却水循环使用不外排。</w:t>
            </w:r>
          </w:p>
          <w:p w14:paraId="4E212AAC">
            <w:pPr>
              <w:autoSpaceDE w:val="0"/>
              <w:autoSpaceDN w:val="0"/>
              <w:adjustRightInd w:val="0"/>
              <w:snapToGrid w:val="0"/>
              <w:spacing w:line="360" w:lineRule="auto"/>
              <w:ind w:left="105" w:leftChars="50" w:firstLine="480" w:firstLineChars="200"/>
              <w:jc w:val="left"/>
              <w:rPr>
                <w:rFonts w:hint="eastAsia" w:eastAsia="宋体"/>
                <w:bCs/>
                <w:color w:val="auto"/>
                <w:sz w:val="24"/>
                <w:highlight w:val="none"/>
                <w:lang w:val="en-US" w:eastAsia="zh-CN"/>
              </w:rPr>
            </w:pPr>
            <w:r>
              <w:rPr>
                <w:bCs/>
                <w:color w:val="auto"/>
                <w:sz w:val="24"/>
                <w:highlight w:val="none"/>
              </w:rPr>
              <w:t>本项目水平衡图见图2-1</w:t>
            </w:r>
            <w:r>
              <w:rPr>
                <w:rFonts w:hint="eastAsia"/>
                <w:bCs/>
                <w:color w:val="auto"/>
                <w:sz w:val="24"/>
                <w:highlight w:val="none"/>
                <w:lang w:eastAsia="zh-CN"/>
              </w:rPr>
              <w:t>。</w:t>
            </w:r>
          </w:p>
          <w:p w14:paraId="44137EFA">
            <w:pPr>
              <w:pStyle w:val="30"/>
              <w:jc w:val="left"/>
              <w:rPr>
                <w:rFonts w:ascii="Times New Roman" w:hAnsi="Times New Roman" w:cs="Times New Roman"/>
                <w:b/>
                <w:color w:val="auto"/>
                <w:sz w:val="24"/>
                <w:highlight w:val="none"/>
              </w:rPr>
            </w:pPr>
            <w:r>
              <w:rPr>
                <w:rFonts w:ascii="Times New Roman" w:hAnsi="Times New Roman" w:cs="Times New Roman"/>
                <w:b/>
                <w:color w:val="auto"/>
                <w:sz w:val="24"/>
                <w:highlight w:val="none"/>
              </w:rPr>
              <w:object>
                <v:shape id="_x0000_i1025" o:spt="75" type="#_x0000_t75" style="height:190.35pt;width:410.35pt;" o:ole="t" filled="f" o:preferrelative="t" stroked="f" coordsize="21600,21600">
                  <v:path/>
                  <v:fill on="f" focussize="0,0"/>
                  <v:stroke on="f"/>
                  <v:imagedata r:id="rId13" o:title=""/>
                  <o:lock v:ext="edit" aspectratio="f"/>
                  <w10:wrap type="none"/>
                  <w10:anchorlock/>
                </v:shape>
                <o:OLEObject Type="Embed" ProgID="Visio.Drawing.11" ShapeID="_x0000_i1025" DrawAspect="Content" ObjectID="_1468075725" r:id="rId12">
                  <o:LockedField>false</o:LockedField>
                </o:OLEObject>
              </w:object>
            </w:r>
          </w:p>
          <w:p w14:paraId="7573B719">
            <w:pPr>
              <w:pStyle w:val="30"/>
              <w:jc w:val="center"/>
              <w:rPr>
                <w:rFonts w:hint="default" w:ascii="Times New Roman" w:hAnsi="Times New Roman" w:eastAsia="宋体" w:cs="Times New Roman"/>
                <w:color w:val="auto"/>
                <w:highlight w:val="none"/>
                <w:lang w:val="en-US" w:eastAsia="zh-CN"/>
              </w:rPr>
            </w:pPr>
            <w:r>
              <w:rPr>
                <w:rFonts w:ascii="Times New Roman" w:hAnsi="Times New Roman" w:cs="Times New Roman"/>
                <w:b/>
                <w:color w:val="auto"/>
                <w:sz w:val="24"/>
                <w:highlight w:val="none"/>
              </w:rPr>
              <w:t>图2-1 本项目水平衡图</w:t>
            </w:r>
            <w:r>
              <w:rPr>
                <w:rFonts w:hint="eastAsia" w:ascii="Times New Roman" w:hAnsi="Times New Roman" w:cs="Times New Roman"/>
                <w:b/>
                <w:color w:val="auto"/>
                <w:sz w:val="24"/>
                <w:highlight w:val="none"/>
                <w:lang w:val="en-US" w:eastAsia="zh-CN"/>
              </w:rPr>
              <w:t>t/a</w:t>
            </w:r>
          </w:p>
          <w:p w14:paraId="4ED19610">
            <w:pPr>
              <w:spacing w:before="120" w:beforeLines="50" w:line="360" w:lineRule="auto"/>
              <w:ind w:firstLine="482" w:firstLineChars="200"/>
              <w:rPr>
                <w:b/>
                <w:color w:val="auto"/>
                <w:sz w:val="24"/>
                <w:highlight w:val="none"/>
              </w:rPr>
            </w:pPr>
            <w:r>
              <w:rPr>
                <w:b/>
                <w:color w:val="auto"/>
                <w:sz w:val="24"/>
                <w:highlight w:val="none"/>
              </w:rPr>
              <w:t>供电：</w:t>
            </w:r>
            <w:r>
              <w:rPr>
                <w:rFonts w:hint="eastAsia"/>
                <w:bCs/>
                <w:color w:val="auto"/>
                <w:sz w:val="24"/>
                <w:highlight w:val="none"/>
                <w:lang w:val="en-US" w:eastAsia="zh-CN"/>
              </w:rPr>
              <w:t>本</w:t>
            </w:r>
            <w:r>
              <w:rPr>
                <w:bCs/>
                <w:color w:val="auto"/>
                <w:sz w:val="24"/>
                <w:highlight w:val="none"/>
              </w:rPr>
              <w:t>项目用电量</w:t>
            </w:r>
            <w:r>
              <w:rPr>
                <w:rFonts w:hint="eastAsia"/>
                <w:color w:val="auto"/>
                <w:kern w:val="0"/>
                <w:sz w:val="24"/>
                <w:highlight w:val="none"/>
                <w:lang w:val="en-US" w:eastAsia="zh-CN"/>
              </w:rPr>
              <w:t>20</w:t>
            </w:r>
            <w:r>
              <w:rPr>
                <w:color w:val="auto"/>
                <w:kern w:val="0"/>
                <w:sz w:val="24"/>
                <w:highlight w:val="none"/>
                <w:lang w:val="zh-CN"/>
              </w:rPr>
              <w:t>万kW•h/a</w:t>
            </w:r>
            <w:r>
              <w:rPr>
                <w:bCs/>
                <w:color w:val="auto"/>
                <w:sz w:val="24"/>
                <w:highlight w:val="none"/>
              </w:rPr>
              <w:t>，由市</w:t>
            </w:r>
            <w:r>
              <w:rPr>
                <w:rFonts w:hint="eastAsia"/>
                <w:bCs/>
                <w:color w:val="auto"/>
                <w:sz w:val="24"/>
                <w:highlight w:val="none"/>
                <w:lang w:val="en-US" w:eastAsia="zh-CN"/>
              </w:rPr>
              <w:t>政</w:t>
            </w:r>
            <w:r>
              <w:rPr>
                <w:bCs/>
                <w:color w:val="auto"/>
                <w:sz w:val="24"/>
                <w:highlight w:val="none"/>
              </w:rPr>
              <w:t>供电管网供给。</w:t>
            </w:r>
          </w:p>
          <w:p w14:paraId="5E2932A5">
            <w:pPr>
              <w:spacing w:before="120" w:beforeLines="50" w:line="360" w:lineRule="auto"/>
              <w:ind w:firstLine="482" w:firstLineChars="200"/>
              <w:rPr>
                <w:b/>
                <w:color w:val="auto"/>
                <w:sz w:val="24"/>
                <w:highlight w:val="none"/>
              </w:rPr>
            </w:pPr>
            <w:r>
              <w:rPr>
                <w:b/>
                <w:color w:val="auto"/>
                <w:sz w:val="24"/>
                <w:highlight w:val="none"/>
              </w:rPr>
              <w:t>公用及辅助工程见表2-</w:t>
            </w:r>
            <w:r>
              <w:rPr>
                <w:rFonts w:hint="eastAsia"/>
                <w:b/>
                <w:color w:val="auto"/>
                <w:sz w:val="24"/>
                <w:highlight w:val="none"/>
                <w:lang w:val="en-US" w:eastAsia="zh-CN"/>
              </w:rPr>
              <w:t>2</w:t>
            </w:r>
            <w:r>
              <w:rPr>
                <w:b/>
                <w:color w:val="auto"/>
                <w:sz w:val="24"/>
                <w:highlight w:val="none"/>
              </w:rPr>
              <w:t>。</w:t>
            </w:r>
          </w:p>
          <w:p w14:paraId="43BD536B">
            <w:pPr>
              <w:widowControl/>
              <w:adjustRightInd w:val="0"/>
              <w:snapToGrid w:val="0"/>
              <w:jc w:val="center"/>
              <w:rPr>
                <w:rFonts w:eastAsiaTheme="minorEastAsia"/>
                <w:b/>
                <w:color w:val="auto"/>
                <w:kern w:val="0"/>
                <w:szCs w:val="21"/>
                <w:highlight w:val="none"/>
              </w:rPr>
            </w:pPr>
            <w:r>
              <w:rPr>
                <w:rFonts w:eastAsiaTheme="minorEastAsia"/>
                <w:b/>
                <w:color w:val="auto"/>
                <w:kern w:val="0"/>
                <w:sz w:val="24"/>
                <w:szCs w:val="20"/>
                <w:highlight w:val="none"/>
              </w:rPr>
              <w:t>表2-</w:t>
            </w:r>
            <w:r>
              <w:rPr>
                <w:rFonts w:hint="eastAsia" w:eastAsiaTheme="minorEastAsia"/>
                <w:b/>
                <w:color w:val="auto"/>
                <w:kern w:val="0"/>
                <w:sz w:val="24"/>
                <w:szCs w:val="20"/>
                <w:highlight w:val="none"/>
                <w:lang w:val="en-US" w:eastAsia="zh-CN"/>
              </w:rPr>
              <w:t>2</w:t>
            </w:r>
            <w:r>
              <w:rPr>
                <w:rFonts w:eastAsiaTheme="minorEastAsia"/>
                <w:b/>
                <w:color w:val="auto"/>
                <w:kern w:val="0"/>
                <w:sz w:val="24"/>
                <w:szCs w:val="20"/>
                <w:highlight w:val="none"/>
              </w:rPr>
              <w:t xml:space="preserve"> 公</w:t>
            </w:r>
            <w:r>
              <w:rPr>
                <w:rFonts w:hint="eastAsia" w:eastAsiaTheme="minorEastAsia"/>
                <w:b/>
                <w:color w:val="auto"/>
                <w:kern w:val="0"/>
                <w:sz w:val="24"/>
                <w:szCs w:val="20"/>
                <w:highlight w:val="none"/>
                <w:lang w:val="en-US" w:eastAsia="zh-CN"/>
              </w:rPr>
              <w:t>用及</w:t>
            </w:r>
            <w:r>
              <w:rPr>
                <w:rFonts w:eastAsiaTheme="minorEastAsia"/>
                <w:b/>
                <w:color w:val="auto"/>
                <w:kern w:val="0"/>
                <w:sz w:val="24"/>
                <w:szCs w:val="20"/>
                <w:highlight w:val="none"/>
              </w:rPr>
              <w:t>辅</w:t>
            </w:r>
            <w:r>
              <w:rPr>
                <w:rFonts w:hint="eastAsia" w:eastAsiaTheme="minorEastAsia"/>
                <w:b/>
                <w:color w:val="auto"/>
                <w:kern w:val="0"/>
                <w:sz w:val="24"/>
                <w:szCs w:val="20"/>
                <w:highlight w:val="none"/>
                <w:lang w:val="en-US" w:eastAsia="zh-CN"/>
              </w:rPr>
              <w:t>助</w:t>
            </w:r>
            <w:r>
              <w:rPr>
                <w:rFonts w:eastAsiaTheme="minorEastAsia"/>
                <w:b/>
                <w:color w:val="auto"/>
                <w:kern w:val="0"/>
                <w:sz w:val="24"/>
                <w:szCs w:val="20"/>
                <w:highlight w:val="none"/>
              </w:rPr>
              <w:t>工程</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41"/>
              <w:gridCol w:w="677"/>
              <w:gridCol w:w="74"/>
              <w:gridCol w:w="1619"/>
              <w:gridCol w:w="1200"/>
              <w:gridCol w:w="1778"/>
              <w:gridCol w:w="2125"/>
            </w:tblGrid>
            <w:tr w14:paraId="28EB6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559" w:type="pct"/>
                  <w:vMerge w:val="restart"/>
                  <w:vAlign w:val="center"/>
                </w:tcPr>
                <w:p w14:paraId="01A15096">
                  <w:pPr>
                    <w:pStyle w:val="81"/>
                    <w:spacing w:line="240" w:lineRule="auto"/>
                    <w:rPr>
                      <w:rFonts w:cs="Times New Roman" w:eastAsiaTheme="minorEastAsia"/>
                      <w:b/>
                      <w:color w:val="auto"/>
                      <w:sz w:val="21"/>
                      <w:highlight w:val="none"/>
                    </w:rPr>
                  </w:pPr>
                  <w:r>
                    <w:rPr>
                      <w:rFonts w:cs="Times New Roman" w:eastAsiaTheme="minorEastAsia"/>
                      <w:b/>
                      <w:color w:val="auto"/>
                      <w:sz w:val="21"/>
                      <w:highlight w:val="none"/>
                    </w:rPr>
                    <w:t>类别</w:t>
                  </w:r>
                </w:p>
              </w:tc>
              <w:tc>
                <w:tcPr>
                  <w:tcW w:w="1408" w:type="pct"/>
                  <w:gridSpan w:val="3"/>
                  <w:vMerge w:val="restart"/>
                  <w:vAlign w:val="center"/>
                </w:tcPr>
                <w:p w14:paraId="225B0556">
                  <w:pPr>
                    <w:pStyle w:val="81"/>
                    <w:spacing w:line="240" w:lineRule="auto"/>
                    <w:rPr>
                      <w:rFonts w:cs="Times New Roman" w:eastAsiaTheme="minorEastAsia"/>
                      <w:b/>
                      <w:color w:val="auto"/>
                      <w:sz w:val="21"/>
                      <w:highlight w:val="none"/>
                    </w:rPr>
                  </w:pPr>
                  <w:r>
                    <w:rPr>
                      <w:rFonts w:cs="Times New Roman" w:eastAsiaTheme="minorEastAsia"/>
                      <w:b/>
                      <w:color w:val="auto"/>
                      <w:sz w:val="21"/>
                      <w:highlight w:val="none"/>
                    </w:rPr>
                    <w:t>建设名称</w:t>
                  </w:r>
                </w:p>
              </w:tc>
              <w:tc>
                <w:tcPr>
                  <w:tcW w:w="1769" w:type="pct"/>
                  <w:gridSpan w:val="2"/>
                  <w:tcBorders>
                    <w:bottom w:val="single" w:color="auto" w:sz="12" w:space="0"/>
                  </w:tcBorders>
                  <w:vAlign w:val="center"/>
                </w:tcPr>
                <w:p w14:paraId="5A2DB421">
                  <w:pPr>
                    <w:pStyle w:val="81"/>
                    <w:spacing w:line="240" w:lineRule="auto"/>
                    <w:rPr>
                      <w:rFonts w:cs="Times New Roman" w:eastAsiaTheme="minorEastAsia"/>
                      <w:b/>
                      <w:color w:val="00B050"/>
                      <w:sz w:val="21"/>
                      <w:highlight w:val="none"/>
                    </w:rPr>
                  </w:pPr>
                  <w:r>
                    <w:rPr>
                      <w:rFonts w:hint="eastAsia" w:cs="Times New Roman" w:eastAsiaTheme="minorEastAsia"/>
                      <w:b/>
                      <w:color w:val="00B050"/>
                      <w:sz w:val="21"/>
                      <w:highlight w:val="none"/>
                      <w:lang w:eastAsia="zh-CN"/>
                    </w:rPr>
                    <w:t>设计能力</w:t>
                  </w:r>
                </w:p>
              </w:tc>
              <w:tc>
                <w:tcPr>
                  <w:tcW w:w="1262" w:type="pct"/>
                  <w:vMerge w:val="restart"/>
                  <w:vAlign w:val="center"/>
                </w:tcPr>
                <w:p w14:paraId="1721DAAB">
                  <w:pPr>
                    <w:pStyle w:val="81"/>
                    <w:spacing w:line="240" w:lineRule="auto"/>
                    <w:rPr>
                      <w:rFonts w:cs="Times New Roman" w:eastAsiaTheme="minorEastAsia"/>
                      <w:color w:val="auto"/>
                      <w:sz w:val="21"/>
                      <w:highlight w:val="none"/>
                    </w:rPr>
                  </w:pPr>
                  <w:r>
                    <w:rPr>
                      <w:rFonts w:cs="Times New Roman" w:eastAsiaTheme="minorEastAsia"/>
                      <w:b/>
                      <w:color w:val="auto"/>
                      <w:sz w:val="21"/>
                      <w:highlight w:val="none"/>
                    </w:rPr>
                    <w:t>备注</w:t>
                  </w:r>
                </w:p>
              </w:tc>
            </w:tr>
            <w:tr w14:paraId="7D4ECE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559" w:type="pct"/>
                  <w:vMerge w:val="continue"/>
                  <w:vAlign w:val="center"/>
                </w:tcPr>
                <w:p w14:paraId="18635255">
                  <w:pPr>
                    <w:pStyle w:val="81"/>
                    <w:spacing w:line="240" w:lineRule="auto"/>
                  </w:pPr>
                </w:p>
              </w:tc>
              <w:tc>
                <w:tcPr>
                  <w:tcW w:w="1408" w:type="pct"/>
                  <w:gridSpan w:val="3"/>
                  <w:vMerge w:val="continue"/>
                  <w:tcBorders>
                    <w:bottom w:val="single" w:color="auto" w:sz="12" w:space="0"/>
                  </w:tcBorders>
                  <w:vAlign w:val="center"/>
                </w:tcPr>
                <w:p w14:paraId="48D9A1F4">
                  <w:pPr>
                    <w:pStyle w:val="81"/>
                    <w:spacing w:line="240" w:lineRule="auto"/>
                  </w:pPr>
                </w:p>
              </w:tc>
              <w:tc>
                <w:tcPr>
                  <w:tcW w:w="713" w:type="pct"/>
                  <w:tcBorders>
                    <w:bottom w:val="single" w:color="auto" w:sz="12" w:space="0"/>
                  </w:tcBorders>
                  <w:shd w:val="clear" w:color="auto" w:fill="auto"/>
                  <w:vAlign w:val="center"/>
                </w:tcPr>
                <w:p w14:paraId="4AC5DB1F">
                  <w:pPr>
                    <w:pStyle w:val="81"/>
                    <w:spacing w:line="240" w:lineRule="auto"/>
                    <w:jc w:val="center"/>
                    <w:rPr>
                      <w:rFonts w:hint="eastAsia" w:ascii="Times New Roman" w:hAnsi="Times New Roman" w:cs="Times New Roman" w:eastAsiaTheme="minorEastAsia"/>
                      <w:b/>
                      <w:color w:val="00B050"/>
                      <w:kern w:val="0"/>
                      <w:sz w:val="21"/>
                      <w:szCs w:val="21"/>
                      <w:highlight w:val="none"/>
                      <w:lang w:val="en-US" w:eastAsia="zh-CN" w:bidi="ar-SA"/>
                    </w:rPr>
                  </w:pPr>
                  <w:r>
                    <w:rPr>
                      <w:rFonts w:hint="eastAsia" w:cs="Times New Roman" w:eastAsiaTheme="minorEastAsia"/>
                      <w:b/>
                      <w:color w:val="00B050"/>
                      <w:sz w:val="21"/>
                      <w:highlight w:val="none"/>
                      <w:lang w:val="en-US" w:eastAsia="zh-CN"/>
                    </w:rPr>
                    <w:t>已建设内容</w:t>
                  </w:r>
                </w:p>
              </w:tc>
              <w:tc>
                <w:tcPr>
                  <w:tcW w:w="1056" w:type="pct"/>
                  <w:tcBorders>
                    <w:bottom w:val="single" w:color="auto" w:sz="12" w:space="0"/>
                  </w:tcBorders>
                  <w:shd w:val="clear" w:color="auto" w:fill="auto"/>
                  <w:vAlign w:val="center"/>
                </w:tcPr>
                <w:p w14:paraId="5C1A0A70">
                  <w:pPr>
                    <w:pStyle w:val="81"/>
                    <w:spacing w:line="240" w:lineRule="auto"/>
                    <w:jc w:val="center"/>
                    <w:rPr>
                      <w:rFonts w:hint="eastAsia" w:ascii="Times New Roman" w:hAnsi="Times New Roman" w:cs="Times New Roman" w:eastAsiaTheme="minorEastAsia"/>
                      <w:b/>
                      <w:color w:val="00B050"/>
                      <w:kern w:val="0"/>
                      <w:sz w:val="21"/>
                      <w:szCs w:val="21"/>
                      <w:highlight w:val="none"/>
                      <w:lang w:val="en-US" w:eastAsia="zh-CN" w:bidi="ar-SA"/>
                    </w:rPr>
                  </w:pPr>
                  <w:r>
                    <w:rPr>
                      <w:rFonts w:hint="eastAsia" w:cs="Times New Roman" w:eastAsiaTheme="minorEastAsia"/>
                      <w:b/>
                      <w:color w:val="00B050"/>
                      <w:sz w:val="21"/>
                      <w:highlight w:val="none"/>
                      <w:lang w:val="en-US" w:eastAsia="zh-CN"/>
                    </w:rPr>
                    <w:t>需补充建设内容</w:t>
                  </w:r>
                </w:p>
              </w:tc>
              <w:tc>
                <w:tcPr>
                  <w:tcW w:w="1262" w:type="pct"/>
                  <w:vMerge w:val="continue"/>
                  <w:tcBorders>
                    <w:bottom w:val="single" w:color="auto" w:sz="12" w:space="0"/>
                  </w:tcBorders>
                  <w:vAlign w:val="center"/>
                </w:tcPr>
                <w:p w14:paraId="6B57CE5F">
                  <w:pPr>
                    <w:pStyle w:val="81"/>
                    <w:spacing w:line="240" w:lineRule="auto"/>
                    <w:rPr>
                      <w:rFonts w:hint="eastAsia" w:cs="Times New Roman" w:eastAsiaTheme="minorEastAsia"/>
                      <w:b/>
                      <w:color w:val="auto"/>
                      <w:sz w:val="21"/>
                      <w:highlight w:val="none"/>
                      <w:lang w:eastAsia="zh-CN"/>
                    </w:rPr>
                  </w:pPr>
                </w:p>
              </w:tc>
            </w:tr>
            <w:tr w14:paraId="1C0CF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9" w:type="pct"/>
                  <w:vMerge w:val="restart"/>
                  <w:tcBorders>
                    <w:top w:val="single" w:color="auto" w:sz="12" w:space="0"/>
                  </w:tcBorders>
                  <w:vAlign w:val="center"/>
                </w:tcPr>
                <w:p w14:paraId="1DFA7FB5">
                  <w:pPr>
                    <w:pStyle w:val="81"/>
                    <w:spacing w:line="240" w:lineRule="auto"/>
                    <w:rPr>
                      <w:rFonts w:hint="eastAsia" w:cs="Times New Roman" w:eastAsiaTheme="minorEastAsia"/>
                      <w:color w:val="auto"/>
                      <w:sz w:val="21"/>
                      <w:highlight w:val="none"/>
                      <w:lang w:val="en-US" w:eastAsia="zh-CN"/>
                    </w:rPr>
                  </w:pPr>
                  <w:r>
                    <w:rPr>
                      <w:rFonts w:hint="eastAsia" w:cs="Times New Roman" w:eastAsiaTheme="minorEastAsia"/>
                      <w:color w:val="auto"/>
                      <w:sz w:val="21"/>
                      <w:highlight w:val="none"/>
                      <w:lang w:val="en-US" w:eastAsia="zh-CN"/>
                    </w:rPr>
                    <w:t>主体工程</w:t>
                  </w:r>
                </w:p>
              </w:tc>
              <w:tc>
                <w:tcPr>
                  <w:tcW w:w="1408" w:type="pct"/>
                  <w:gridSpan w:val="3"/>
                  <w:tcBorders>
                    <w:top w:val="single" w:color="auto" w:sz="12" w:space="0"/>
                    <w:bottom w:val="single" w:color="auto" w:sz="4" w:space="0"/>
                  </w:tcBorders>
                  <w:vAlign w:val="center"/>
                </w:tcPr>
                <w:p w14:paraId="75772494">
                  <w:pPr>
                    <w:pStyle w:val="81"/>
                    <w:spacing w:line="240" w:lineRule="auto"/>
                    <w:jc w:val="center"/>
                    <w:rPr>
                      <w:rFonts w:hint="default" w:cs="Times New Roman" w:eastAsiaTheme="minorEastAsia"/>
                      <w:color w:val="auto"/>
                      <w:sz w:val="21"/>
                      <w:highlight w:val="none"/>
                      <w:lang w:val="en-US" w:eastAsia="zh-CN"/>
                    </w:rPr>
                  </w:pPr>
                  <w:r>
                    <w:rPr>
                      <w:rFonts w:hint="eastAsia" w:cs="Times New Roman" w:eastAsiaTheme="minorEastAsia"/>
                      <w:color w:val="auto"/>
                      <w:sz w:val="21"/>
                      <w:highlight w:val="none"/>
                      <w:lang w:val="en-US" w:eastAsia="zh-CN"/>
                    </w:rPr>
                    <w:t>生产车间1层</w:t>
                  </w:r>
                </w:p>
              </w:tc>
              <w:tc>
                <w:tcPr>
                  <w:tcW w:w="713" w:type="pct"/>
                  <w:vMerge w:val="restart"/>
                  <w:tcBorders>
                    <w:top w:val="single" w:color="auto" w:sz="12" w:space="0"/>
                  </w:tcBorders>
                  <w:vAlign w:val="center"/>
                </w:tcPr>
                <w:p w14:paraId="0260201D">
                  <w:pPr>
                    <w:pStyle w:val="81"/>
                    <w:spacing w:line="240" w:lineRule="auto"/>
                    <w:rPr>
                      <w:rFonts w:hint="default" w:cs="Times New Roman" w:eastAsiaTheme="minorEastAsia"/>
                      <w:color w:val="00B050"/>
                      <w:sz w:val="21"/>
                      <w:szCs w:val="21"/>
                      <w:highlight w:val="none"/>
                      <w:lang w:val="en-US" w:eastAsia="zh-CN"/>
                    </w:rPr>
                  </w:pPr>
                  <w:r>
                    <w:rPr>
                      <w:rFonts w:hint="eastAsia" w:cs="Times New Roman" w:eastAsiaTheme="minorEastAsia"/>
                      <w:color w:val="00B050"/>
                      <w:sz w:val="21"/>
                      <w:szCs w:val="21"/>
                      <w:highlight w:val="none"/>
                      <w:lang w:val="en-US" w:eastAsia="zh-CN"/>
                    </w:rPr>
                    <w:t>建筑面积2500</w:t>
                  </w:r>
                  <w:r>
                    <w:rPr>
                      <w:rFonts w:hint="default" w:ascii="Times New Roman" w:hAnsi="Times New Roman" w:eastAsia="宋体" w:cs="Times New Roman"/>
                      <w:b w:val="0"/>
                      <w:bCs w:val="0"/>
                      <w:color w:val="00B050"/>
                      <w:sz w:val="21"/>
                      <w:szCs w:val="21"/>
                      <w:highlight w:val="none"/>
                      <w:lang w:val="en-US" w:eastAsia="zh-CN"/>
                    </w:rPr>
                    <w:t>m</w:t>
                  </w:r>
                  <w:r>
                    <w:rPr>
                      <w:rFonts w:hint="default" w:ascii="Times New Roman" w:hAnsi="Times New Roman" w:eastAsia="宋体" w:cs="Times New Roman"/>
                      <w:b w:val="0"/>
                      <w:bCs w:val="0"/>
                      <w:color w:val="00B050"/>
                      <w:sz w:val="21"/>
                      <w:szCs w:val="21"/>
                      <w:highlight w:val="none"/>
                      <w:vertAlign w:val="superscript"/>
                      <w:lang w:val="en-US" w:eastAsia="zh-CN"/>
                    </w:rPr>
                    <w:t>2</w:t>
                  </w:r>
                </w:p>
              </w:tc>
              <w:tc>
                <w:tcPr>
                  <w:tcW w:w="1056" w:type="pct"/>
                  <w:vMerge w:val="restart"/>
                  <w:tcBorders>
                    <w:top w:val="single" w:color="auto" w:sz="12" w:space="0"/>
                  </w:tcBorders>
                  <w:vAlign w:val="center"/>
                </w:tcPr>
                <w:p w14:paraId="59A66425">
                  <w:pPr>
                    <w:spacing w:line="240" w:lineRule="auto"/>
                    <w:jc w:val="center"/>
                    <w:rPr>
                      <w:rFonts w:hint="default" w:ascii="Times New Roman" w:hAnsi="Times New Roman" w:cs="Times New Roman"/>
                      <w:color w:val="00B050"/>
                      <w:sz w:val="21"/>
                      <w:szCs w:val="21"/>
                      <w:highlight w:val="none"/>
                      <w:lang w:val="en-US" w:eastAsia="zh-CN"/>
                    </w:rPr>
                  </w:pPr>
                  <w:r>
                    <w:commentReference w:id="7"/>
                  </w:r>
                  <w:r>
                    <w:rPr>
                      <w:rFonts w:hint="eastAsia" w:cs="Times New Roman"/>
                      <w:color w:val="00B050"/>
                      <w:sz w:val="21"/>
                      <w:szCs w:val="21"/>
                      <w:highlight w:val="none"/>
                      <w:lang w:val="en-US" w:eastAsia="zh-CN"/>
                    </w:rPr>
                    <w:t>/</w:t>
                  </w:r>
                </w:p>
              </w:tc>
              <w:tc>
                <w:tcPr>
                  <w:tcW w:w="1262" w:type="pct"/>
                  <w:tcBorders>
                    <w:top w:val="single" w:color="auto" w:sz="12" w:space="0"/>
                    <w:bottom w:val="single" w:color="auto" w:sz="4" w:space="0"/>
                  </w:tcBorders>
                  <w:vAlign w:val="center"/>
                </w:tcPr>
                <w:p w14:paraId="0E8FAC5B">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购买现有标准厂房</w:t>
                  </w:r>
                  <w:r>
                    <w:rPr>
                      <w:rFonts w:hint="eastAsia" w:cs="Times New Roman"/>
                      <w:color w:val="auto"/>
                      <w:sz w:val="21"/>
                      <w:szCs w:val="21"/>
                      <w:highlight w:val="none"/>
                      <w:lang w:eastAsia="zh-CN"/>
                    </w:rPr>
                    <w:t>（镀膜、</w:t>
                  </w:r>
                  <w:r>
                    <w:rPr>
                      <w:rFonts w:hint="eastAsia" w:cs="Times New Roman"/>
                      <w:color w:val="auto"/>
                      <w:sz w:val="21"/>
                      <w:szCs w:val="21"/>
                      <w:highlight w:val="none"/>
                      <w:lang w:val="en-US" w:eastAsia="zh-CN"/>
                    </w:rPr>
                    <w:t>擦片</w:t>
                  </w:r>
                  <w:r>
                    <w:rPr>
                      <w:rFonts w:hint="eastAsia" w:cs="Times New Roman"/>
                      <w:color w:val="auto"/>
                      <w:sz w:val="21"/>
                      <w:szCs w:val="21"/>
                      <w:highlight w:val="none"/>
                      <w:lang w:eastAsia="zh-CN"/>
                    </w:rPr>
                    <w:t>清洗、胶合、</w:t>
                  </w:r>
                  <w:r>
                    <w:rPr>
                      <w:rFonts w:hint="eastAsia" w:cs="Times New Roman"/>
                      <w:color w:val="auto"/>
                      <w:sz w:val="21"/>
                      <w:szCs w:val="21"/>
                      <w:highlight w:val="none"/>
                      <w:lang w:val="en-US" w:eastAsia="zh-CN"/>
                    </w:rPr>
                    <w:t>原料仓库、</w:t>
                  </w:r>
                  <w:r>
                    <w:rPr>
                      <w:rFonts w:hint="eastAsia" w:cs="Times New Roman"/>
                      <w:color w:val="auto"/>
                      <w:sz w:val="21"/>
                      <w:szCs w:val="21"/>
                      <w:highlight w:val="none"/>
                      <w:lang w:eastAsia="zh-CN"/>
                    </w:rPr>
                    <w:t>危废仓库、一般固废库、办公室等）</w:t>
                  </w:r>
                </w:p>
              </w:tc>
            </w:tr>
            <w:tr w14:paraId="6B160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9" w:type="pct"/>
                  <w:vMerge w:val="continue"/>
                  <w:vAlign w:val="center"/>
                </w:tcPr>
                <w:p w14:paraId="0B203C57">
                  <w:pPr>
                    <w:pStyle w:val="81"/>
                    <w:spacing w:line="240" w:lineRule="auto"/>
                    <w:rPr>
                      <w:rFonts w:hint="eastAsia" w:cs="Times New Roman" w:eastAsiaTheme="minorEastAsia"/>
                      <w:color w:val="auto"/>
                      <w:sz w:val="21"/>
                      <w:highlight w:val="none"/>
                      <w:lang w:val="en-US" w:eastAsia="zh-CN"/>
                    </w:rPr>
                  </w:pPr>
                </w:p>
              </w:tc>
              <w:tc>
                <w:tcPr>
                  <w:tcW w:w="1408" w:type="pct"/>
                  <w:gridSpan w:val="3"/>
                  <w:tcBorders>
                    <w:top w:val="single" w:color="auto" w:sz="4" w:space="0"/>
                    <w:bottom w:val="single" w:color="auto" w:sz="4" w:space="0"/>
                  </w:tcBorders>
                  <w:vAlign w:val="center"/>
                </w:tcPr>
                <w:p w14:paraId="60DB5DBE">
                  <w:pPr>
                    <w:spacing w:line="240" w:lineRule="auto"/>
                    <w:jc w:val="center"/>
                    <w:rPr>
                      <w:rFonts w:hint="default" w:cs="Times New Roman" w:eastAsiaTheme="minorEastAsia"/>
                      <w:color w:val="auto"/>
                      <w:sz w:val="21"/>
                      <w:highlight w:val="none"/>
                      <w:lang w:val="en-US" w:eastAsia="zh-CN"/>
                    </w:rPr>
                  </w:pPr>
                  <w:r>
                    <w:rPr>
                      <w:rFonts w:hint="eastAsia" w:cs="Times New Roman" w:eastAsiaTheme="minorEastAsia"/>
                      <w:color w:val="auto"/>
                      <w:sz w:val="21"/>
                      <w:highlight w:val="none"/>
                      <w:lang w:val="en-US" w:eastAsia="zh-CN"/>
                    </w:rPr>
                    <w:t>生产车间2层</w:t>
                  </w:r>
                </w:p>
              </w:tc>
              <w:tc>
                <w:tcPr>
                  <w:tcW w:w="713" w:type="pct"/>
                  <w:vMerge w:val="continue"/>
                  <w:vAlign w:val="center"/>
                </w:tcPr>
                <w:p w14:paraId="4431A143">
                  <w:pPr>
                    <w:pStyle w:val="81"/>
                    <w:spacing w:line="240" w:lineRule="auto"/>
                    <w:rPr>
                      <w:rFonts w:hint="eastAsia" w:cs="Times New Roman" w:eastAsiaTheme="minorEastAsia"/>
                      <w:color w:val="00B050"/>
                      <w:sz w:val="21"/>
                      <w:szCs w:val="21"/>
                      <w:highlight w:val="none"/>
                      <w:lang w:val="en-US" w:eastAsia="zh-CN"/>
                    </w:rPr>
                  </w:pPr>
                </w:p>
              </w:tc>
              <w:tc>
                <w:tcPr>
                  <w:tcW w:w="1056" w:type="pct"/>
                  <w:vMerge w:val="continue"/>
                  <w:vAlign w:val="center"/>
                </w:tcPr>
                <w:p w14:paraId="02E2FF00">
                  <w:pPr>
                    <w:spacing w:line="240" w:lineRule="auto"/>
                    <w:jc w:val="center"/>
                    <w:rPr>
                      <w:rFonts w:hint="default" w:ascii="Times New Roman" w:hAnsi="Times New Roman" w:cs="Times New Roman"/>
                      <w:color w:val="00B050"/>
                      <w:sz w:val="21"/>
                      <w:szCs w:val="21"/>
                      <w:highlight w:val="none"/>
                      <w:lang w:eastAsia="zh-CN"/>
                    </w:rPr>
                  </w:pPr>
                </w:p>
              </w:tc>
              <w:tc>
                <w:tcPr>
                  <w:tcW w:w="1262" w:type="pct"/>
                  <w:tcBorders>
                    <w:top w:val="single" w:color="auto" w:sz="4" w:space="0"/>
                    <w:bottom w:val="single" w:color="auto" w:sz="4" w:space="0"/>
                  </w:tcBorders>
                  <w:vAlign w:val="center"/>
                </w:tcPr>
                <w:p w14:paraId="4D5ADE9B">
                  <w:pPr>
                    <w:spacing w:line="240" w:lineRule="auto"/>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购买现有标准厂房</w:t>
                  </w:r>
                  <w:r>
                    <w:rPr>
                      <w:rFonts w:hint="eastAsia" w:cs="Times New Roman" w:eastAsiaTheme="minorEastAsia"/>
                      <w:color w:val="auto"/>
                      <w:sz w:val="21"/>
                      <w:highlight w:val="none"/>
                      <w:lang w:val="en-US" w:eastAsia="zh-CN"/>
                    </w:rPr>
                    <w:t>（仪器测量区、检验区、打包间、成品库等）</w:t>
                  </w:r>
                </w:p>
              </w:tc>
            </w:tr>
            <w:tr w14:paraId="7D480A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9" w:type="pct"/>
                  <w:vMerge w:val="continue"/>
                  <w:vAlign w:val="center"/>
                </w:tcPr>
                <w:p w14:paraId="733795BF">
                  <w:pPr>
                    <w:pStyle w:val="81"/>
                    <w:spacing w:line="240" w:lineRule="auto"/>
                    <w:rPr>
                      <w:rFonts w:hint="eastAsia" w:cs="Times New Roman" w:eastAsiaTheme="minorEastAsia"/>
                      <w:color w:val="auto"/>
                      <w:sz w:val="21"/>
                      <w:highlight w:val="none"/>
                      <w:lang w:val="en-US" w:eastAsia="zh-CN"/>
                    </w:rPr>
                  </w:pPr>
                </w:p>
              </w:tc>
              <w:tc>
                <w:tcPr>
                  <w:tcW w:w="1408" w:type="pct"/>
                  <w:gridSpan w:val="3"/>
                  <w:tcBorders>
                    <w:top w:val="single" w:color="auto" w:sz="4" w:space="0"/>
                    <w:bottom w:val="single" w:color="auto" w:sz="4" w:space="0"/>
                  </w:tcBorders>
                  <w:vAlign w:val="center"/>
                </w:tcPr>
                <w:p w14:paraId="295D4651">
                  <w:pPr>
                    <w:spacing w:line="240" w:lineRule="auto"/>
                    <w:jc w:val="center"/>
                    <w:rPr>
                      <w:rFonts w:hint="eastAsia" w:cs="Times New Roman" w:eastAsiaTheme="minorEastAsia"/>
                      <w:color w:val="auto"/>
                      <w:sz w:val="21"/>
                      <w:highlight w:val="none"/>
                      <w:lang w:val="en-US" w:eastAsia="zh-CN"/>
                    </w:rPr>
                  </w:pPr>
                  <w:r>
                    <w:rPr>
                      <w:rFonts w:hint="eastAsia" w:cs="Times New Roman" w:eastAsiaTheme="minorEastAsia"/>
                      <w:color w:val="auto"/>
                      <w:sz w:val="21"/>
                      <w:highlight w:val="none"/>
                      <w:lang w:val="en-US" w:eastAsia="zh-CN"/>
                    </w:rPr>
                    <w:t>生产车间3层</w:t>
                  </w:r>
                </w:p>
              </w:tc>
              <w:tc>
                <w:tcPr>
                  <w:tcW w:w="713" w:type="pct"/>
                  <w:vMerge w:val="continue"/>
                  <w:vAlign w:val="center"/>
                </w:tcPr>
                <w:p w14:paraId="5A135B6A">
                  <w:pPr>
                    <w:pStyle w:val="81"/>
                    <w:spacing w:line="240" w:lineRule="auto"/>
                    <w:rPr>
                      <w:rFonts w:hint="eastAsia" w:cs="Times New Roman" w:eastAsiaTheme="minorEastAsia"/>
                      <w:color w:val="00B050"/>
                      <w:sz w:val="21"/>
                      <w:szCs w:val="21"/>
                      <w:highlight w:val="none"/>
                      <w:lang w:val="en-US" w:eastAsia="zh-CN"/>
                    </w:rPr>
                  </w:pPr>
                </w:p>
              </w:tc>
              <w:tc>
                <w:tcPr>
                  <w:tcW w:w="1056" w:type="pct"/>
                  <w:vMerge w:val="continue"/>
                  <w:vAlign w:val="center"/>
                </w:tcPr>
                <w:p w14:paraId="7C855FC3">
                  <w:pPr>
                    <w:spacing w:line="240" w:lineRule="auto"/>
                    <w:jc w:val="center"/>
                    <w:rPr>
                      <w:rFonts w:hint="default" w:ascii="Times New Roman" w:hAnsi="Times New Roman" w:cs="Times New Roman"/>
                      <w:color w:val="00B050"/>
                      <w:sz w:val="21"/>
                      <w:szCs w:val="21"/>
                      <w:highlight w:val="none"/>
                      <w:lang w:eastAsia="zh-CN"/>
                    </w:rPr>
                  </w:pPr>
                </w:p>
              </w:tc>
              <w:tc>
                <w:tcPr>
                  <w:tcW w:w="1262" w:type="pct"/>
                  <w:tcBorders>
                    <w:top w:val="single" w:color="auto" w:sz="4" w:space="0"/>
                    <w:bottom w:val="single" w:color="auto" w:sz="4" w:space="0"/>
                  </w:tcBorders>
                  <w:vAlign w:val="center"/>
                </w:tcPr>
                <w:p w14:paraId="54F1DBFD">
                  <w:pPr>
                    <w:spacing w:line="240" w:lineRule="auto"/>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购买现有标准厂房</w:t>
                  </w:r>
                  <w:r>
                    <w:rPr>
                      <w:rFonts w:hint="eastAsia" w:cs="Times New Roman" w:eastAsiaTheme="minorEastAsia"/>
                      <w:color w:val="auto"/>
                      <w:sz w:val="21"/>
                      <w:highlight w:val="none"/>
                      <w:lang w:val="en-US" w:eastAsia="zh-CN"/>
                    </w:rPr>
                    <w:t>（目前暂未规划）</w:t>
                  </w:r>
                </w:p>
              </w:tc>
            </w:tr>
            <w:tr w14:paraId="46D58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9" w:type="pct"/>
                  <w:vMerge w:val="continue"/>
                  <w:vAlign w:val="center"/>
                </w:tcPr>
                <w:p w14:paraId="7A79732E">
                  <w:pPr>
                    <w:pStyle w:val="81"/>
                    <w:spacing w:line="240" w:lineRule="auto"/>
                    <w:rPr>
                      <w:rFonts w:hint="eastAsia" w:cs="Times New Roman" w:eastAsiaTheme="minorEastAsia"/>
                      <w:color w:val="auto"/>
                      <w:sz w:val="21"/>
                      <w:highlight w:val="none"/>
                      <w:lang w:val="en-US" w:eastAsia="zh-CN"/>
                    </w:rPr>
                  </w:pPr>
                </w:p>
              </w:tc>
              <w:tc>
                <w:tcPr>
                  <w:tcW w:w="1408" w:type="pct"/>
                  <w:gridSpan w:val="3"/>
                  <w:tcBorders>
                    <w:top w:val="single" w:color="auto" w:sz="4" w:space="0"/>
                    <w:bottom w:val="single" w:color="auto" w:sz="4" w:space="0"/>
                  </w:tcBorders>
                  <w:vAlign w:val="center"/>
                </w:tcPr>
                <w:p w14:paraId="71C82273">
                  <w:pPr>
                    <w:spacing w:line="240" w:lineRule="auto"/>
                    <w:jc w:val="center"/>
                    <w:rPr>
                      <w:rFonts w:hint="default" w:cs="Times New Roman" w:eastAsiaTheme="minorEastAsia"/>
                      <w:color w:val="auto"/>
                      <w:sz w:val="21"/>
                      <w:highlight w:val="none"/>
                      <w:lang w:val="en-US" w:eastAsia="zh-CN"/>
                    </w:rPr>
                  </w:pPr>
                  <w:r>
                    <w:rPr>
                      <w:rFonts w:hint="eastAsia" w:cs="Times New Roman" w:eastAsiaTheme="minorEastAsia"/>
                      <w:color w:val="auto"/>
                      <w:sz w:val="21"/>
                      <w:highlight w:val="none"/>
                      <w:lang w:val="en-US" w:eastAsia="zh-CN"/>
                    </w:rPr>
                    <w:t>生产车间4层</w:t>
                  </w:r>
                </w:p>
              </w:tc>
              <w:tc>
                <w:tcPr>
                  <w:tcW w:w="713" w:type="pct"/>
                  <w:vMerge w:val="continue"/>
                  <w:tcBorders>
                    <w:bottom w:val="single" w:color="auto" w:sz="4" w:space="0"/>
                  </w:tcBorders>
                  <w:vAlign w:val="center"/>
                </w:tcPr>
                <w:p w14:paraId="0152F88F">
                  <w:pPr>
                    <w:pStyle w:val="81"/>
                    <w:spacing w:line="240" w:lineRule="auto"/>
                    <w:rPr>
                      <w:rFonts w:hint="eastAsia" w:cs="Times New Roman" w:eastAsiaTheme="minorEastAsia"/>
                      <w:color w:val="00B050"/>
                      <w:sz w:val="21"/>
                      <w:szCs w:val="21"/>
                      <w:highlight w:val="none"/>
                      <w:lang w:val="en-US" w:eastAsia="zh-CN"/>
                    </w:rPr>
                  </w:pPr>
                </w:p>
              </w:tc>
              <w:tc>
                <w:tcPr>
                  <w:tcW w:w="1056" w:type="pct"/>
                  <w:vMerge w:val="continue"/>
                  <w:tcBorders>
                    <w:bottom w:val="single" w:color="auto" w:sz="4" w:space="0"/>
                  </w:tcBorders>
                  <w:vAlign w:val="center"/>
                </w:tcPr>
                <w:p w14:paraId="782FB13F">
                  <w:pPr>
                    <w:spacing w:line="240" w:lineRule="auto"/>
                    <w:jc w:val="center"/>
                    <w:rPr>
                      <w:rFonts w:hint="default" w:ascii="Times New Roman" w:hAnsi="Times New Roman" w:cs="Times New Roman"/>
                      <w:color w:val="00B050"/>
                      <w:sz w:val="21"/>
                      <w:szCs w:val="21"/>
                      <w:highlight w:val="none"/>
                      <w:lang w:eastAsia="zh-CN"/>
                    </w:rPr>
                  </w:pPr>
                </w:p>
              </w:tc>
              <w:tc>
                <w:tcPr>
                  <w:tcW w:w="1262" w:type="pct"/>
                  <w:tcBorders>
                    <w:top w:val="single" w:color="auto" w:sz="4" w:space="0"/>
                    <w:bottom w:val="single" w:color="auto" w:sz="4" w:space="0"/>
                  </w:tcBorders>
                  <w:vAlign w:val="center"/>
                </w:tcPr>
                <w:p w14:paraId="6DE12241">
                  <w:pPr>
                    <w:spacing w:line="240" w:lineRule="auto"/>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购买现有标准厂房</w:t>
                  </w:r>
                  <w:r>
                    <w:rPr>
                      <w:rFonts w:hint="eastAsia" w:cs="Times New Roman" w:eastAsiaTheme="minorEastAsia"/>
                      <w:color w:val="auto"/>
                      <w:sz w:val="21"/>
                      <w:highlight w:val="none"/>
                      <w:lang w:val="en-US" w:eastAsia="zh-CN"/>
                    </w:rPr>
                    <w:t>（总经理办公室等）</w:t>
                  </w:r>
                </w:p>
              </w:tc>
            </w:tr>
            <w:tr w14:paraId="2CE1C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9" w:type="pct"/>
                  <w:tcBorders>
                    <w:top w:val="single" w:color="auto" w:sz="4" w:space="0"/>
                  </w:tcBorders>
                  <w:vAlign w:val="center"/>
                </w:tcPr>
                <w:p w14:paraId="493EBF08">
                  <w:pPr>
                    <w:pStyle w:val="81"/>
                    <w:spacing w:line="240" w:lineRule="auto"/>
                    <w:rPr>
                      <w:rFonts w:cs="Times New Roman" w:eastAsiaTheme="minorEastAsia"/>
                      <w:color w:val="auto"/>
                      <w:sz w:val="21"/>
                      <w:highlight w:val="none"/>
                    </w:rPr>
                  </w:pPr>
                  <w:r>
                    <w:rPr>
                      <w:rFonts w:cs="Times New Roman" w:eastAsiaTheme="minorEastAsia"/>
                      <w:color w:val="auto"/>
                      <w:sz w:val="21"/>
                      <w:highlight w:val="none"/>
                    </w:rPr>
                    <w:t>储运工程</w:t>
                  </w:r>
                </w:p>
              </w:tc>
              <w:tc>
                <w:tcPr>
                  <w:tcW w:w="1408" w:type="pct"/>
                  <w:gridSpan w:val="3"/>
                  <w:tcBorders>
                    <w:top w:val="single" w:color="auto" w:sz="4" w:space="0"/>
                    <w:bottom w:val="single" w:color="auto" w:sz="4" w:space="0"/>
                  </w:tcBorders>
                  <w:vAlign w:val="center"/>
                </w:tcPr>
                <w:p w14:paraId="2FE215C5">
                  <w:pPr>
                    <w:pStyle w:val="81"/>
                    <w:spacing w:line="240" w:lineRule="auto"/>
                    <w:rPr>
                      <w:rFonts w:hint="default" w:cs="Times New Roman" w:eastAsiaTheme="minorEastAsia"/>
                      <w:color w:val="auto"/>
                      <w:sz w:val="21"/>
                      <w:highlight w:val="none"/>
                      <w:lang w:val="en-US" w:eastAsia="zh-CN"/>
                    </w:rPr>
                  </w:pPr>
                  <w:r>
                    <w:rPr>
                      <w:rFonts w:hint="eastAsia" w:cs="Times New Roman" w:eastAsiaTheme="minorEastAsia"/>
                      <w:color w:val="auto"/>
                      <w:sz w:val="21"/>
                      <w:highlight w:val="none"/>
                      <w:lang w:eastAsia="zh-CN"/>
                    </w:rPr>
                    <w:t>原辅料仓库</w:t>
                  </w:r>
                </w:p>
              </w:tc>
              <w:tc>
                <w:tcPr>
                  <w:tcW w:w="713" w:type="pct"/>
                  <w:tcBorders>
                    <w:top w:val="single" w:color="auto" w:sz="4" w:space="0"/>
                    <w:bottom w:val="single" w:color="auto" w:sz="4" w:space="0"/>
                  </w:tcBorders>
                  <w:vAlign w:val="center"/>
                </w:tcPr>
                <w:p w14:paraId="6F5F8F52">
                  <w:pPr>
                    <w:pStyle w:val="81"/>
                    <w:spacing w:line="240" w:lineRule="auto"/>
                    <w:rPr>
                      <w:rFonts w:hint="default" w:cs="Times New Roman" w:eastAsiaTheme="minorEastAsia"/>
                      <w:color w:val="00B050"/>
                      <w:sz w:val="21"/>
                      <w:szCs w:val="21"/>
                      <w:highlight w:val="none"/>
                      <w:lang w:val="en-US" w:eastAsia="zh-CN"/>
                    </w:rPr>
                  </w:pPr>
                  <w:r>
                    <w:rPr>
                      <w:rFonts w:hint="eastAsia" w:cs="Times New Roman" w:eastAsiaTheme="minorEastAsia"/>
                      <w:color w:val="00B050"/>
                      <w:sz w:val="21"/>
                      <w:szCs w:val="21"/>
                      <w:highlight w:val="none"/>
                      <w:lang w:val="en-US" w:eastAsia="zh-CN"/>
                    </w:rPr>
                    <w:t>100</w:t>
                  </w:r>
                  <w:r>
                    <w:rPr>
                      <w:rFonts w:hint="default" w:ascii="Times New Roman" w:hAnsi="Times New Roman" w:eastAsia="宋体" w:cs="Times New Roman"/>
                      <w:b w:val="0"/>
                      <w:bCs w:val="0"/>
                      <w:color w:val="00B050"/>
                      <w:sz w:val="21"/>
                      <w:szCs w:val="21"/>
                      <w:highlight w:val="none"/>
                      <w:lang w:val="en-US" w:eastAsia="zh-CN"/>
                    </w:rPr>
                    <w:t>m</w:t>
                  </w:r>
                  <w:r>
                    <w:rPr>
                      <w:rFonts w:hint="default" w:ascii="Times New Roman" w:hAnsi="Times New Roman" w:eastAsia="宋体" w:cs="Times New Roman"/>
                      <w:b w:val="0"/>
                      <w:bCs w:val="0"/>
                      <w:color w:val="00B050"/>
                      <w:sz w:val="21"/>
                      <w:szCs w:val="21"/>
                      <w:highlight w:val="none"/>
                      <w:vertAlign w:val="superscript"/>
                      <w:lang w:val="en-US" w:eastAsia="zh-CN"/>
                    </w:rPr>
                    <w:t>2</w:t>
                  </w:r>
                </w:p>
              </w:tc>
              <w:tc>
                <w:tcPr>
                  <w:tcW w:w="1056" w:type="pct"/>
                  <w:tcBorders>
                    <w:top w:val="single" w:color="auto" w:sz="4" w:space="0"/>
                    <w:bottom w:val="single" w:color="auto" w:sz="4" w:space="0"/>
                  </w:tcBorders>
                  <w:vAlign w:val="center"/>
                </w:tcPr>
                <w:p w14:paraId="3E472B15">
                  <w:pPr>
                    <w:spacing w:line="240" w:lineRule="auto"/>
                    <w:jc w:val="center"/>
                    <w:rPr>
                      <w:rFonts w:hint="eastAsia" w:ascii="Times New Roman" w:hAnsi="Times New Roman" w:eastAsia="宋体" w:cs="Times New Roman"/>
                      <w:color w:val="00B050"/>
                      <w:sz w:val="21"/>
                      <w:szCs w:val="21"/>
                      <w:highlight w:val="none"/>
                      <w:lang w:val="en-US" w:eastAsia="zh-CN"/>
                    </w:rPr>
                  </w:pPr>
                  <w:r>
                    <w:rPr>
                      <w:rFonts w:hint="eastAsia" w:cs="Times New Roman"/>
                      <w:color w:val="00B050"/>
                      <w:sz w:val="21"/>
                      <w:szCs w:val="21"/>
                      <w:highlight w:val="none"/>
                      <w:lang w:val="en-US" w:eastAsia="zh-CN"/>
                    </w:rPr>
                    <w:t>/</w:t>
                  </w:r>
                </w:p>
              </w:tc>
              <w:tc>
                <w:tcPr>
                  <w:tcW w:w="1262" w:type="pct"/>
                  <w:tcBorders>
                    <w:top w:val="single" w:color="auto" w:sz="4" w:space="0"/>
                    <w:bottom w:val="single" w:color="auto" w:sz="4" w:space="0"/>
                  </w:tcBorders>
                  <w:vAlign w:val="center"/>
                </w:tcPr>
                <w:p w14:paraId="7D4CE47C">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位于</w:t>
                  </w:r>
                  <w:r>
                    <w:rPr>
                      <w:rFonts w:hint="default" w:ascii="Times New Roman" w:hAnsi="Times New Roman" w:cs="Times New Roman"/>
                      <w:color w:val="auto"/>
                      <w:sz w:val="21"/>
                      <w:szCs w:val="21"/>
                      <w:highlight w:val="none"/>
                      <w:lang w:eastAsia="zh-CN"/>
                    </w:rPr>
                    <w:t>购买现有标准厂房</w:t>
                  </w:r>
                  <w:r>
                    <w:rPr>
                      <w:rFonts w:hint="eastAsia" w:cs="Times New Roman"/>
                      <w:color w:val="auto"/>
                      <w:sz w:val="21"/>
                      <w:szCs w:val="21"/>
                      <w:highlight w:val="none"/>
                      <w:lang w:val="en-US" w:eastAsia="zh-CN"/>
                    </w:rPr>
                    <w:t>生产</w:t>
                  </w:r>
                  <w:r>
                    <w:rPr>
                      <w:rFonts w:hint="default" w:ascii="Times New Roman" w:hAnsi="Times New Roman" w:cs="Times New Roman"/>
                      <w:color w:val="auto"/>
                      <w:sz w:val="21"/>
                      <w:szCs w:val="21"/>
                      <w:highlight w:val="none"/>
                      <w:lang w:eastAsia="zh-CN"/>
                    </w:rPr>
                    <w:t>车间</w:t>
                  </w:r>
                  <w:r>
                    <w:rPr>
                      <w:rFonts w:hint="eastAsia" w:cs="Times New Roman"/>
                      <w:color w:val="auto"/>
                      <w:sz w:val="21"/>
                      <w:szCs w:val="21"/>
                      <w:highlight w:val="none"/>
                      <w:lang w:val="en-US" w:eastAsia="zh-CN"/>
                    </w:rPr>
                    <w:t>1层</w:t>
                  </w:r>
                  <w:r>
                    <w:rPr>
                      <w:rFonts w:hint="default" w:ascii="Times New Roman" w:hAnsi="Times New Roman" w:eastAsia="宋体" w:cs="Times New Roman"/>
                      <w:color w:val="auto"/>
                      <w:sz w:val="21"/>
                      <w:szCs w:val="21"/>
                      <w:highlight w:val="none"/>
                    </w:rPr>
                    <w:t>内</w:t>
                  </w:r>
                </w:p>
              </w:tc>
            </w:tr>
            <w:tr w14:paraId="2153F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9" w:type="pct"/>
                  <w:vMerge w:val="restart"/>
                  <w:tcBorders>
                    <w:top w:val="single" w:color="auto" w:sz="4" w:space="0"/>
                  </w:tcBorders>
                  <w:vAlign w:val="center"/>
                </w:tcPr>
                <w:p w14:paraId="53C781E4">
                  <w:pPr>
                    <w:pStyle w:val="81"/>
                    <w:spacing w:line="240" w:lineRule="auto"/>
                    <w:rPr>
                      <w:rFonts w:cs="Times New Roman" w:eastAsiaTheme="minorEastAsia"/>
                      <w:color w:val="auto"/>
                      <w:sz w:val="21"/>
                      <w:highlight w:val="none"/>
                    </w:rPr>
                  </w:pPr>
                  <w:r>
                    <w:rPr>
                      <w:rFonts w:cs="Times New Roman" w:eastAsiaTheme="minorEastAsia"/>
                      <w:color w:val="auto"/>
                      <w:sz w:val="21"/>
                      <w:highlight w:val="none"/>
                    </w:rPr>
                    <w:t>公用工程</w:t>
                  </w:r>
                </w:p>
              </w:tc>
              <w:tc>
                <w:tcPr>
                  <w:tcW w:w="1408" w:type="pct"/>
                  <w:gridSpan w:val="3"/>
                  <w:tcBorders>
                    <w:top w:val="single" w:color="auto" w:sz="4" w:space="0"/>
                  </w:tcBorders>
                  <w:vAlign w:val="center"/>
                </w:tcPr>
                <w:p w14:paraId="34BF67DC">
                  <w:pPr>
                    <w:pStyle w:val="81"/>
                    <w:spacing w:line="240" w:lineRule="auto"/>
                    <w:rPr>
                      <w:rFonts w:cs="Times New Roman" w:eastAsiaTheme="minorEastAsia"/>
                      <w:color w:val="auto"/>
                      <w:sz w:val="21"/>
                      <w:highlight w:val="none"/>
                    </w:rPr>
                  </w:pPr>
                  <w:r>
                    <w:rPr>
                      <w:rFonts w:cs="Times New Roman" w:eastAsiaTheme="minorEastAsia"/>
                      <w:color w:val="auto"/>
                      <w:sz w:val="21"/>
                      <w:highlight w:val="none"/>
                    </w:rPr>
                    <w:t>给水</w:t>
                  </w:r>
                </w:p>
              </w:tc>
              <w:tc>
                <w:tcPr>
                  <w:tcW w:w="1769" w:type="pct"/>
                  <w:gridSpan w:val="2"/>
                  <w:tcBorders>
                    <w:top w:val="single" w:color="auto" w:sz="4" w:space="0"/>
                  </w:tcBorders>
                  <w:vAlign w:val="center"/>
                </w:tcPr>
                <w:p w14:paraId="6194AAB5">
                  <w:pPr>
                    <w:pStyle w:val="81"/>
                    <w:spacing w:line="240" w:lineRule="auto"/>
                    <w:rPr>
                      <w:rFonts w:cs="Times New Roman" w:eastAsiaTheme="minorEastAsia"/>
                      <w:color w:val="00B050"/>
                      <w:sz w:val="21"/>
                      <w:highlight w:val="none"/>
                    </w:rPr>
                  </w:pPr>
                  <w:r>
                    <w:rPr>
                      <w:rFonts w:hint="eastAsia" w:cs="Times New Roman" w:eastAsiaTheme="minorEastAsia"/>
                      <w:color w:val="00B050"/>
                      <w:sz w:val="21"/>
                      <w:highlight w:val="none"/>
                      <w:lang w:val="en-US" w:eastAsia="zh-CN"/>
                    </w:rPr>
                    <w:t>1100.4t</w:t>
                  </w:r>
                  <w:r>
                    <w:rPr>
                      <w:rFonts w:hint="default" w:ascii="Times New Roman" w:hAnsi="Times New Roman" w:eastAsia="宋体" w:cs="Times New Roman"/>
                      <w:b w:val="0"/>
                      <w:bCs w:val="0"/>
                      <w:color w:val="00B050"/>
                      <w:highlight w:val="none"/>
                      <w:lang w:val="en-US" w:eastAsia="zh-CN"/>
                    </w:rPr>
                    <w:t>/a</w:t>
                  </w:r>
                </w:p>
              </w:tc>
              <w:tc>
                <w:tcPr>
                  <w:tcW w:w="1262" w:type="pct"/>
                  <w:tcBorders>
                    <w:top w:val="single" w:color="auto" w:sz="4" w:space="0"/>
                  </w:tcBorders>
                  <w:vAlign w:val="center"/>
                </w:tcPr>
                <w:p w14:paraId="5F60E9B1">
                  <w:pPr>
                    <w:pStyle w:val="81"/>
                    <w:spacing w:line="240" w:lineRule="auto"/>
                    <w:rPr>
                      <w:rFonts w:cs="Times New Roman" w:eastAsiaTheme="minorEastAsia"/>
                      <w:color w:val="auto"/>
                      <w:sz w:val="21"/>
                      <w:highlight w:val="none"/>
                    </w:rPr>
                  </w:pPr>
                  <w:r>
                    <w:rPr>
                      <w:rFonts w:cs="Times New Roman" w:eastAsiaTheme="minorEastAsia"/>
                      <w:color w:val="auto"/>
                      <w:sz w:val="21"/>
                      <w:highlight w:val="none"/>
                    </w:rPr>
                    <w:t>由</w:t>
                  </w:r>
                  <w:r>
                    <w:rPr>
                      <w:rFonts w:cs="Times New Roman" w:eastAsiaTheme="minorEastAsia"/>
                      <w:color w:val="auto"/>
                      <w:sz w:val="21"/>
                      <w:highlight w:val="none"/>
                      <w:lang w:val="en-US"/>
                    </w:rPr>
                    <w:t>市政</w:t>
                  </w:r>
                  <w:r>
                    <w:rPr>
                      <w:rFonts w:cs="Times New Roman" w:eastAsiaTheme="minorEastAsia"/>
                      <w:color w:val="auto"/>
                      <w:sz w:val="21"/>
                      <w:highlight w:val="none"/>
                    </w:rPr>
                    <w:t>给水管网集中供给</w:t>
                  </w:r>
                </w:p>
              </w:tc>
            </w:tr>
            <w:tr w14:paraId="55532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0" w:hRule="atLeast"/>
                <w:jc w:val="center"/>
              </w:trPr>
              <w:tc>
                <w:tcPr>
                  <w:tcW w:w="559" w:type="pct"/>
                  <w:vMerge w:val="continue"/>
                  <w:vAlign w:val="center"/>
                </w:tcPr>
                <w:p w14:paraId="083953EB">
                  <w:pPr>
                    <w:pStyle w:val="81"/>
                    <w:spacing w:line="240" w:lineRule="auto"/>
                    <w:rPr>
                      <w:rFonts w:cs="Times New Roman" w:eastAsiaTheme="minorEastAsia"/>
                      <w:color w:val="auto"/>
                      <w:sz w:val="21"/>
                      <w:highlight w:val="none"/>
                    </w:rPr>
                  </w:pPr>
                </w:p>
              </w:tc>
              <w:tc>
                <w:tcPr>
                  <w:tcW w:w="402" w:type="pct"/>
                  <w:tcBorders>
                    <w:top w:val="single" w:color="auto" w:sz="4" w:space="0"/>
                    <w:right w:val="single" w:color="000000" w:sz="4" w:space="0"/>
                  </w:tcBorders>
                  <w:vAlign w:val="center"/>
                </w:tcPr>
                <w:p w14:paraId="7D85D619">
                  <w:pPr>
                    <w:pStyle w:val="81"/>
                    <w:spacing w:line="240" w:lineRule="auto"/>
                    <w:rPr>
                      <w:rFonts w:cs="Times New Roman" w:eastAsiaTheme="minorEastAsia"/>
                      <w:color w:val="auto"/>
                      <w:sz w:val="21"/>
                      <w:highlight w:val="none"/>
                    </w:rPr>
                  </w:pPr>
                  <w:r>
                    <w:rPr>
                      <w:rFonts w:cs="Times New Roman" w:eastAsiaTheme="minorEastAsia"/>
                      <w:color w:val="auto"/>
                      <w:sz w:val="21"/>
                      <w:highlight w:val="none"/>
                    </w:rPr>
                    <w:t>排水</w:t>
                  </w:r>
                </w:p>
              </w:tc>
              <w:tc>
                <w:tcPr>
                  <w:tcW w:w="1006" w:type="pct"/>
                  <w:gridSpan w:val="2"/>
                  <w:tcBorders>
                    <w:top w:val="single" w:color="auto" w:sz="4" w:space="0"/>
                    <w:left w:val="single" w:color="000000" w:sz="4" w:space="0"/>
                    <w:bottom w:val="single" w:color="000000" w:sz="4" w:space="0"/>
                  </w:tcBorders>
                  <w:vAlign w:val="center"/>
                </w:tcPr>
                <w:p w14:paraId="32957A15">
                  <w:pPr>
                    <w:pStyle w:val="81"/>
                    <w:spacing w:line="240" w:lineRule="auto"/>
                    <w:rPr>
                      <w:rFonts w:hint="eastAsia" w:cs="Times New Roman" w:eastAsiaTheme="minorEastAsia"/>
                      <w:color w:val="auto"/>
                      <w:sz w:val="21"/>
                      <w:highlight w:val="none"/>
                      <w:lang w:val="en-US" w:eastAsia="zh-CN"/>
                    </w:rPr>
                  </w:pPr>
                  <w:r>
                    <w:rPr>
                      <w:rFonts w:hint="eastAsia" w:cs="Times New Roman" w:eastAsiaTheme="minorEastAsia"/>
                      <w:color w:val="auto"/>
                      <w:sz w:val="21"/>
                      <w:highlight w:val="none"/>
                      <w:lang w:val="en-US" w:eastAsia="zh-CN"/>
                    </w:rPr>
                    <w:t>综合污水</w:t>
                  </w:r>
                </w:p>
              </w:tc>
              <w:tc>
                <w:tcPr>
                  <w:tcW w:w="1769" w:type="pct"/>
                  <w:gridSpan w:val="2"/>
                  <w:tcBorders>
                    <w:top w:val="single" w:color="auto" w:sz="4" w:space="0"/>
                    <w:bottom w:val="single" w:color="000000" w:sz="4" w:space="0"/>
                  </w:tcBorders>
                  <w:vAlign w:val="center"/>
                </w:tcPr>
                <w:p w14:paraId="42977EE3">
                  <w:pPr>
                    <w:pStyle w:val="81"/>
                    <w:spacing w:line="240" w:lineRule="auto"/>
                    <w:rPr>
                      <w:rFonts w:cs="Times New Roman" w:eastAsiaTheme="minorEastAsia"/>
                      <w:color w:val="00B050"/>
                      <w:sz w:val="21"/>
                      <w:highlight w:val="none"/>
                    </w:rPr>
                  </w:pPr>
                  <w:r>
                    <w:rPr>
                      <w:rFonts w:hint="eastAsia" w:cs="Times New Roman" w:eastAsiaTheme="minorEastAsia"/>
                      <w:color w:val="00B050"/>
                      <w:sz w:val="21"/>
                      <w:highlight w:val="none"/>
                      <w:lang w:val="en-US" w:eastAsia="zh-CN"/>
                    </w:rPr>
                    <w:t>840</w:t>
                  </w:r>
                  <w:r>
                    <w:rPr>
                      <w:rFonts w:hint="default" w:ascii="Times New Roman" w:hAnsi="Times New Roman" w:eastAsia="宋体" w:cs="Times New Roman"/>
                      <w:b w:val="0"/>
                      <w:bCs w:val="0"/>
                      <w:color w:val="00B050"/>
                      <w:highlight w:val="none"/>
                      <w:lang w:val="en-US" w:eastAsia="zh-CN"/>
                    </w:rPr>
                    <w:t>t/a</w:t>
                  </w:r>
                </w:p>
              </w:tc>
              <w:tc>
                <w:tcPr>
                  <w:tcW w:w="1262" w:type="pct"/>
                  <w:tcBorders>
                    <w:top w:val="single" w:color="auto" w:sz="4" w:space="0"/>
                    <w:bottom w:val="single" w:color="000000" w:sz="4" w:space="0"/>
                  </w:tcBorders>
                  <w:vAlign w:val="center"/>
                </w:tcPr>
                <w:p w14:paraId="3456932C">
                  <w:pPr>
                    <w:pStyle w:val="81"/>
                    <w:spacing w:line="240" w:lineRule="auto"/>
                    <w:rPr>
                      <w:rFonts w:cs="Times New Roman" w:eastAsiaTheme="minorEastAsia"/>
                      <w:color w:val="auto"/>
                      <w:sz w:val="21"/>
                      <w:highlight w:val="none"/>
                      <w:lang w:val="en-US"/>
                    </w:rPr>
                  </w:pPr>
                  <w:r>
                    <w:rPr>
                      <w:rFonts w:cs="Times New Roman" w:eastAsiaTheme="minorEastAsia"/>
                      <w:color w:val="auto"/>
                      <w:sz w:val="21"/>
                      <w:highlight w:val="none"/>
                    </w:rPr>
                    <w:t>通过市政污水管网排入</w:t>
                  </w:r>
                  <w:r>
                    <w:rPr>
                      <w:rFonts w:hint="eastAsia" w:eastAsiaTheme="minorEastAsia"/>
                      <w:color w:val="auto"/>
                      <w:kern w:val="0"/>
                      <w:sz w:val="21"/>
                      <w:szCs w:val="21"/>
                      <w:highlight w:val="none"/>
                      <w:lang w:eastAsia="zh-CN"/>
                    </w:rPr>
                    <w:t>句容市郭庄污水处理有限公司</w:t>
                  </w:r>
                </w:p>
              </w:tc>
            </w:tr>
            <w:tr w14:paraId="5BDBD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9" w:type="pct"/>
                  <w:vMerge w:val="continue"/>
                  <w:vAlign w:val="center"/>
                </w:tcPr>
                <w:p w14:paraId="5C16FA55">
                  <w:pPr>
                    <w:pStyle w:val="81"/>
                    <w:spacing w:line="240" w:lineRule="auto"/>
                    <w:rPr>
                      <w:rFonts w:cs="Times New Roman" w:eastAsiaTheme="minorEastAsia"/>
                      <w:color w:val="auto"/>
                      <w:sz w:val="21"/>
                      <w:highlight w:val="none"/>
                    </w:rPr>
                  </w:pPr>
                </w:p>
              </w:tc>
              <w:tc>
                <w:tcPr>
                  <w:tcW w:w="1408" w:type="pct"/>
                  <w:gridSpan w:val="3"/>
                  <w:vAlign w:val="center"/>
                </w:tcPr>
                <w:p w14:paraId="60D6031F">
                  <w:pPr>
                    <w:pStyle w:val="81"/>
                    <w:spacing w:line="240" w:lineRule="auto"/>
                    <w:rPr>
                      <w:rFonts w:cs="Times New Roman" w:eastAsiaTheme="minorEastAsia"/>
                      <w:color w:val="auto"/>
                      <w:sz w:val="21"/>
                      <w:szCs w:val="21"/>
                      <w:highlight w:val="none"/>
                    </w:rPr>
                  </w:pPr>
                  <w:r>
                    <w:rPr>
                      <w:rFonts w:cs="Times New Roman" w:eastAsiaTheme="minorEastAsia"/>
                      <w:color w:val="auto"/>
                      <w:sz w:val="21"/>
                      <w:szCs w:val="21"/>
                      <w:highlight w:val="none"/>
                    </w:rPr>
                    <w:t>供电</w:t>
                  </w:r>
                </w:p>
              </w:tc>
              <w:tc>
                <w:tcPr>
                  <w:tcW w:w="1769" w:type="pct"/>
                  <w:gridSpan w:val="2"/>
                  <w:vAlign w:val="center"/>
                </w:tcPr>
                <w:p w14:paraId="687B9493">
                  <w:pPr>
                    <w:pStyle w:val="81"/>
                    <w:spacing w:line="240" w:lineRule="auto"/>
                    <w:rPr>
                      <w:rFonts w:cs="Times New Roman" w:eastAsiaTheme="minorEastAsia"/>
                      <w:color w:val="00B050"/>
                      <w:sz w:val="21"/>
                      <w:highlight w:val="none"/>
                    </w:rPr>
                  </w:pPr>
                  <w:r>
                    <w:rPr>
                      <w:rFonts w:hint="eastAsia" w:cs="Times New Roman"/>
                      <w:color w:val="00B050"/>
                      <w:sz w:val="21"/>
                      <w:szCs w:val="21"/>
                      <w:highlight w:val="none"/>
                      <w:lang w:val="en-US" w:eastAsia="zh-CN"/>
                    </w:rPr>
                    <w:t>20</w:t>
                  </w:r>
                  <w:r>
                    <w:rPr>
                      <w:rFonts w:hint="default" w:ascii="Times New Roman" w:hAnsi="Times New Roman" w:eastAsia="宋体" w:cs="Times New Roman"/>
                      <w:color w:val="00B050"/>
                      <w:sz w:val="21"/>
                      <w:szCs w:val="21"/>
                      <w:highlight w:val="none"/>
                    </w:rPr>
                    <w:t>万度/年</w:t>
                  </w:r>
                </w:p>
              </w:tc>
              <w:tc>
                <w:tcPr>
                  <w:tcW w:w="1262" w:type="pct"/>
                  <w:vAlign w:val="center"/>
                </w:tcPr>
                <w:p w14:paraId="5894CF99">
                  <w:pPr>
                    <w:pStyle w:val="81"/>
                    <w:spacing w:line="240" w:lineRule="auto"/>
                    <w:rPr>
                      <w:rFonts w:cs="Times New Roman" w:eastAsiaTheme="minorEastAsia"/>
                      <w:color w:val="auto"/>
                      <w:sz w:val="21"/>
                      <w:highlight w:val="none"/>
                    </w:rPr>
                  </w:pPr>
                  <w:r>
                    <w:rPr>
                      <w:rFonts w:cs="Times New Roman" w:eastAsiaTheme="minorEastAsia"/>
                      <w:color w:val="auto"/>
                      <w:sz w:val="21"/>
                      <w:highlight w:val="none"/>
                    </w:rPr>
                    <w:t>由市政电网供给</w:t>
                  </w:r>
                </w:p>
              </w:tc>
            </w:tr>
            <w:tr w14:paraId="18731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9" w:type="pct"/>
                  <w:vMerge w:val="restart"/>
                  <w:vAlign w:val="center"/>
                </w:tcPr>
                <w:p w14:paraId="2369F93A">
                  <w:pPr>
                    <w:pStyle w:val="81"/>
                    <w:spacing w:line="240" w:lineRule="auto"/>
                    <w:rPr>
                      <w:rFonts w:cs="Times New Roman" w:eastAsiaTheme="minorEastAsia"/>
                      <w:color w:val="auto"/>
                      <w:sz w:val="21"/>
                      <w:highlight w:val="none"/>
                    </w:rPr>
                  </w:pPr>
                  <w:r>
                    <w:rPr>
                      <w:rFonts w:cs="Times New Roman" w:eastAsiaTheme="minorEastAsia"/>
                      <w:color w:val="auto"/>
                      <w:sz w:val="21"/>
                      <w:highlight w:val="none"/>
                    </w:rPr>
                    <w:t>环保工程</w:t>
                  </w:r>
                </w:p>
              </w:tc>
              <w:tc>
                <w:tcPr>
                  <w:tcW w:w="446" w:type="pct"/>
                  <w:gridSpan w:val="2"/>
                  <w:vMerge w:val="restart"/>
                  <w:vAlign w:val="center"/>
                </w:tcPr>
                <w:p w14:paraId="6B305A8C">
                  <w:pPr>
                    <w:pStyle w:val="81"/>
                    <w:spacing w:line="240" w:lineRule="auto"/>
                    <w:rPr>
                      <w:rFonts w:cs="Times New Roman" w:eastAsiaTheme="minorEastAsia"/>
                      <w:color w:val="auto"/>
                      <w:sz w:val="21"/>
                      <w:highlight w:val="none"/>
                    </w:rPr>
                  </w:pPr>
                  <w:r>
                    <w:rPr>
                      <w:rFonts w:cs="Times New Roman" w:eastAsiaTheme="minorEastAsia"/>
                      <w:color w:val="auto"/>
                      <w:sz w:val="21"/>
                      <w:highlight w:val="none"/>
                    </w:rPr>
                    <w:t>废水处理</w:t>
                  </w:r>
                </w:p>
              </w:tc>
              <w:tc>
                <w:tcPr>
                  <w:tcW w:w="962" w:type="pct"/>
                  <w:vAlign w:val="center"/>
                </w:tcPr>
                <w:p w14:paraId="6BC84264">
                  <w:pPr>
                    <w:pStyle w:val="108"/>
                    <w:keepNext w:val="0"/>
                    <w:keepLines w:val="0"/>
                    <w:pageBreakBefore w:val="0"/>
                    <w:widowControl w:val="0"/>
                    <w:kinsoku/>
                    <w:wordWrap/>
                    <w:overflowPunct/>
                    <w:topLinePunct w:val="0"/>
                    <w:autoSpaceDE/>
                    <w:autoSpaceDN/>
                    <w:bidi w:val="0"/>
                    <w:spacing w:before="0" w:line="240" w:lineRule="auto"/>
                    <w:ind w:firstLine="0" w:firstLineChars="0"/>
                    <w:textAlignment w:val="auto"/>
                    <w:rPr>
                      <w:rFonts w:cs="Times New Roman" w:eastAsiaTheme="minorEastAsia"/>
                      <w:color w:val="auto"/>
                      <w:sz w:val="21"/>
                      <w:highlight w:val="none"/>
                    </w:rPr>
                  </w:pPr>
                  <w:r>
                    <w:rPr>
                      <w:rFonts w:hint="default" w:ascii="Times New Roman" w:hAnsi="Times New Roman" w:eastAsia="宋体" w:cs="Times New Roman"/>
                      <w:color w:val="auto"/>
                      <w:highlight w:val="none"/>
                    </w:rPr>
                    <w:t>规范化排污口设置</w:t>
                  </w:r>
                </w:p>
              </w:tc>
              <w:tc>
                <w:tcPr>
                  <w:tcW w:w="713" w:type="pct"/>
                  <w:vAlign w:val="center"/>
                </w:tcPr>
                <w:p w14:paraId="706901DB">
                  <w:pPr>
                    <w:pStyle w:val="108"/>
                    <w:keepNext w:val="0"/>
                    <w:keepLines w:val="0"/>
                    <w:pageBreakBefore w:val="0"/>
                    <w:widowControl w:val="0"/>
                    <w:kinsoku/>
                    <w:wordWrap/>
                    <w:overflowPunct/>
                    <w:topLinePunct w:val="0"/>
                    <w:autoSpaceDE/>
                    <w:autoSpaceDN/>
                    <w:bidi w:val="0"/>
                    <w:spacing w:before="0" w:line="240" w:lineRule="auto"/>
                    <w:ind w:firstLine="0" w:firstLineChars="0"/>
                    <w:textAlignment w:val="auto"/>
                    <w:rPr>
                      <w:rFonts w:hint="eastAsia" w:cs="Times New Roman" w:eastAsiaTheme="minorEastAsia"/>
                      <w:color w:val="00B050"/>
                      <w:sz w:val="21"/>
                      <w:highlight w:val="none"/>
                      <w:lang w:eastAsia="zh-CN"/>
                    </w:rPr>
                  </w:pPr>
                  <w:r>
                    <w:rPr>
                      <w:rFonts w:hint="eastAsia" w:ascii="Times New Roman" w:cs="Times New Roman" w:eastAsiaTheme="minorEastAsia"/>
                      <w:color w:val="00B050"/>
                      <w:sz w:val="21"/>
                      <w:highlight w:val="none"/>
                      <w:lang w:val="en-US" w:eastAsia="zh-CN"/>
                    </w:rPr>
                    <w:t>雨、污水排口各一个</w:t>
                  </w:r>
                </w:p>
              </w:tc>
              <w:tc>
                <w:tcPr>
                  <w:tcW w:w="1056" w:type="pct"/>
                  <w:vAlign w:val="center"/>
                </w:tcPr>
                <w:p w14:paraId="0AD257C6">
                  <w:pPr>
                    <w:pStyle w:val="108"/>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firstLine="0" w:firstLineChars="0"/>
                    <w:textAlignment w:val="auto"/>
                    <w:rPr>
                      <w:rFonts w:hint="eastAsia" w:ascii="Times New Roman" w:hAnsi="Times New Roman" w:eastAsia="宋体" w:cs="Times New Roman"/>
                      <w:color w:val="00B050"/>
                      <w:highlight w:val="none"/>
                      <w:lang w:val="en-US" w:eastAsia="zh-CN"/>
                    </w:rPr>
                  </w:pPr>
                  <w:r>
                    <w:rPr>
                      <w:rFonts w:hint="eastAsia" w:ascii="Times New Roman" w:eastAsia="宋体" w:cs="Times New Roman"/>
                      <w:color w:val="00B050"/>
                      <w:highlight w:val="none"/>
                      <w:lang w:val="en-US" w:eastAsia="zh-CN"/>
                    </w:rPr>
                    <w:t>/</w:t>
                  </w:r>
                </w:p>
              </w:tc>
              <w:tc>
                <w:tcPr>
                  <w:tcW w:w="1262" w:type="pct"/>
                  <w:vAlign w:val="center"/>
                </w:tcPr>
                <w:p w14:paraId="2BBC8A20">
                  <w:pPr>
                    <w:pStyle w:val="108"/>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firstLine="0" w:firstLineChars="0"/>
                    <w:textAlignment w:val="auto"/>
                    <w:rPr>
                      <w:rFonts w:hint="eastAsia" w:cs="Times New Roman" w:eastAsiaTheme="minorEastAsia"/>
                      <w:color w:val="auto"/>
                      <w:sz w:val="21"/>
                      <w:highlight w:val="none"/>
                      <w:lang w:val="en-US" w:eastAsia="zh-CN"/>
                    </w:rPr>
                  </w:pPr>
                  <w:r>
                    <w:rPr>
                      <w:rFonts w:hint="default" w:ascii="Times New Roman" w:hAnsi="Times New Roman" w:eastAsia="宋体" w:cs="Times New Roman"/>
                      <w:color w:val="auto"/>
                      <w:highlight w:val="none"/>
                    </w:rPr>
                    <w:t>满足《江苏省排污口设置及规范化整治管理办法》的要求</w:t>
                  </w:r>
                </w:p>
              </w:tc>
            </w:tr>
            <w:tr w14:paraId="44D839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9" w:hRule="atLeast"/>
                <w:jc w:val="center"/>
              </w:trPr>
              <w:tc>
                <w:tcPr>
                  <w:tcW w:w="559" w:type="pct"/>
                  <w:vMerge w:val="continue"/>
                  <w:vAlign w:val="center"/>
                </w:tcPr>
                <w:p w14:paraId="6BA55DEA">
                  <w:pPr>
                    <w:pStyle w:val="81"/>
                    <w:spacing w:line="240" w:lineRule="auto"/>
                    <w:rPr>
                      <w:rFonts w:cs="Times New Roman" w:eastAsiaTheme="minorEastAsia"/>
                      <w:color w:val="auto"/>
                      <w:sz w:val="21"/>
                      <w:highlight w:val="none"/>
                    </w:rPr>
                  </w:pPr>
                </w:p>
              </w:tc>
              <w:tc>
                <w:tcPr>
                  <w:tcW w:w="446" w:type="pct"/>
                  <w:gridSpan w:val="2"/>
                  <w:vMerge w:val="continue"/>
                  <w:vAlign w:val="center"/>
                </w:tcPr>
                <w:p w14:paraId="509FC5D1">
                  <w:pPr>
                    <w:pStyle w:val="81"/>
                    <w:spacing w:line="240" w:lineRule="auto"/>
                    <w:rPr>
                      <w:rFonts w:cs="Times New Roman" w:eastAsiaTheme="minorEastAsia"/>
                      <w:color w:val="auto"/>
                      <w:sz w:val="21"/>
                      <w:highlight w:val="none"/>
                    </w:rPr>
                  </w:pPr>
                </w:p>
              </w:tc>
              <w:tc>
                <w:tcPr>
                  <w:tcW w:w="962" w:type="pct"/>
                  <w:vAlign w:val="center"/>
                </w:tcPr>
                <w:p w14:paraId="546CE544">
                  <w:pPr>
                    <w:pStyle w:val="81"/>
                    <w:spacing w:line="240" w:lineRule="auto"/>
                    <w:rPr>
                      <w:rFonts w:hint="eastAsia" w:cs="Times New Roman" w:eastAsiaTheme="minorEastAsia"/>
                      <w:color w:val="auto"/>
                      <w:sz w:val="21"/>
                      <w:highlight w:val="none"/>
                      <w:lang w:val="en-US" w:eastAsia="zh-CN"/>
                    </w:rPr>
                  </w:pPr>
                  <w:r>
                    <w:rPr>
                      <w:rFonts w:cs="Times New Roman" w:eastAsiaTheme="minorEastAsia"/>
                      <w:color w:val="auto"/>
                      <w:sz w:val="21"/>
                      <w:highlight w:val="none"/>
                    </w:rPr>
                    <w:t>生活</w:t>
                  </w:r>
                  <w:r>
                    <w:rPr>
                      <w:rFonts w:cs="Times New Roman" w:eastAsiaTheme="minorEastAsia"/>
                      <w:color w:val="auto"/>
                      <w:sz w:val="21"/>
                      <w:highlight w:val="none"/>
                      <w:lang w:val="en-US"/>
                    </w:rPr>
                    <w:t>污水</w:t>
                  </w:r>
                  <w:r>
                    <w:rPr>
                      <w:rFonts w:hint="eastAsia" w:cs="Times New Roman" w:eastAsiaTheme="minorEastAsia"/>
                      <w:color w:val="auto"/>
                      <w:sz w:val="21"/>
                      <w:highlight w:val="none"/>
                      <w:lang w:val="en-US" w:eastAsia="zh-CN"/>
                    </w:rPr>
                    <w:t>（600</w:t>
                  </w:r>
                  <w:r>
                    <w:rPr>
                      <w:rFonts w:hint="default" w:ascii="Times New Roman" w:hAnsi="Times New Roman" w:eastAsia="宋体" w:cs="Times New Roman"/>
                      <w:b w:val="0"/>
                      <w:bCs w:val="0"/>
                      <w:color w:val="auto"/>
                      <w:highlight w:val="none"/>
                      <w:lang w:val="en-US" w:eastAsia="zh-CN"/>
                    </w:rPr>
                    <w:t>t/a</w:t>
                  </w:r>
                  <w:r>
                    <w:rPr>
                      <w:rFonts w:hint="eastAsia" w:cs="Times New Roman" w:eastAsiaTheme="minorEastAsia"/>
                      <w:color w:val="auto"/>
                      <w:sz w:val="21"/>
                      <w:highlight w:val="none"/>
                      <w:lang w:val="en-US" w:eastAsia="zh-CN"/>
                    </w:rPr>
                    <w:t>）</w:t>
                  </w:r>
                </w:p>
              </w:tc>
              <w:tc>
                <w:tcPr>
                  <w:tcW w:w="713" w:type="pct"/>
                  <w:vAlign w:val="center"/>
                </w:tcPr>
                <w:p w14:paraId="322EF846">
                  <w:pPr>
                    <w:pStyle w:val="81"/>
                    <w:spacing w:line="240" w:lineRule="auto"/>
                    <w:rPr>
                      <w:rFonts w:hint="default" w:cs="Times New Roman" w:eastAsiaTheme="minorEastAsia"/>
                      <w:color w:val="00B050"/>
                      <w:sz w:val="21"/>
                      <w:highlight w:val="none"/>
                      <w:lang w:val="en-US" w:eastAsia="zh-CN"/>
                    </w:rPr>
                  </w:pPr>
                  <w:r>
                    <w:rPr>
                      <w:rFonts w:hint="eastAsia" w:cs="Times New Roman" w:eastAsiaTheme="minorEastAsia"/>
                      <w:color w:val="00B050"/>
                      <w:sz w:val="21"/>
                      <w:highlight w:val="none"/>
                      <w:lang w:eastAsia="zh-CN"/>
                    </w:rPr>
                    <w:t>化粪池</w:t>
                  </w:r>
                  <w:r>
                    <w:rPr>
                      <w:rFonts w:hint="eastAsia" w:cs="Times New Roman" w:eastAsiaTheme="minorEastAsia"/>
                      <w:color w:val="00B050"/>
                      <w:sz w:val="21"/>
                      <w:highlight w:val="none"/>
                      <w:lang w:val="en-US" w:eastAsia="zh-CN"/>
                    </w:rPr>
                    <w:t>10</w:t>
                  </w:r>
                  <w:r>
                    <w:rPr>
                      <w:rFonts w:hint="default" w:ascii="Times New Roman" w:hAnsi="Times New Roman" w:eastAsia="宋体" w:cs="Times New Roman"/>
                      <w:color w:val="00B050"/>
                      <w:highlight w:val="none"/>
                    </w:rPr>
                    <w:t>m</w:t>
                  </w:r>
                  <w:r>
                    <w:rPr>
                      <w:rFonts w:hint="eastAsia" w:cs="Times New Roman"/>
                      <w:color w:val="00B050"/>
                      <w:highlight w:val="none"/>
                      <w:vertAlign w:val="superscript"/>
                      <w:lang w:val="en-US" w:eastAsia="zh-CN"/>
                    </w:rPr>
                    <w:t>3</w:t>
                  </w:r>
                </w:p>
              </w:tc>
              <w:tc>
                <w:tcPr>
                  <w:tcW w:w="1056" w:type="pct"/>
                  <w:vAlign w:val="center"/>
                </w:tcPr>
                <w:p w14:paraId="785B0097">
                  <w:pPr>
                    <w:pStyle w:val="81"/>
                    <w:spacing w:line="240" w:lineRule="auto"/>
                    <w:rPr>
                      <w:rFonts w:hint="default" w:cs="Times New Roman" w:eastAsiaTheme="minorEastAsia"/>
                      <w:color w:val="00B050"/>
                      <w:sz w:val="21"/>
                      <w:highlight w:val="none"/>
                      <w:lang w:val="en-US" w:eastAsia="zh-CN"/>
                    </w:rPr>
                  </w:pPr>
                  <w:r>
                    <w:rPr>
                      <w:rFonts w:hint="eastAsia" w:cs="Times New Roman" w:eastAsiaTheme="minorEastAsia"/>
                      <w:color w:val="00B050"/>
                      <w:sz w:val="21"/>
                      <w:highlight w:val="none"/>
                      <w:lang w:val="en-US" w:eastAsia="zh-CN"/>
                    </w:rPr>
                    <w:t>/</w:t>
                  </w:r>
                </w:p>
              </w:tc>
              <w:tc>
                <w:tcPr>
                  <w:tcW w:w="1262" w:type="pct"/>
                  <w:vMerge w:val="restart"/>
                  <w:vAlign w:val="center"/>
                </w:tcPr>
                <w:p w14:paraId="223FE6C2">
                  <w:pPr>
                    <w:pStyle w:val="81"/>
                    <w:spacing w:line="240" w:lineRule="auto"/>
                    <w:rPr>
                      <w:rFonts w:cs="Times New Roman" w:eastAsiaTheme="minorEastAsia"/>
                      <w:color w:val="auto"/>
                      <w:sz w:val="21"/>
                      <w:highlight w:val="none"/>
                      <w:lang w:val="en-US"/>
                    </w:rPr>
                  </w:pPr>
                  <w:r>
                    <w:rPr>
                      <w:rFonts w:hint="eastAsia" w:cs="Times New Roman" w:eastAsiaTheme="minorEastAsia"/>
                      <w:color w:val="auto"/>
                      <w:sz w:val="21"/>
                      <w:highlight w:val="none"/>
                      <w:lang w:val="en-US" w:eastAsia="zh-CN"/>
                    </w:rPr>
                    <w:t>依托厂房配套的化粪池排入园区污水管网，接管入句容市郭庄污水处理有限公司处理达标后排放</w:t>
                  </w:r>
                </w:p>
              </w:tc>
            </w:tr>
            <w:tr w14:paraId="30769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9" w:type="pct"/>
                  <w:vMerge w:val="continue"/>
                  <w:vAlign w:val="center"/>
                </w:tcPr>
                <w:p w14:paraId="732FB4C6">
                  <w:pPr>
                    <w:pStyle w:val="81"/>
                    <w:spacing w:line="240" w:lineRule="auto"/>
                    <w:rPr>
                      <w:rFonts w:cs="Times New Roman" w:eastAsiaTheme="minorEastAsia"/>
                      <w:color w:val="auto"/>
                      <w:sz w:val="21"/>
                      <w:highlight w:val="none"/>
                    </w:rPr>
                  </w:pPr>
                </w:p>
              </w:tc>
              <w:tc>
                <w:tcPr>
                  <w:tcW w:w="446" w:type="pct"/>
                  <w:gridSpan w:val="2"/>
                  <w:vMerge w:val="continue"/>
                  <w:vAlign w:val="center"/>
                </w:tcPr>
                <w:p w14:paraId="56C102B4">
                  <w:pPr>
                    <w:pStyle w:val="81"/>
                    <w:spacing w:line="240" w:lineRule="auto"/>
                    <w:rPr>
                      <w:rFonts w:cs="Times New Roman" w:eastAsiaTheme="minorEastAsia"/>
                      <w:color w:val="auto"/>
                      <w:sz w:val="21"/>
                      <w:highlight w:val="none"/>
                    </w:rPr>
                  </w:pPr>
                </w:p>
              </w:tc>
              <w:tc>
                <w:tcPr>
                  <w:tcW w:w="962" w:type="pct"/>
                  <w:vAlign w:val="center"/>
                </w:tcPr>
                <w:p w14:paraId="182517C4">
                  <w:pPr>
                    <w:pStyle w:val="81"/>
                    <w:spacing w:line="240" w:lineRule="auto"/>
                    <w:rPr>
                      <w:rFonts w:hint="eastAsia" w:cs="Times New Roman" w:eastAsiaTheme="minorEastAsia"/>
                      <w:color w:val="auto"/>
                      <w:sz w:val="21"/>
                      <w:highlight w:val="none"/>
                      <w:lang w:eastAsia="zh-CN"/>
                    </w:rPr>
                  </w:pPr>
                  <w:r>
                    <w:rPr>
                      <w:rFonts w:hint="eastAsia" w:cs="Times New Roman" w:eastAsiaTheme="minorEastAsia"/>
                      <w:color w:val="auto"/>
                      <w:sz w:val="21"/>
                      <w:highlight w:val="none"/>
                      <w:lang w:val="en-US" w:eastAsia="zh-CN"/>
                    </w:rPr>
                    <w:t>清洗</w:t>
                  </w:r>
                  <w:r>
                    <w:rPr>
                      <w:rFonts w:hint="eastAsia" w:cs="Times New Roman" w:eastAsiaTheme="minorEastAsia"/>
                      <w:color w:val="auto"/>
                      <w:sz w:val="21"/>
                      <w:highlight w:val="none"/>
                      <w:lang w:eastAsia="zh-CN"/>
                    </w:rPr>
                    <w:t>废水（</w:t>
                  </w:r>
                  <w:r>
                    <w:rPr>
                      <w:rFonts w:hint="eastAsia" w:cs="Times New Roman" w:eastAsiaTheme="minorEastAsia"/>
                      <w:color w:val="auto"/>
                      <w:sz w:val="21"/>
                      <w:highlight w:val="none"/>
                      <w:lang w:val="en-US" w:eastAsia="zh-CN"/>
                    </w:rPr>
                    <w:t>240</w:t>
                  </w:r>
                  <w:r>
                    <w:rPr>
                      <w:rFonts w:hint="default" w:ascii="Times New Roman" w:hAnsi="Times New Roman" w:eastAsia="宋体" w:cs="Times New Roman"/>
                      <w:b w:val="0"/>
                      <w:bCs w:val="0"/>
                      <w:color w:val="auto"/>
                      <w:highlight w:val="none"/>
                      <w:lang w:val="en-US" w:eastAsia="zh-CN"/>
                    </w:rPr>
                    <w:t>t/a</w:t>
                  </w:r>
                  <w:r>
                    <w:rPr>
                      <w:rFonts w:hint="eastAsia" w:cs="Times New Roman" w:eastAsiaTheme="minorEastAsia"/>
                      <w:color w:val="auto"/>
                      <w:sz w:val="21"/>
                      <w:highlight w:val="none"/>
                      <w:lang w:eastAsia="zh-CN"/>
                    </w:rPr>
                    <w:t>）</w:t>
                  </w:r>
                </w:p>
              </w:tc>
              <w:tc>
                <w:tcPr>
                  <w:tcW w:w="713" w:type="pct"/>
                  <w:vAlign w:val="center"/>
                </w:tcPr>
                <w:p w14:paraId="73BE4CBB">
                  <w:pPr>
                    <w:pStyle w:val="81"/>
                    <w:spacing w:line="240" w:lineRule="auto"/>
                    <w:rPr>
                      <w:rFonts w:hint="eastAsia" w:cs="Times New Roman" w:eastAsiaTheme="minorEastAsia"/>
                      <w:color w:val="00B050"/>
                      <w:sz w:val="21"/>
                      <w:highlight w:val="none"/>
                      <w:lang w:eastAsia="zh-CN"/>
                    </w:rPr>
                  </w:pPr>
                  <w:r>
                    <w:rPr>
                      <w:rFonts w:hint="eastAsia" w:cs="Times New Roman" w:eastAsiaTheme="minorEastAsia"/>
                      <w:color w:val="00B050"/>
                      <w:sz w:val="21"/>
                      <w:highlight w:val="none"/>
                      <w:lang w:eastAsia="zh-CN"/>
                    </w:rPr>
                    <w:t>沉淀池</w:t>
                  </w:r>
                  <w:r>
                    <w:rPr>
                      <w:rFonts w:hint="eastAsia" w:cs="Times New Roman" w:eastAsiaTheme="minorEastAsia"/>
                      <w:color w:val="00B050"/>
                      <w:sz w:val="21"/>
                      <w:highlight w:val="none"/>
                      <w:lang w:val="en-US" w:eastAsia="zh-CN"/>
                    </w:rPr>
                    <w:t>2</w:t>
                  </w:r>
                  <w:r>
                    <w:rPr>
                      <w:rFonts w:hint="default" w:ascii="Times New Roman" w:hAnsi="Times New Roman" w:eastAsia="宋体" w:cs="Times New Roman"/>
                      <w:color w:val="00B050"/>
                      <w:highlight w:val="none"/>
                    </w:rPr>
                    <w:t>m</w:t>
                  </w:r>
                  <w:r>
                    <w:rPr>
                      <w:rFonts w:hint="eastAsia" w:cs="Times New Roman"/>
                      <w:color w:val="00B050"/>
                      <w:highlight w:val="none"/>
                      <w:vertAlign w:val="superscript"/>
                      <w:lang w:val="en-US" w:eastAsia="zh-CN"/>
                    </w:rPr>
                    <w:t>3</w:t>
                  </w:r>
                </w:p>
              </w:tc>
              <w:tc>
                <w:tcPr>
                  <w:tcW w:w="1056" w:type="pct"/>
                  <w:vAlign w:val="center"/>
                </w:tcPr>
                <w:p w14:paraId="599EF107">
                  <w:pPr>
                    <w:pStyle w:val="81"/>
                    <w:spacing w:line="240" w:lineRule="auto"/>
                    <w:rPr>
                      <w:rFonts w:hint="default" w:cs="Times New Roman" w:eastAsiaTheme="minorEastAsia"/>
                      <w:color w:val="00B050"/>
                      <w:sz w:val="21"/>
                      <w:highlight w:val="none"/>
                      <w:lang w:val="en-US" w:eastAsia="zh-CN"/>
                    </w:rPr>
                  </w:pPr>
                  <w:r>
                    <w:rPr>
                      <w:rFonts w:hint="eastAsia" w:cs="Times New Roman" w:eastAsiaTheme="minorEastAsia"/>
                      <w:color w:val="00B050"/>
                      <w:sz w:val="21"/>
                      <w:highlight w:val="none"/>
                      <w:lang w:val="en-US" w:eastAsia="zh-CN"/>
                    </w:rPr>
                    <w:t>/</w:t>
                  </w:r>
                </w:p>
              </w:tc>
              <w:tc>
                <w:tcPr>
                  <w:tcW w:w="1262" w:type="pct"/>
                  <w:vMerge w:val="continue"/>
                  <w:vAlign w:val="center"/>
                </w:tcPr>
                <w:p w14:paraId="69BE0A29">
                  <w:pPr>
                    <w:pStyle w:val="81"/>
                    <w:spacing w:line="240" w:lineRule="auto"/>
                    <w:rPr>
                      <w:rFonts w:hint="eastAsia" w:cs="Times New Roman" w:eastAsiaTheme="minorEastAsia"/>
                      <w:color w:val="auto"/>
                      <w:sz w:val="21"/>
                      <w:highlight w:val="none"/>
                      <w:lang w:val="en-US" w:eastAsia="zh-CN"/>
                    </w:rPr>
                  </w:pPr>
                </w:p>
              </w:tc>
            </w:tr>
            <w:tr w14:paraId="56CE5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87" w:hRule="atLeast"/>
                <w:jc w:val="center"/>
              </w:trPr>
              <w:tc>
                <w:tcPr>
                  <w:tcW w:w="559" w:type="pct"/>
                  <w:vMerge w:val="continue"/>
                  <w:vAlign w:val="center"/>
                </w:tcPr>
                <w:p w14:paraId="2C49187F">
                  <w:pPr>
                    <w:pStyle w:val="81"/>
                    <w:spacing w:line="240" w:lineRule="auto"/>
                    <w:rPr>
                      <w:rFonts w:cs="Times New Roman" w:eastAsiaTheme="minorEastAsia"/>
                      <w:color w:val="auto"/>
                      <w:sz w:val="21"/>
                      <w:highlight w:val="none"/>
                    </w:rPr>
                  </w:pPr>
                </w:p>
              </w:tc>
              <w:tc>
                <w:tcPr>
                  <w:tcW w:w="446" w:type="pct"/>
                  <w:gridSpan w:val="2"/>
                  <w:vAlign w:val="center"/>
                </w:tcPr>
                <w:p w14:paraId="5A03E601">
                  <w:pPr>
                    <w:pStyle w:val="81"/>
                    <w:spacing w:line="240" w:lineRule="auto"/>
                    <w:rPr>
                      <w:rFonts w:cs="Times New Roman" w:eastAsiaTheme="minorEastAsia"/>
                      <w:color w:val="auto"/>
                      <w:sz w:val="21"/>
                      <w:szCs w:val="21"/>
                      <w:highlight w:val="none"/>
                    </w:rPr>
                  </w:pPr>
                  <w:r>
                    <w:rPr>
                      <w:rFonts w:cs="Times New Roman" w:eastAsiaTheme="minorEastAsia"/>
                      <w:color w:val="auto"/>
                      <w:sz w:val="21"/>
                      <w:szCs w:val="21"/>
                      <w:highlight w:val="none"/>
                    </w:rPr>
                    <w:t>废气处理</w:t>
                  </w:r>
                </w:p>
              </w:tc>
              <w:tc>
                <w:tcPr>
                  <w:tcW w:w="962" w:type="pct"/>
                  <w:vAlign w:val="center"/>
                </w:tcPr>
                <w:p w14:paraId="6F61CFB7">
                  <w:pPr>
                    <w:pStyle w:val="81"/>
                    <w:spacing w:line="240" w:lineRule="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非甲烷总烃</w:t>
                  </w:r>
                </w:p>
              </w:tc>
              <w:tc>
                <w:tcPr>
                  <w:tcW w:w="713" w:type="pct"/>
                  <w:vAlign w:val="center"/>
                </w:tcPr>
                <w:p w14:paraId="36E32E7E">
                  <w:pPr>
                    <w:pStyle w:val="81"/>
                    <w:spacing w:line="240" w:lineRule="auto"/>
                    <w:rPr>
                      <w:rFonts w:hint="eastAsia" w:cs="Times New Roman" w:eastAsiaTheme="minorEastAsia"/>
                      <w:color w:val="00B050"/>
                      <w:sz w:val="21"/>
                      <w:szCs w:val="21"/>
                      <w:highlight w:val="none"/>
                      <w:lang w:val="en-US" w:eastAsia="zh-CN"/>
                    </w:rPr>
                  </w:pPr>
                  <w:r>
                    <w:rPr>
                      <w:rFonts w:hint="eastAsia"/>
                      <w:color w:val="00B050"/>
                      <w:kern w:val="0"/>
                      <w:sz w:val="21"/>
                      <w:szCs w:val="21"/>
                      <w:highlight w:val="none"/>
                      <w:lang w:val="en-US" w:eastAsia="zh-CN" w:bidi="ar"/>
                    </w:rPr>
                    <w:t>车间通风，无组织</w:t>
                  </w:r>
                  <w:r>
                    <w:rPr>
                      <w:rFonts w:hint="eastAsia"/>
                      <w:color w:val="00B050"/>
                      <w:sz w:val="21"/>
                      <w:szCs w:val="21"/>
                      <w:highlight w:val="none"/>
                      <w:lang w:val="en-US"/>
                    </w:rPr>
                    <w:t>排放</w:t>
                  </w:r>
                </w:p>
              </w:tc>
              <w:tc>
                <w:tcPr>
                  <w:tcW w:w="1056" w:type="pct"/>
                  <w:vAlign w:val="center"/>
                </w:tcPr>
                <w:p w14:paraId="542CD222">
                  <w:pPr>
                    <w:pStyle w:val="81"/>
                    <w:spacing w:line="240" w:lineRule="auto"/>
                    <w:rPr>
                      <w:rFonts w:hint="default" w:ascii="Times New Roman" w:hAnsi="Times New Roman" w:eastAsia="宋体" w:cs="Times New Roman"/>
                      <w:color w:val="00B050"/>
                      <w:sz w:val="21"/>
                      <w:szCs w:val="21"/>
                      <w:highlight w:val="none"/>
                      <w:lang w:val="en-US" w:eastAsia="zh-CN"/>
                    </w:rPr>
                  </w:pPr>
                  <w:r>
                    <w:rPr>
                      <w:rFonts w:hint="eastAsia" w:cs="Times New Roman"/>
                      <w:color w:val="00B050"/>
                      <w:sz w:val="21"/>
                      <w:szCs w:val="21"/>
                      <w:highlight w:val="none"/>
                      <w:lang w:val="en-US" w:eastAsia="zh-CN"/>
                    </w:rPr>
                    <w:t>/</w:t>
                  </w:r>
                </w:p>
              </w:tc>
              <w:tc>
                <w:tcPr>
                  <w:tcW w:w="1262" w:type="pct"/>
                  <w:vAlign w:val="center"/>
                </w:tcPr>
                <w:p w14:paraId="26C20C81">
                  <w:pPr>
                    <w:pStyle w:val="81"/>
                    <w:spacing w:line="240" w:lineRule="auto"/>
                    <w:rPr>
                      <w:rFonts w:hint="eastAsia" w:cs="Times New Roman" w:eastAsiaTheme="minorEastAsia"/>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达到</w:t>
                  </w:r>
                  <w:r>
                    <w:rPr>
                      <w:rFonts w:hint="default" w:ascii="Times New Roman" w:hAnsi="Times New Roman" w:eastAsia="宋体" w:cs="Times New Roman"/>
                      <w:color w:val="auto"/>
                      <w:sz w:val="21"/>
                      <w:szCs w:val="21"/>
                      <w:highlight w:val="none"/>
                      <w:lang w:val="en-US"/>
                    </w:rPr>
                    <w:t>江苏省地方标准《大气污染物综合排放标准》(DB32/4041-2021)中标准</w:t>
                  </w:r>
                </w:p>
              </w:tc>
            </w:tr>
            <w:tr w14:paraId="7277EC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9" w:type="pct"/>
                  <w:vMerge w:val="continue"/>
                  <w:vAlign w:val="center"/>
                </w:tcPr>
                <w:p w14:paraId="183AD1D3">
                  <w:pPr>
                    <w:pStyle w:val="81"/>
                    <w:spacing w:line="240" w:lineRule="auto"/>
                    <w:rPr>
                      <w:rFonts w:cs="Times New Roman" w:eastAsiaTheme="minorEastAsia"/>
                      <w:color w:val="auto"/>
                      <w:sz w:val="21"/>
                      <w:highlight w:val="none"/>
                    </w:rPr>
                  </w:pPr>
                </w:p>
              </w:tc>
              <w:tc>
                <w:tcPr>
                  <w:tcW w:w="446" w:type="pct"/>
                  <w:gridSpan w:val="2"/>
                  <w:vAlign w:val="center"/>
                </w:tcPr>
                <w:p w14:paraId="66585F61">
                  <w:pPr>
                    <w:pStyle w:val="81"/>
                    <w:spacing w:line="240" w:lineRule="auto"/>
                    <w:rPr>
                      <w:rFonts w:cs="Times New Roman" w:eastAsiaTheme="minorEastAsia"/>
                      <w:color w:val="auto"/>
                      <w:sz w:val="21"/>
                      <w:highlight w:val="none"/>
                    </w:rPr>
                  </w:pPr>
                  <w:r>
                    <w:rPr>
                      <w:rFonts w:cs="Times New Roman" w:eastAsiaTheme="minorEastAsia"/>
                      <w:color w:val="auto"/>
                      <w:sz w:val="21"/>
                      <w:highlight w:val="none"/>
                    </w:rPr>
                    <w:t>噪声处理</w:t>
                  </w:r>
                </w:p>
              </w:tc>
              <w:tc>
                <w:tcPr>
                  <w:tcW w:w="962" w:type="pct"/>
                  <w:vAlign w:val="center"/>
                </w:tcPr>
                <w:p w14:paraId="4F4B1753">
                  <w:pPr>
                    <w:pStyle w:val="81"/>
                    <w:spacing w:line="240" w:lineRule="auto"/>
                    <w:rPr>
                      <w:rFonts w:cs="Times New Roman" w:eastAsiaTheme="minorEastAsia"/>
                      <w:color w:val="auto"/>
                      <w:sz w:val="21"/>
                      <w:highlight w:val="none"/>
                    </w:rPr>
                  </w:pPr>
                  <w:r>
                    <w:rPr>
                      <w:rFonts w:cs="Times New Roman" w:eastAsiaTheme="minorEastAsia"/>
                      <w:color w:val="auto"/>
                      <w:sz w:val="21"/>
                      <w:highlight w:val="none"/>
                    </w:rPr>
                    <w:t>隔声防治措施（采用低噪声设备、隔声门窗、设备减振、绿化、合理布置等综合防治措施）</w:t>
                  </w:r>
                </w:p>
              </w:tc>
              <w:tc>
                <w:tcPr>
                  <w:tcW w:w="713" w:type="pct"/>
                  <w:vAlign w:val="center"/>
                </w:tcPr>
                <w:p w14:paraId="0A2D496F">
                  <w:pPr>
                    <w:pStyle w:val="108"/>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cs="Times New Roman" w:eastAsiaTheme="minorEastAsia"/>
                      <w:color w:val="00B050"/>
                      <w:sz w:val="21"/>
                      <w:highlight w:val="none"/>
                    </w:rPr>
                  </w:pPr>
                  <w:r>
                    <w:rPr>
                      <w:rFonts w:hint="default" w:ascii="Times New Roman" w:hAnsi="Times New Roman" w:eastAsia="宋体" w:cs="Times New Roman"/>
                      <w:color w:val="00B050"/>
                      <w:highlight w:val="none"/>
                    </w:rPr>
                    <w:t>降噪量≥25dB（A）</w:t>
                  </w:r>
                </w:p>
              </w:tc>
              <w:tc>
                <w:tcPr>
                  <w:tcW w:w="1056" w:type="pct"/>
                  <w:vAlign w:val="center"/>
                </w:tcPr>
                <w:p w14:paraId="2BEE54E9">
                  <w:pPr>
                    <w:pStyle w:val="108"/>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firstLine="0" w:firstLineChars="0"/>
                    <w:jc w:val="center"/>
                    <w:textAlignment w:val="auto"/>
                    <w:rPr>
                      <w:rFonts w:hint="eastAsia" w:ascii="Times New Roman" w:hAnsi="Times New Roman" w:eastAsia="宋体" w:cs="Times New Roman"/>
                      <w:color w:val="00B050"/>
                      <w:highlight w:val="none"/>
                      <w:lang w:val="en-US" w:eastAsia="zh-CN"/>
                    </w:rPr>
                  </w:pPr>
                  <w:r>
                    <w:rPr>
                      <w:rFonts w:hint="eastAsia" w:ascii="Times New Roman" w:eastAsia="宋体" w:cs="Times New Roman"/>
                      <w:color w:val="00B050"/>
                      <w:highlight w:val="none"/>
                      <w:lang w:val="en-US" w:eastAsia="zh-CN"/>
                    </w:rPr>
                    <w:t>/</w:t>
                  </w:r>
                </w:p>
              </w:tc>
              <w:tc>
                <w:tcPr>
                  <w:tcW w:w="1262" w:type="pct"/>
                  <w:vAlign w:val="center"/>
                </w:tcPr>
                <w:p w14:paraId="5F30944D">
                  <w:pPr>
                    <w:pStyle w:val="108"/>
                    <w:keepNext w:val="0"/>
                    <w:keepLines w:val="0"/>
                    <w:pageBreakBefore w:val="0"/>
                    <w:widowControl w:val="0"/>
                    <w:kinsoku/>
                    <w:wordWrap/>
                    <w:overflowPunct/>
                    <w:topLinePunct w:val="0"/>
                    <w:autoSpaceDE/>
                    <w:autoSpaceDN/>
                    <w:bidi w:val="0"/>
                    <w:adjustRightInd w:val="0"/>
                    <w:snapToGrid w:val="0"/>
                    <w:spacing w:before="0" w:beforeLines="0" w:afterLines="0" w:line="240" w:lineRule="auto"/>
                    <w:ind w:firstLine="0" w:firstLineChars="0"/>
                    <w:jc w:val="center"/>
                    <w:textAlignment w:val="auto"/>
                    <w:rPr>
                      <w:rFonts w:cs="Times New Roman" w:eastAsiaTheme="minorEastAsia"/>
                      <w:color w:val="auto"/>
                      <w:sz w:val="21"/>
                      <w:highlight w:val="none"/>
                    </w:rPr>
                  </w:pPr>
                  <w:r>
                    <w:rPr>
                      <w:rFonts w:hint="default" w:ascii="Times New Roman" w:hAnsi="Times New Roman" w:eastAsia="宋体" w:cs="Times New Roman"/>
                      <w:color w:val="auto"/>
                      <w:highlight w:val="none"/>
                    </w:rPr>
                    <w:t>厂界噪声达《工业企业厂界环境噪声排放标准》（GB12348-2008）</w:t>
                  </w:r>
                  <w:r>
                    <w:rPr>
                      <w:rFonts w:hint="eastAsia" w:asci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类标准</w:t>
                  </w:r>
                </w:p>
              </w:tc>
            </w:tr>
            <w:tr w14:paraId="23843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9" w:type="pct"/>
                  <w:vMerge w:val="continue"/>
                  <w:vAlign w:val="center"/>
                </w:tcPr>
                <w:p w14:paraId="54106B61">
                  <w:pPr>
                    <w:pStyle w:val="81"/>
                    <w:spacing w:line="240" w:lineRule="auto"/>
                    <w:rPr>
                      <w:rFonts w:cs="Times New Roman" w:eastAsiaTheme="minorEastAsia"/>
                      <w:color w:val="auto"/>
                      <w:sz w:val="21"/>
                      <w:highlight w:val="none"/>
                    </w:rPr>
                  </w:pPr>
                </w:p>
              </w:tc>
              <w:tc>
                <w:tcPr>
                  <w:tcW w:w="446" w:type="pct"/>
                  <w:gridSpan w:val="2"/>
                  <w:vMerge w:val="restart"/>
                  <w:vAlign w:val="center"/>
                </w:tcPr>
                <w:p w14:paraId="19359572">
                  <w:pPr>
                    <w:pStyle w:val="81"/>
                    <w:spacing w:line="240" w:lineRule="auto"/>
                    <w:rPr>
                      <w:rFonts w:cs="Times New Roman" w:eastAsiaTheme="minorEastAsia"/>
                      <w:color w:val="auto"/>
                      <w:sz w:val="21"/>
                      <w:highlight w:val="none"/>
                    </w:rPr>
                  </w:pPr>
                  <w:r>
                    <w:rPr>
                      <w:rFonts w:cs="Times New Roman" w:eastAsiaTheme="minorEastAsia"/>
                      <w:color w:val="auto"/>
                      <w:sz w:val="21"/>
                      <w:highlight w:val="none"/>
                    </w:rPr>
                    <w:t>固废处置</w:t>
                  </w:r>
                </w:p>
              </w:tc>
              <w:tc>
                <w:tcPr>
                  <w:tcW w:w="962" w:type="pct"/>
                  <w:vAlign w:val="center"/>
                </w:tcPr>
                <w:p w14:paraId="5356CA51">
                  <w:pPr>
                    <w:pStyle w:val="81"/>
                    <w:spacing w:line="240" w:lineRule="auto"/>
                    <w:rPr>
                      <w:rFonts w:hint="eastAsia" w:cs="Times New Roman" w:eastAsiaTheme="minorEastAsia"/>
                      <w:color w:val="auto"/>
                      <w:sz w:val="21"/>
                      <w:highlight w:val="none"/>
                      <w:lang w:eastAsia="zh-CN"/>
                    </w:rPr>
                  </w:pPr>
                  <w:r>
                    <w:rPr>
                      <w:rFonts w:cs="Times New Roman" w:eastAsiaTheme="minorEastAsia"/>
                      <w:color w:val="auto"/>
                      <w:sz w:val="21"/>
                      <w:highlight w:val="none"/>
                    </w:rPr>
                    <w:t>一般固废</w:t>
                  </w:r>
                  <w:r>
                    <w:rPr>
                      <w:rFonts w:hint="eastAsia" w:cs="Times New Roman" w:eastAsiaTheme="minorEastAsia"/>
                      <w:color w:val="auto"/>
                      <w:sz w:val="21"/>
                      <w:highlight w:val="none"/>
                      <w:lang w:val="en-US" w:eastAsia="zh-CN"/>
                    </w:rPr>
                    <w:t>库</w:t>
                  </w:r>
                </w:p>
              </w:tc>
              <w:tc>
                <w:tcPr>
                  <w:tcW w:w="713" w:type="pct"/>
                  <w:tcBorders>
                    <w:top w:val="single" w:color="auto" w:sz="4" w:space="0"/>
                  </w:tcBorders>
                  <w:vAlign w:val="center"/>
                </w:tcPr>
                <w:p w14:paraId="404328B7">
                  <w:pPr>
                    <w:keepNext w:val="0"/>
                    <w:keepLines w:val="0"/>
                    <w:pageBreakBefore w:val="0"/>
                    <w:widowControl w:val="0"/>
                    <w:kinsoku/>
                    <w:wordWrap/>
                    <w:overflowPunct/>
                    <w:topLinePunct w:val="0"/>
                    <w:autoSpaceDE/>
                    <w:autoSpaceDN/>
                    <w:bidi w:val="0"/>
                    <w:spacing w:before="0" w:line="240" w:lineRule="auto"/>
                    <w:ind w:firstLine="0" w:firstLineChars="0"/>
                    <w:jc w:val="center"/>
                    <w:textAlignment w:val="auto"/>
                    <w:rPr>
                      <w:rFonts w:cs="Times New Roman" w:eastAsiaTheme="minorEastAsia"/>
                      <w:color w:val="00B050"/>
                      <w:sz w:val="21"/>
                      <w:highlight w:val="none"/>
                    </w:rPr>
                  </w:pPr>
                  <w:r>
                    <w:rPr>
                      <w:rFonts w:hint="eastAsia" w:ascii="Times New Roman" w:eastAsia="宋体" w:cs="Times New Roman"/>
                      <w:color w:val="00B050"/>
                      <w:highlight w:val="none"/>
                      <w:lang w:val="en-US" w:eastAsia="zh-CN"/>
                    </w:rPr>
                    <w:t>/</w:t>
                  </w:r>
                </w:p>
              </w:tc>
              <w:tc>
                <w:tcPr>
                  <w:tcW w:w="1056" w:type="pct"/>
                  <w:tcBorders>
                    <w:top w:val="single" w:color="auto" w:sz="4" w:space="0"/>
                  </w:tcBorders>
                  <w:shd w:val="clear" w:color="auto" w:fill="auto"/>
                  <w:vAlign w:val="center"/>
                </w:tcPr>
                <w:p w14:paraId="0445D421">
                  <w:pPr>
                    <w:pStyle w:val="108"/>
                    <w:keepNext w:val="0"/>
                    <w:keepLines w:val="0"/>
                    <w:pageBreakBefore w:val="0"/>
                    <w:widowControl w:val="0"/>
                    <w:kinsoku/>
                    <w:wordWrap/>
                    <w:overflowPunct/>
                    <w:topLinePunct w:val="0"/>
                    <w:autoSpaceDE/>
                    <w:autoSpaceDN/>
                    <w:bidi w:val="0"/>
                    <w:spacing w:before="0" w:line="240" w:lineRule="auto"/>
                    <w:ind w:firstLine="0" w:firstLineChars="0"/>
                    <w:textAlignment w:val="auto"/>
                    <w:rPr>
                      <w:rFonts w:hint="eastAsia" w:ascii="宋体" w:hAnsi="Times New Roman" w:cs="Times New Roman" w:eastAsiaTheme="minorEastAsia"/>
                      <w:color w:val="00B050"/>
                      <w:spacing w:val="6"/>
                      <w:kern w:val="0"/>
                      <w:position w:val="10"/>
                      <w:sz w:val="21"/>
                      <w:szCs w:val="21"/>
                      <w:highlight w:val="none"/>
                      <w:lang w:val="en-US" w:eastAsia="zh-CN" w:bidi="ar-SA"/>
                    </w:rPr>
                  </w:pPr>
                  <w:r>
                    <w:rPr>
                      <w:rFonts w:hint="eastAsia" w:ascii="Times New Roman" w:eastAsia="宋体" w:cs="Times New Roman"/>
                      <w:color w:val="00B050"/>
                      <w:highlight w:val="none"/>
                      <w:lang w:val="en-US" w:eastAsia="zh-CN"/>
                    </w:rPr>
                    <w:t>5</w:t>
                  </w:r>
                  <w:r>
                    <w:rPr>
                      <w:rFonts w:hint="default" w:ascii="Times New Roman" w:hAnsi="Times New Roman" w:eastAsia="宋体" w:cs="Times New Roman"/>
                      <w:color w:val="00B050"/>
                      <w:highlight w:val="none"/>
                    </w:rPr>
                    <w:t>m</w:t>
                  </w:r>
                  <w:r>
                    <w:rPr>
                      <w:rFonts w:hint="default" w:ascii="Times New Roman" w:hAnsi="Times New Roman" w:eastAsia="宋体" w:cs="Times New Roman"/>
                      <w:color w:val="00B050"/>
                      <w:highlight w:val="none"/>
                      <w:vertAlign w:val="superscript"/>
                    </w:rPr>
                    <w:t>2</w:t>
                  </w:r>
                </w:p>
              </w:tc>
              <w:tc>
                <w:tcPr>
                  <w:tcW w:w="1262" w:type="pct"/>
                  <w:tcBorders>
                    <w:top w:val="single" w:color="auto" w:sz="4" w:space="0"/>
                  </w:tcBorders>
                  <w:vAlign w:val="center"/>
                </w:tcPr>
                <w:p w14:paraId="4566842A">
                  <w:pPr>
                    <w:pStyle w:val="81"/>
                    <w:spacing w:line="240" w:lineRule="auto"/>
                    <w:rPr>
                      <w:rFonts w:cs="Times New Roman" w:eastAsiaTheme="minorEastAsia"/>
                      <w:color w:val="auto"/>
                      <w:sz w:val="21"/>
                      <w:highlight w:val="none"/>
                      <w:lang w:val="en-US"/>
                    </w:rPr>
                  </w:pPr>
                  <w:r>
                    <w:rPr>
                      <w:rFonts w:hint="eastAsia" w:cs="Times New Roman" w:eastAsiaTheme="minorEastAsia"/>
                      <w:color w:val="auto"/>
                      <w:sz w:val="21"/>
                      <w:highlight w:val="none"/>
                      <w:lang w:val="en-US" w:eastAsia="zh-CN"/>
                    </w:rPr>
                    <w:t>新建</w:t>
                  </w:r>
                  <w:r>
                    <w:rPr>
                      <w:rFonts w:cs="Times New Roman" w:eastAsiaTheme="minorEastAsia"/>
                      <w:color w:val="auto"/>
                      <w:sz w:val="21"/>
                      <w:highlight w:val="none"/>
                    </w:rPr>
                    <w:t>，</w:t>
                  </w:r>
                  <w:r>
                    <w:rPr>
                      <w:rFonts w:cs="Times New Roman" w:eastAsiaTheme="minorEastAsia"/>
                      <w:color w:val="auto"/>
                      <w:sz w:val="21"/>
                      <w:highlight w:val="none"/>
                      <w:lang w:val="en-US"/>
                    </w:rPr>
                    <w:t>位于</w:t>
                  </w:r>
                  <w:r>
                    <w:rPr>
                      <w:rFonts w:hint="eastAsia" w:cs="Times New Roman" w:eastAsiaTheme="minorEastAsia"/>
                      <w:color w:val="auto"/>
                      <w:sz w:val="21"/>
                      <w:highlight w:val="none"/>
                      <w:lang w:val="en-US" w:eastAsia="zh-CN"/>
                    </w:rPr>
                    <w:t>危废仓库左</w:t>
                  </w:r>
                  <w:r>
                    <w:rPr>
                      <w:rFonts w:cs="Times New Roman" w:eastAsiaTheme="minorEastAsia"/>
                      <w:color w:val="auto"/>
                      <w:sz w:val="21"/>
                      <w:highlight w:val="none"/>
                      <w:lang w:val="en-US"/>
                    </w:rPr>
                    <w:t>侧</w:t>
                  </w:r>
                </w:p>
              </w:tc>
            </w:tr>
            <w:tr w14:paraId="13096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9" w:type="pct"/>
                  <w:vMerge w:val="continue"/>
                  <w:vAlign w:val="center"/>
                </w:tcPr>
                <w:p w14:paraId="3FB094AB">
                  <w:pPr>
                    <w:pStyle w:val="81"/>
                    <w:spacing w:line="240" w:lineRule="auto"/>
                    <w:rPr>
                      <w:rFonts w:cs="Times New Roman" w:eastAsiaTheme="minorEastAsia"/>
                      <w:color w:val="auto"/>
                      <w:sz w:val="21"/>
                      <w:highlight w:val="none"/>
                    </w:rPr>
                  </w:pPr>
                </w:p>
              </w:tc>
              <w:tc>
                <w:tcPr>
                  <w:tcW w:w="446" w:type="pct"/>
                  <w:gridSpan w:val="2"/>
                  <w:vMerge w:val="continue"/>
                  <w:vAlign w:val="center"/>
                </w:tcPr>
                <w:p w14:paraId="0CDCC967">
                  <w:pPr>
                    <w:pStyle w:val="81"/>
                    <w:spacing w:line="240" w:lineRule="auto"/>
                    <w:rPr>
                      <w:rFonts w:cs="Times New Roman" w:eastAsiaTheme="minorEastAsia"/>
                      <w:color w:val="auto"/>
                      <w:sz w:val="21"/>
                      <w:highlight w:val="none"/>
                    </w:rPr>
                  </w:pPr>
                </w:p>
              </w:tc>
              <w:tc>
                <w:tcPr>
                  <w:tcW w:w="962" w:type="pct"/>
                  <w:tcBorders>
                    <w:bottom w:val="single" w:color="auto" w:sz="12" w:space="0"/>
                  </w:tcBorders>
                  <w:vAlign w:val="center"/>
                </w:tcPr>
                <w:p w14:paraId="7C07CBB9">
                  <w:pPr>
                    <w:pStyle w:val="81"/>
                    <w:spacing w:line="240" w:lineRule="auto"/>
                    <w:rPr>
                      <w:rFonts w:cs="Times New Roman" w:eastAsiaTheme="minorEastAsia"/>
                      <w:color w:val="auto"/>
                      <w:sz w:val="21"/>
                      <w:highlight w:val="none"/>
                    </w:rPr>
                  </w:pPr>
                  <w:r>
                    <w:rPr>
                      <w:rFonts w:cs="Times New Roman" w:eastAsiaTheme="minorEastAsia"/>
                      <w:color w:val="auto"/>
                      <w:sz w:val="21"/>
                      <w:highlight w:val="none"/>
                    </w:rPr>
                    <w:t>危废仓库</w:t>
                  </w:r>
                </w:p>
              </w:tc>
              <w:tc>
                <w:tcPr>
                  <w:tcW w:w="713" w:type="pct"/>
                  <w:tcBorders>
                    <w:top w:val="single" w:color="auto" w:sz="4" w:space="0"/>
                    <w:bottom w:val="single" w:color="auto" w:sz="12" w:space="0"/>
                  </w:tcBorders>
                  <w:vAlign w:val="center"/>
                </w:tcPr>
                <w:p w14:paraId="2EC2660C">
                  <w:pPr>
                    <w:keepNext w:val="0"/>
                    <w:keepLines w:val="0"/>
                    <w:pageBreakBefore w:val="0"/>
                    <w:widowControl w:val="0"/>
                    <w:kinsoku/>
                    <w:wordWrap/>
                    <w:overflowPunct/>
                    <w:topLinePunct w:val="0"/>
                    <w:autoSpaceDE/>
                    <w:autoSpaceDN/>
                    <w:bidi w:val="0"/>
                    <w:spacing w:before="0" w:line="240" w:lineRule="auto"/>
                    <w:ind w:firstLine="0" w:firstLineChars="0"/>
                    <w:jc w:val="center"/>
                    <w:textAlignment w:val="auto"/>
                    <w:rPr>
                      <w:rFonts w:cs="Times New Roman" w:eastAsiaTheme="minorEastAsia"/>
                      <w:color w:val="00B050"/>
                      <w:sz w:val="21"/>
                      <w:highlight w:val="none"/>
                    </w:rPr>
                  </w:pPr>
                  <w:r>
                    <w:rPr>
                      <w:rFonts w:hint="eastAsia" w:ascii="Times New Roman" w:eastAsia="宋体" w:cs="Times New Roman"/>
                      <w:color w:val="00B050"/>
                      <w:highlight w:val="none"/>
                      <w:lang w:val="en-US" w:eastAsia="zh-CN"/>
                    </w:rPr>
                    <w:t>/</w:t>
                  </w:r>
                </w:p>
              </w:tc>
              <w:tc>
                <w:tcPr>
                  <w:tcW w:w="1056" w:type="pct"/>
                  <w:tcBorders>
                    <w:top w:val="single" w:color="auto" w:sz="4" w:space="0"/>
                    <w:bottom w:val="single" w:color="auto" w:sz="12" w:space="0"/>
                  </w:tcBorders>
                  <w:shd w:val="clear" w:color="auto" w:fill="auto"/>
                  <w:vAlign w:val="center"/>
                </w:tcPr>
                <w:p w14:paraId="0559270D">
                  <w:pPr>
                    <w:pStyle w:val="108"/>
                    <w:keepNext w:val="0"/>
                    <w:keepLines w:val="0"/>
                    <w:pageBreakBefore w:val="0"/>
                    <w:widowControl w:val="0"/>
                    <w:kinsoku/>
                    <w:wordWrap/>
                    <w:overflowPunct/>
                    <w:topLinePunct w:val="0"/>
                    <w:autoSpaceDE/>
                    <w:autoSpaceDN/>
                    <w:bidi w:val="0"/>
                    <w:spacing w:before="0" w:line="240" w:lineRule="auto"/>
                    <w:ind w:firstLine="0" w:firstLineChars="0"/>
                    <w:textAlignment w:val="auto"/>
                    <w:rPr>
                      <w:rFonts w:hint="eastAsia" w:ascii="宋体" w:hAnsi="Times New Roman" w:cs="Times New Roman" w:eastAsiaTheme="minorEastAsia"/>
                      <w:color w:val="00B050"/>
                      <w:spacing w:val="6"/>
                      <w:kern w:val="0"/>
                      <w:position w:val="10"/>
                      <w:sz w:val="21"/>
                      <w:szCs w:val="21"/>
                      <w:highlight w:val="none"/>
                      <w:lang w:val="en-US" w:eastAsia="zh-CN" w:bidi="ar-SA"/>
                    </w:rPr>
                  </w:pPr>
                  <w:r>
                    <w:rPr>
                      <w:rFonts w:hint="eastAsia" w:ascii="Times New Roman" w:eastAsia="宋体" w:cs="Times New Roman"/>
                      <w:color w:val="00B050"/>
                      <w:highlight w:val="none"/>
                      <w:lang w:val="en-US" w:eastAsia="zh-CN"/>
                    </w:rPr>
                    <w:t>5</w:t>
                  </w:r>
                  <w:r>
                    <w:rPr>
                      <w:rFonts w:hint="default" w:ascii="Times New Roman" w:hAnsi="Times New Roman" w:eastAsia="宋体" w:cs="Times New Roman"/>
                      <w:color w:val="00B050"/>
                      <w:highlight w:val="none"/>
                    </w:rPr>
                    <w:t>m</w:t>
                  </w:r>
                  <w:r>
                    <w:rPr>
                      <w:rFonts w:hint="default" w:ascii="Times New Roman" w:hAnsi="Times New Roman" w:eastAsia="宋体" w:cs="Times New Roman"/>
                      <w:color w:val="00B050"/>
                      <w:highlight w:val="none"/>
                      <w:vertAlign w:val="superscript"/>
                    </w:rPr>
                    <w:t>2</w:t>
                  </w:r>
                </w:p>
              </w:tc>
              <w:tc>
                <w:tcPr>
                  <w:tcW w:w="1262" w:type="pct"/>
                  <w:tcBorders>
                    <w:top w:val="single" w:color="auto" w:sz="4" w:space="0"/>
                    <w:bottom w:val="single" w:color="auto" w:sz="12" w:space="0"/>
                  </w:tcBorders>
                  <w:vAlign w:val="center"/>
                </w:tcPr>
                <w:p w14:paraId="0C4E5168">
                  <w:pPr>
                    <w:pStyle w:val="81"/>
                    <w:spacing w:line="240" w:lineRule="auto"/>
                    <w:rPr>
                      <w:rFonts w:cs="Times New Roman" w:eastAsiaTheme="minorEastAsia"/>
                      <w:color w:val="auto"/>
                      <w:sz w:val="21"/>
                      <w:highlight w:val="none"/>
                    </w:rPr>
                  </w:pPr>
                  <w:r>
                    <w:rPr>
                      <w:rFonts w:hint="eastAsia" w:cs="Times New Roman" w:eastAsiaTheme="minorEastAsia"/>
                      <w:color w:val="auto"/>
                      <w:sz w:val="21"/>
                      <w:highlight w:val="none"/>
                      <w:lang w:val="en-US" w:eastAsia="zh-CN"/>
                    </w:rPr>
                    <w:t>新建</w:t>
                  </w:r>
                  <w:r>
                    <w:rPr>
                      <w:rFonts w:cs="Times New Roman" w:eastAsiaTheme="minorEastAsia"/>
                      <w:color w:val="auto"/>
                      <w:sz w:val="21"/>
                      <w:highlight w:val="none"/>
                    </w:rPr>
                    <w:t>，</w:t>
                  </w:r>
                  <w:r>
                    <w:rPr>
                      <w:rFonts w:cs="Times New Roman" w:eastAsiaTheme="minorEastAsia"/>
                      <w:color w:val="auto"/>
                      <w:sz w:val="21"/>
                      <w:highlight w:val="none"/>
                      <w:lang w:val="en-US"/>
                    </w:rPr>
                    <w:t>位于</w:t>
                  </w:r>
                  <w:r>
                    <w:rPr>
                      <w:rFonts w:hint="eastAsia" w:cs="Times New Roman" w:eastAsiaTheme="minorEastAsia"/>
                      <w:color w:val="auto"/>
                      <w:sz w:val="21"/>
                      <w:highlight w:val="none"/>
                      <w:lang w:val="en-US" w:eastAsia="zh-CN"/>
                    </w:rPr>
                    <w:t>生产车间一楼东北</w:t>
                  </w:r>
                  <w:r>
                    <w:rPr>
                      <w:rFonts w:cs="Times New Roman" w:eastAsiaTheme="minorEastAsia"/>
                      <w:color w:val="auto"/>
                      <w:sz w:val="21"/>
                      <w:highlight w:val="none"/>
                      <w:lang w:val="en-US"/>
                    </w:rPr>
                    <w:t>侧</w:t>
                  </w:r>
                </w:p>
              </w:tc>
            </w:tr>
          </w:tbl>
          <w:p w14:paraId="3461816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b/>
                <w:bCs w:val="0"/>
                <w:color w:val="auto"/>
                <w:sz w:val="24"/>
                <w:highlight w:val="none"/>
                <w:lang w:eastAsia="zh-CN"/>
              </w:rPr>
            </w:pPr>
            <w:r>
              <w:rPr>
                <w:rFonts w:hint="eastAsia"/>
                <w:b/>
                <w:bCs w:val="0"/>
                <w:color w:val="auto"/>
                <w:sz w:val="21"/>
                <w:szCs w:val="21"/>
                <w:highlight w:val="none"/>
              </w:rPr>
              <w:t>注：园区入驻企业废水排放共同依托园区化粪池，由园区内管网送至园区污水总排口后，接管至市政管网。园区总排口责任主体为</w:t>
            </w:r>
            <w:r>
              <w:rPr>
                <w:rFonts w:hint="eastAsia"/>
                <w:b/>
                <w:bCs w:val="0"/>
                <w:color w:val="auto"/>
                <w:sz w:val="21"/>
                <w:szCs w:val="21"/>
                <w:highlight w:val="none"/>
                <w:lang w:val="en-US" w:eastAsia="zh-CN"/>
              </w:rPr>
              <w:t>镇江句容星郭产业园开发</w:t>
            </w:r>
            <w:r>
              <w:rPr>
                <w:rFonts w:hint="eastAsia"/>
                <w:b/>
                <w:bCs w:val="0"/>
                <w:color w:val="auto"/>
                <w:sz w:val="21"/>
                <w:szCs w:val="21"/>
                <w:highlight w:val="none"/>
              </w:rPr>
              <w:t>有限公司。</w:t>
            </w:r>
          </w:p>
          <w:p w14:paraId="1553EA71">
            <w:pPr>
              <w:keepNext w:val="0"/>
              <w:keepLines w:val="0"/>
              <w:pageBreakBefore w:val="0"/>
              <w:kinsoku/>
              <w:wordWrap/>
              <w:overflowPunct/>
              <w:topLinePunct w:val="0"/>
              <w:autoSpaceDE/>
              <w:autoSpaceDN/>
              <w:bidi w:val="0"/>
              <w:spacing w:line="360" w:lineRule="auto"/>
              <w:ind w:firstLine="482" w:firstLineChars="200"/>
              <w:textAlignment w:val="auto"/>
              <w:rPr>
                <w:rFonts w:hint="eastAsia" w:eastAsia="宋体"/>
                <w:b/>
                <w:bCs w:val="0"/>
                <w:color w:val="auto"/>
                <w:sz w:val="24"/>
                <w:highlight w:val="none"/>
                <w:lang w:val="en-US" w:eastAsia="zh-CN"/>
              </w:rPr>
            </w:pPr>
            <w:r>
              <w:rPr>
                <w:b/>
                <w:bCs w:val="0"/>
                <w:color w:val="auto"/>
                <w:sz w:val="24"/>
                <w:highlight w:val="none"/>
              </w:rPr>
              <w:t>6、</w:t>
            </w:r>
            <w:r>
              <w:rPr>
                <w:rFonts w:hint="eastAsia"/>
                <w:b/>
                <w:bCs w:val="0"/>
                <w:color w:val="auto"/>
                <w:sz w:val="24"/>
                <w:szCs w:val="24"/>
                <w:highlight w:val="none"/>
              </w:rPr>
              <w:t>项目位置、周围环境</w:t>
            </w:r>
          </w:p>
          <w:p w14:paraId="77532DFF">
            <w:pPr>
              <w:adjustRightInd w:val="0"/>
              <w:snapToGrid w:val="0"/>
              <w:spacing w:line="360" w:lineRule="auto"/>
              <w:ind w:firstLine="480" w:firstLineChars="200"/>
              <w:rPr>
                <w:color w:val="auto"/>
                <w:sz w:val="24"/>
                <w:szCs w:val="24"/>
                <w:highlight w:val="none"/>
              </w:rPr>
            </w:pPr>
            <w:r>
              <w:rPr>
                <w:rFonts w:hint="eastAsia" w:cs="Times New Roman"/>
                <w:color w:val="auto"/>
                <w:sz w:val="24"/>
                <w:szCs w:val="24"/>
                <w:highlight w:val="none"/>
                <w:lang w:val="en-US" w:eastAsia="zh-CN"/>
              </w:rPr>
              <w:t>地理位置：</w:t>
            </w:r>
            <w:r>
              <w:rPr>
                <w:rFonts w:hint="eastAsia"/>
                <w:color w:val="auto"/>
                <w:sz w:val="24"/>
                <w:szCs w:val="24"/>
                <w:highlight w:val="none"/>
              </w:rPr>
              <w:t>本项目位于</w:t>
            </w:r>
            <w:r>
              <w:rPr>
                <w:rFonts w:hint="eastAsia" w:eastAsiaTheme="minorEastAsia"/>
                <w:color w:val="auto"/>
                <w:kern w:val="0"/>
                <w:sz w:val="24"/>
                <w:highlight w:val="none"/>
                <w:lang w:eastAsia="zh-CN"/>
              </w:rPr>
              <w:t>镇江市句容市郭庄镇空港大道9号2幢</w:t>
            </w:r>
            <w:r>
              <w:rPr>
                <w:rFonts w:hint="eastAsia"/>
                <w:color w:val="auto"/>
                <w:sz w:val="24"/>
                <w:szCs w:val="24"/>
                <w:highlight w:val="none"/>
              </w:rPr>
              <w:t>，厂区中心地理坐标：119度0分35.125秒，31度49分57.431秒。项目地理位置见附图1。</w:t>
            </w:r>
          </w:p>
          <w:p w14:paraId="68ADBB3A">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eastAsia"/>
                <w:color w:val="auto"/>
                <w:sz w:val="24"/>
                <w:szCs w:val="24"/>
                <w:highlight w:val="none"/>
              </w:rPr>
              <w:t>周边环境概况：</w:t>
            </w:r>
            <w:r>
              <w:rPr>
                <w:rFonts w:hint="eastAsia" w:cs="Times New Roman"/>
                <w:color w:val="auto"/>
                <w:sz w:val="24"/>
                <w:szCs w:val="24"/>
                <w:highlight w:val="none"/>
                <w:lang w:val="en-US" w:eastAsia="zh-CN"/>
              </w:rPr>
              <w:t>项目在句容郭庄氢能源主题产业园内</w:t>
            </w:r>
            <w:r>
              <w:rPr>
                <w:rFonts w:hint="eastAsia" w:cs="Times New Roman"/>
                <w:color w:val="0000FF"/>
                <w:sz w:val="24"/>
                <w:szCs w:val="24"/>
                <w:highlight w:val="none"/>
                <w:lang w:val="en-US" w:eastAsia="zh-CN"/>
              </w:rPr>
              <w:t>，园区内35幢入驻企业有江苏宏特光电有限公司、6幢入驻企业有句容仪博光电科技有限公司、2幢入驻企业有句容宝一光学有限公司、其余周边大部分为空置厂房</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aps w:val="0"/>
                <w:smallCaps w:val="0"/>
                <w:color w:val="auto"/>
                <w:spacing w:val="0"/>
                <w:sz w:val="24"/>
                <w:szCs w:val="24"/>
                <w:highlight w:val="none"/>
              </w:rPr>
              <w:t>本项目500</w:t>
            </w:r>
            <w:r>
              <w:rPr>
                <w:rFonts w:hint="default" w:ascii="Times New Roman" w:hAnsi="Times New Roman" w:eastAsia="宋体" w:cs="Times New Roman"/>
                <w:caps w:val="0"/>
                <w:smallCaps w:val="0"/>
                <w:color w:val="auto"/>
                <w:spacing w:val="0"/>
                <w:sz w:val="24"/>
                <w:szCs w:val="24"/>
                <w:highlight w:val="none"/>
                <w:lang w:val="en-US" w:eastAsia="zh-CN"/>
              </w:rPr>
              <w:t>米</w:t>
            </w:r>
            <w:r>
              <w:rPr>
                <w:rFonts w:hint="default" w:ascii="Times New Roman" w:hAnsi="Times New Roman" w:eastAsia="宋体" w:cs="Times New Roman"/>
                <w:caps w:val="0"/>
                <w:smallCaps w:val="0"/>
                <w:color w:val="auto"/>
                <w:spacing w:val="0"/>
                <w:sz w:val="24"/>
                <w:szCs w:val="24"/>
                <w:highlight w:val="none"/>
              </w:rPr>
              <w:t>范围内</w:t>
            </w:r>
            <w:r>
              <w:rPr>
                <w:rFonts w:hint="eastAsia" w:cs="Times New Roman"/>
                <w:caps w:val="0"/>
                <w:smallCaps w:val="0"/>
                <w:color w:val="auto"/>
                <w:spacing w:val="0"/>
                <w:sz w:val="24"/>
                <w:szCs w:val="24"/>
                <w:highlight w:val="none"/>
                <w:lang w:eastAsia="zh-CN"/>
              </w:rPr>
              <w:t>无大气环境保护目标</w:t>
            </w:r>
            <w:r>
              <w:rPr>
                <w:rFonts w:hint="default" w:ascii="Times New Roman" w:hAnsi="Times New Roman" w:eastAsia="宋体" w:cs="Times New Roman"/>
                <w:caps w:val="0"/>
                <w:smallCaps w:val="0"/>
                <w:color w:val="auto"/>
                <w:spacing w:val="0"/>
                <w:sz w:val="24"/>
                <w:szCs w:val="24"/>
                <w:highlight w:val="none"/>
                <w:lang w:val="en-US" w:eastAsia="zh-CN"/>
              </w:rPr>
              <w:t>。</w:t>
            </w:r>
            <w:r>
              <w:rPr>
                <w:rFonts w:hint="default" w:ascii="Times New Roman" w:hAnsi="Times New Roman" w:eastAsia="宋体" w:cs="Times New Roman"/>
                <w:color w:val="auto"/>
                <w:sz w:val="24"/>
                <w:szCs w:val="24"/>
                <w:highlight w:val="none"/>
              </w:rPr>
              <w:t>本项目周边环境</w:t>
            </w:r>
            <w:r>
              <w:rPr>
                <w:rFonts w:hint="eastAsia" w:cs="Times New Roman"/>
                <w:color w:val="auto"/>
                <w:sz w:val="24"/>
                <w:szCs w:val="24"/>
                <w:highlight w:val="none"/>
                <w:lang w:eastAsia="zh-CN"/>
              </w:rPr>
              <w:t>概况</w:t>
            </w:r>
            <w:r>
              <w:rPr>
                <w:rFonts w:hint="default" w:ascii="Times New Roman" w:hAnsi="Times New Roman" w:eastAsia="宋体" w:cs="Times New Roman"/>
                <w:color w:val="auto"/>
                <w:sz w:val="24"/>
                <w:szCs w:val="24"/>
                <w:highlight w:val="none"/>
              </w:rPr>
              <w:t>图详见附图3。</w:t>
            </w:r>
          </w:p>
          <w:p w14:paraId="70555BD9">
            <w:pPr>
              <w:keepNext w:val="0"/>
              <w:keepLines w:val="0"/>
              <w:pageBreakBefore w:val="0"/>
              <w:kinsoku/>
              <w:wordWrap/>
              <w:overflowPunct/>
              <w:topLinePunct w:val="0"/>
              <w:autoSpaceDE/>
              <w:autoSpaceDN/>
              <w:bidi w:val="0"/>
              <w:adjustRightInd w:val="0"/>
              <w:snapToGrid w:val="0"/>
              <w:spacing w:line="360" w:lineRule="auto"/>
              <w:jc w:val="left"/>
              <w:textAlignment w:val="auto"/>
              <w:rPr>
                <w:b/>
                <w:color w:val="auto"/>
                <w:sz w:val="24"/>
                <w:highlight w:val="none"/>
              </w:rPr>
            </w:pPr>
            <w:r>
              <w:rPr>
                <w:b/>
                <w:bCs w:val="0"/>
                <w:color w:val="auto"/>
                <w:sz w:val="24"/>
                <w:highlight w:val="none"/>
              </w:rPr>
              <w:t>（二）</w:t>
            </w:r>
            <w:r>
              <w:rPr>
                <w:b/>
                <w:color w:val="auto"/>
                <w:sz w:val="24"/>
                <w:highlight w:val="none"/>
              </w:rPr>
              <w:t>主要原辅材料及燃料</w:t>
            </w:r>
          </w:p>
          <w:p w14:paraId="3F61F645">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bCs/>
                <w:color w:val="auto"/>
                <w:sz w:val="24"/>
                <w:highlight w:val="none"/>
              </w:rPr>
            </w:pPr>
            <w:r>
              <w:rPr>
                <w:bCs/>
                <w:color w:val="auto"/>
                <w:sz w:val="24"/>
                <w:highlight w:val="none"/>
              </w:rPr>
              <w:t>1、主要原辅材料及燃料用量见表2-</w:t>
            </w:r>
            <w:r>
              <w:rPr>
                <w:rFonts w:hint="eastAsia"/>
                <w:bCs/>
                <w:color w:val="auto"/>
                <w:sz w:val="24"/>
                <w:highlight w:val="none"/>
                <w:lang w:val="en-US" w:eastAsia="zh-CN"/>
              </w:rPr>
              <w:t>3</w:t>
            </w:r>
            <w:r>
              <w:rPr>
                <w:bCs/>
                <w:color w:val="auto"/>
                <w:sz w:val="24"/>
                <w:highlight w:val="none"/>
              </w:rPr>
              <w:t>。</w:t>
            </w:r>
          </w:p>
          <w:p w14:paraId="5FC102B6">
            <w:pPr>
              <w:adjustRightInd w:val="0"/>
              <w:snapToGrid w:val="0"/>
              <w:jc w:val="center"/>
              <w:rPr>
                <w:rFonts w:hint="default" w:ascii="Times New Roman" w:hAnsi="Times New Roman" w:cs="Times New Roman"/>
                <w:b/>
                <w:bCs/>
                <w:color w:val="auto"/>
                <w:sz w:val="24"/>
                <w:szCs w:val="21"/>
                <w:highlight w:val="none"/>
              </w:rPr>
            </w:pPr>
            <w:r>
              <w:rPr>
                <w:rFonts w:ascii="Times New Roman"/>
                <w:b/>
                <w:color w:val="auto"/>
                <w:sz w:val="24"/>
                <w:szCs w:val="24"/>
                <w:highlight w:val="none"/>
              </w:rPr>
              <w:t>表2-</w:t>
            </w:r>
            <w:r>
              <w:rPr>
                <w:rFonts w:hint="eastAsia"/>
                <w:b/>
                <w:color w:val="auto"/>
                <w:sz w:val="24"/>
                <w:szCs w:val="24"/>
                <w:highlight w:val="none"/>
                <w:lang w:val="en-US" w:eastAsia="zh-CN"/>
              </w:rPr>
              <w:t>3</w:t>
            </w:r>
            <w:r>
              <w:rPr>
                <w:rFonts w:hint="default" w:ascii="Times New Roman" w:hAnsi="Times New Roman" w:cs="Times New Roman"/>
                <w:b/>
                <w:bCs/>
                <w:color w:val="auto"/>
                <w:sz w:val="24"/>
                <w:szCs w:val="21"/>
                <w:highlight w:val="none"/>
              </w:rPr>
              <w:t xml:space="preserve"> 主要原辅材料及燃料</w:t>
            </w:r>
          </w:p>
          <w:tbl>
            <w:tblPr>
              <w:tblStyle w:val="3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892"/>
              <w:gridCol w:w="2276"/>
              <w:gridCol w:w="988"/>
              <w:gridCol w:w="1130"/>
              <w:gridCol w:w="1396"/>
              <w:gridCol w:w="1136"/>
            </w:tblGrid>
            <w:tr w14:paraId="4F411C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83" w:type="pct"/>
                  <w:gridSpan w:val="2"/>
                  <w:tcBorders>
                    <w:top w:val="single" w:color="auto" w:sz="12" w:space="0"/>
                  </w:tcBorders>
                  <w:noWrap w:val="0"/>
                  <w:vAlign w:val="center"/>
                </w:tcPr>
                <w:p w14:paraId="7930429F">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名称</w:t>
                  </w:r>
                </w:p>
              </w:tc>
              <w:tc>
                <w:tcPr>
                  <w:tcW w:w="1352" w:type="pct"/>
                  <w:tcBorders>
                    <w:top w:val="single" w:color="auto" w:sz="12" w:space="0"/>
                  </w:tcBorders>
                  <w:noWrap w:val="0"/>
                  <w:vAlign w:val="center"/>
                </w:tcPr>
                <w:p w14:paraId="4A75FB9C">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重要组分、</w:t>
                  </w:r>
                </w:p>
                <w:p w14:paraId="661F0D0C">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color w:val="auto"/>
                      <w:szCs w:val="21"/>
                      <w:highlight w:val="none"/>
                    </w:rPr>
                    <w:t>规格、指标</w:t>
                  </w:r>
                </w:p>
              </w:tc>
              <w:tc>
                <w:tcPr>
                  <w:tcW w:w="587" w:type="pct"/>
                  <w:tcBorders>
                    <w:top w:val="single" w:color="auto" w:sz="12" w:space="0"/>
                  </w:tcBorders>
                  <w:noWrap w:val="0"/>
                  <w:vAlign w:val="center"/>
                </w:tcPr>
                <w:p w14:paraId="59A72106">
                  <w:pPr>
                    <w:adjustRightInd w:val="0"/>
                    <w:snapToGrid w:val="0"/>
                    <w:jc w:val="center"/>
                    <w:rPr>
                      <w:rFonts w:hint="default"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lang w:val="en-US" w:eastAsia="zh-CN"/>
                    </w:rPr>
                    <w:t xml:space="preserve"> </w:t>
                  </w:r>
                  <w:r>
                    <w:rPr>
                      <w:rFonts w:hint="default" w:ascii="Times New Roman" w:hAnsi="Times New Roman" w:cs="Times New Roman"/>
                      <w:b/>
                      <w:bCs/>
                      <w:color w:val="auto"/>
                      <w:szCs w:val="21"/>
                      <w:highlight w:val="none"/>
                    </w:rPr>
                    <w:t>年用量（</w:t>
                  </w:r>
                  <w:r>
                    <w:rPr>
                      <w:rFonts w:hint="default" w:ascii="Times New Roman" w:hAnsi="Times New Roman" w:cs="Times New Roman"/>
                      <w:b/>
                      <w:bCs/>
                      <w:color w:val="auto"/>
                      <w:szCs w:val="21"/>
                      <w:highlight w:val="none"/>
                      <w:lang w:val="en-US" w:eastAsia="zh-CN"/>
                    </w:rPr>
                    <w:t>t</w:t>
                  </w:r>
                  <w:r>
                    <w:rPr>
                      <w:rFonts w:hint="default" w:ascii="Times New Roman" w:hAnsi="Times New Roman" w:cs="Times New Roman"/>
                      <w:b/>
                      <w:bCs/>
                      <w:color w:val="auto"/>
                      <w:szCs w:val="21"/>
                      <w:highlight w:val="none"/>
                    </w:rPr>
                    <w:t>/a）</w:t>
                  </w:r>
                </w:p>
              </w:tc>
              <w:tc>
                <w:tcPr>
                  <w:tcW w:w="671" w:type="pct"/>
                  <w:tcBorders>
                    <w:top w:val="single" w:color="auto" w:sz="12" w:space="0"/>
                  </w:tcBorders>
                  <w:noWrap w:val="0"/>
                  <w:vAlign w:val="center"/>
                </w:tcPr>
                <w:p w14:paraId="0CA6FE39">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最大贮存量</w:t>
                  </w:r>
                  <w:r>
                    <w:rPr>
                      <w:rFonts w:hint="default" w:ascii="Times New Roman" w:hAnsi="Times New Roman" w:cs="Times New Roman"/>
                      <w:b/>
                      <w:bCs/>
                      <w:color w:val="auto"/>
                      <w:szCs w:val="21"/>
                      <w:highlight w:val="none"/>
                    </w:rPr>
                    <w:t>（</w:t>
                  </w:r>
                  <w:r>
                    <w:rPr>
                      <w:rFonts w:hint="default" w:ascii="Times New Roman" w:hAnsi="Times New Roman" w:cs="Times New Roman"/>
                      <w:b/>
                      <w:bCs/>
                      <w:color w:val="auto"/>
                      <w:szCs w:val="21"/>
                      <w:highlight w:val="none"/>
                      <w:lang w:val="en-US" w:eastAsia="zh-CN"/>
                    </w:rPr>
                    <w:t>t</w:t>
                  </w:r>
                  <w:r>
                    <w:rPr>
                      <w:rFonts w:hint="default" w:ascii="Times New Roman" w:hAnsi="Times New Roman" w:cs="Times New Roman"/>
                      <w:b/>
                      <w:bCs/>
                      <w:color w:val="auto"/>
                      <w:szCs w:val="21"/>
                      <w:highlight w:val="none"/>
                    </w:rPr>
                    <w:t>）</w:t>
                  </w:r>
                </w:p>
              </w:tc>
              <w:tc>
                <w:tcPr>
                  <w:tcW w:w="829" w:type="pct"/>
                  <w:tcBorders>
                    <w:top w:val="single" w:color="auto" w:sz="12" w:space="0"/>
                  </w:tcBorders>
                  <w:noWrap w:val="0"/>
                  <w:vAlign w:val="center"/>
                </w:tcPr>
                <w:p w14:paraId="07B8BF52">
                  <w:pPr>
                    <w:adjustRightInd w:val="0"/>
                    <w:snapToGrid w:val="0"/>
                    <w:jc w:val="center"/>
                    <w:rPr>
                      <w:rFonts w:hint="default"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储存方式</w:t>
                  </w:r>
                </w:p>
              </w:tc>
              <w:tc>
                <w:tcPr>
                  <w:tcW w:w="675" w:type="pct"/>
                  <w:tcBorders>
                    <w:top w:val="single" w:color="auto" w:sz="12" w:space="0"/>
                  </w:tcBorders>
                  <w:noWrap w:val="0"/>
                  <w:vAlign w:val="center"/>
                </w:tcPr>
                <w:p w14:paraId="45DC2696">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备注</w:t>
                  </w:r>
                </w:p>
              </w:tc>
            </w:tr>
            <w:tr w14:paraId="07772C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3" w:type="pct"/>
                  <w:gridSpan w:val="2"/>
                  <w:tcBorders>
                    <w:top w:val="single" w:color="auto" w:sz="12" w:space="0"/>
                    <w:bottom w:val="single" w:color="auto" w:sz="4" w:space="0"/>
                  </w:tcBorders>
                  <w:noWrap w:val="0"/>
                  <w:vAlign w:val="center"/>
                </w:tcPr>
                <w:p w14:paraId="2AAA4D4C">
                  <w:pPr>
                    <w:widowControl/>
                    <w:snapToGri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olor w:val="auto"/>
                      <w:szCs w:val="21"/>
                      <w:highlight w:val="none"/>
                    </w:rPr>
                    <w:t>毛坯基片</w:t>
                  </w:r>
                </w:p>
              </w:tc>
              <w:tc>
                <w:tcPr>
                  <w:tcW w:w="1352" w:type="pct"/>
                  <w:tcBorders>
                    <w:top w:val="single" w:color="auto" w:sz="12" w:space="0"/>
                    <w:bottom w:val="single" w:color="auto" w:sz="4" w:space="0"/>
                  </w:tcBorders>
                  <w:noWrap w:val="0"/>
                  <w:vAlign w:val="center"/>
                </w:tcPr>
                <w:p w14:paraId="2A9E628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固态</w:t>
                  </w:r>
                </w:p>
              </w:tc>
              <w:tc>
                <w:tcPr>
                  <w:tcW w:w="587" w:type="pct"/>
                  <w:tcBorders>
                    <w:top w:val="single" w:color="auto" w:sz="12" w:space="0"/>
                    <w:bottom w:val="single" w:color="auto" w:sz="4" w:space="0"/>
                  </w:tcBorders>
                  <w:noWrap w:val="0"/>
                  <w:vAlign w:val="center"/>
                </w:tcPr>
                <w:p w14:paraId="2EA0C01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100万件</w:t>
                  </w:r>
                </w:p>
              </w:tc>
              <w:tc>
                <w:tcPr>
                  <w:tcW w:w="671" w:type="pct"/>
                  <w:tcBorders>
                    <w:top w:val="single" w:color="auto" w:sz="12" w:space="0"/>
                    <w:bottom w:val="single" w:color="auto" w:sz="4" w:space="0"/>
                  </w:tcBorders>
                  <w:noWrap w:val="0"/>
                  <w:vAlign w:val="center"/>
                </w:tcPr>
                <w:p w14:paraId="541B53BD">
                  <w:pPr>
                    <w:adjustRightInd w:val="0"/>
                    <w:snapToGri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10万件</w:t>
                  </w:r>
                </w:p>
              </w:tc>
              <w:tc>
                <w:tcPr>
                  <w:tcW w:w="829" w:type="pct"/>
                  <w:tcBorders>
                    <w:top w:val="single" w:color="auto" w:sz="12" w:space="0"/>
                    <w:bottom w:val="single" w:color="auto" w:sz="4" w:space="0"/>
                  </w:tcBorders>
                  <w:noWrap w:val="0"/>
                  <w:vAlign w:val="center"/>
                </w:tcPr>
                <w:p w14:paraId="36D193E6">
                  <w:pPr>
                    <w:adjustRightInd w:val="0"/>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堆放，</w:t>
                  </w:r>
                  <w:r>
                    <w:rPr>
                      <w:rFonts w:hint="eastAsia" w:cs="Times New Roman"/>
                      <w:color w:val="auto"/>
                      <w:szCs w:val="21"/>
                      <w:highlight w:val="none"/>
                      <w:lang w:val="en-US" w:eastAsia="zh-CN"/>
                    </w:rPr>
                    <w:t>原料</w:t>
                  </w:r>
                  <w:r>
                    <w:rPr>
                      <w:rFonts w:hint="eastAsia" w:ascii="Times New Roman" w:hAnsi="Times New Roman" w:cs="Times New Roman"/>
                      <w:color w:val="auto"/>
                      <w:szCs w:val="21"/>
                      <w:highlight w:val="none"/>
                      <w:lang w:val="en-US" w:eastAsia="zh-CN"/>
                    </w:rPr>
                    <w:t>仓库</w:t>
                  </w:r>
                </w:p>
              </w:tc>
              <w:tc>
                <w:tcPr>
                  <w:tcW w:w="675" w:type="pct"/>
                  <w:tcBorders>
                    <w:top w:val="single" w:color="auto" w:sz="12" w:space="0"/>
                    <w:bottom w:val="single" w:color="auto" w:sz="4" w:space="0"/>
                  </w:tcBorders>
                  <w:noWrap w:val="0"/>
                  <w:vAlign w:val="center"/>
                </w:tcPr>
                <w:p w14:paraId="2DC17C53">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eastAsia="zh-CN"/>
                    </w:rPr>
                    <w:t>外购，汽运</w:t>
                  </w:r>
                </w:p>
              </w:tc>
            </w:tr>
            <w:tr w14:paraId="600E6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3" w:type="pct"/>
                  <w:gridSpan w:val="2"/>
                  <w:tcBorders>
                    <w:top w:val="single" w:color="auto" w:sz="4" w:space="0"/>
                    <w:bottom w:val="single" w:color="auto" w:sz="4" w:space="0"/>
                  </w:tcBorders>
                  <w:noWrap w:val="0"/>
                  <w:vAlign w:val="center"/>
                </w:tcPr>
                <w:p w14:paraId="661C3C4E">
                  <w:pPr>
                    <w:widowControl/>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olor w:val="auto"/>
                      <w:szCs w:val="21"/>
                      <w:highlight w:val="none"/>
                      <w:lang w:val="en-US" w:eastAsia="zh-CN"/>
                    </w:rPr>
                    <w:t>晶振片</w:t>
                  </w:r>
                </w:p>
              </w:tc>
              <w:tc>
                <w:tcPr>
                  <w:tcW w:w="1352" w:type="pct"/>
                  <w:tcBorders>
                    <w:top w:val="single" w:color="auto" w:sz="4" w:space="0"/>
                    <w:bottom w:val="single" w:color="auto" w:sz="4" w:space="0"/>
                  </w:tcBorders>
                  <w:noWrap w:val="0"/>
                  <w:vAlign w:val="center"/>
                </w:tcPr>
                <w:p w14:paraId="102FB52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587" w:type="pct"/>
                  <w:tcBorders>
                    <w:top w:val="single" w:color="auto" w:sz="4" w:space="0"/>
                    <w:bottom w:val="single" w:color="auto" w:sz="4" w:space="0"/>
                  </w:tcBorders>
                  <w:noWrap w:val="0"/>
                  <w:vAlign w:val="center"/>
                </w:tcPr>
                <w:p w14:paraId="4C7219A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1000片</w:t>
                  </w:r>
                </w:p>
              </w:tc>
              <w:tc>
                <w:tcPr>
                  <w:tcW w:w="671" w:type="pct"/>
                  <w:tcBorders>
                    <w:top w:val="single" w:color="auto" w:sz="4" w:space="0"/>
                    <w:bottom w:val="single" w:color="auto" w:sz="4" w:space="0"/>
                  </w:tcBorders>
                  <w:noWrap w:val="0"/>
                  <w:vAlign w:val="center"/>
                </w:tcPr>
                <w:p w14:paraId="08DDBB40">
                  <w:pPr>
                    <w:adjustRightInd w:val="0"/>
                    <w:snapToGri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500片</w:t>
                  </w:r>
                </w:p>
              </w:tc>
              <w:tc>
                <w:tcPr>
                  <w:tcW w:w="829" w:type="pct"/>
                  <w:tcBorders>
                    <w:top w:val="single" w:color="auto" w:sz="4" w:space="0"/>
                    <w:bottom w:val="single" w:color="auto" w:sz="4" w:space="0"/>
                  </w:tcBorders>
                  <w:noWrap w:val="0"/>
                  <w:vAlign w:val="center"/>
                </w:tcPr>
                <w:p w14:paraId="0C77882D">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堆放，</w:t>
                  </w:r>
                  <w:r>
                    <w:rPr>
                      <w:rFonts w:hint="eastAsia" w:cs="Times New Roman"/>
                      <w:color w:val="auto"/>
                      <w:szCs w:val="21"/>
                      <w:highlight w:val="none"/>
                      <w:lang w:val="en-US" w:eastAsia="zh-CN"/>
                    </w:rPr>
                    <w:t>原料</w:t>
                  </w:r>
                  <w:r>
                    <w:rPr>
                      <w:rFonts w:hint="eastAsia" w:ascii="Times New Roman" w:hAnsi="Times New Roman" w:cs="Times New Roman"/>
                      <w:color w:val="auto"/>
                      <w:szCs w:val="21"/>
                      <w:highlight w:val="none"/>
                      <w:lang w:val="en-US" w:eastAsia="zh-CN"/>
                    </w:rPr>
                    <w:t>仓库</w:t>
                  </w:r>
                </w:p>
              </w:tc>
              <w:tc>
                <w:tcPr>
                  <w:tcW w:w="675" w:type="pct"/>
                  <w:tcBorders>
                    <w:top w:val="single" w:color="auto" w:sz="4" w:space="0"/>
                    <w:bottom w:val="single" w:color="auto" w:sz="4" w:space="0"/>
                  </w:tcBorders>
                  <w:noWrap w:val="0"/>
                  <w:vAlign w:val="center"/>
                </w:tcPr>
                <w:p w14:paraId="07DF145F">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eastAsia="zh-CN"/>
                    </w:rPr>
                    <w:t>外购，汽运</w:t>
                  </w:r>
                </w:p>
              </w:tc>
            </w:tr>
            <w:tr w14:paraId="10C9F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restart"/>
                  <w:tcBorders>
                    <w:right w:val="single" w:color="000000" w:sz="4" w:space="0"/>
                  </w:tcBorders>
                  <w:noWrap w:val="0"/>
                  <w:vAlign w:val="center"/>
                </w:tcPr>
                <w:p w14:paraId="0A577A50">
                  <w:pPr>
                    <w:jc w:val="both"/>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镀膜材料</w:t>
                  </w:r>
                </w:p>
              </w:tc>
              <w:tc>
                <w:tcPr>
                  <w:tcW w:w="530" w:type="pct"/>
                  <w:tcBorders>
                    <w:left w:val="single" w:color="000000" w:sz="4" w:space="0"/>
                  </w:tcBorders>
                  <w:noWrap w:val="0"/>
                  <w:vAlign w:val="center"/>
                </w:tcPr>
                <w:p w14:paraId="1D2B3C76">
                  <w:pPr>
                    <w:widowControl/>
                    <w:snapToGrid w:val="0"/>
                    <w:jc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lang w:val="en-US" w:eastAsia="zh-CN"/>
                    </w:rPr>
                    <w:t>氧化镁</w:t>
                  </w:r>
                </w:p>
              </w:tc>
              <w:tc>
                <w:tcPr>
                  <w:tcW w:w="1352" w:type="pct"/>
                  <w:noWrap w:val="0"/>
                  <w:vAlign w:val="center"/>
                </w:tcPr>
                <w:p w14:paraId="774243D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固态</w:t>
                  </w:r>
                </w:p>
              </w:tc>
              <w:tc>
                <w:tcPr>
                  <w:tcW w:w="587" w:type="pct"/>
                  <w:noWrap w:val="0"/>
                  <w:vAlign w:val="center"/>
                </w:tcPr>
                <w:p w14:paraId="4CE9FE9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40</w:t>
                  </w:r>
                  <w:r>
                    <w:rPr>
                      <w:rFonts w:hint="eastAsia" w:ascii="Times New Roman" w:hAnsi="Times New Roman"/>
                      <w:color w:val="auto"/>
                      <w:szCs w:val="21"/>
                      <w:highlight w:val="none"/>
                    </w:rPr>
                    <w:t>kg</w:t>
                  </w:r>
                </w:p>
              </w:tc>
              <w:tc>
                <w:tcPr>
                  <w:tcW w:w="671" w:type="pct"/>
                  <w:noWrap w:val="0"/>
                  <w:vAlign w:val="center"/>
                </w:tcPr>
                <w:p w14:paraId="0D891037">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10kg</w:t>
                  </w:r>
                </w:p>
              </w:tc>
              <w:tc>
                <w:tcPr>
                  <w:tcW w:w="829" w:type="pct"/>
                  <w:noWrap w:val="0"/>
                  <w:vAlign w:val="center"/>
                </w:tcPr>
                <w:p w14:paraId="452499F5">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宋体" w:hAnsi="宋体" w:cs="宋体"/>
                      <w:bCs/>
                      <w:color w:val="auto"/>
                      <w:szCs w:val="21"/>
                      <w:highlight w:val="none"/>
                    </w:rPr>
                    <w:t>干燥柜</w:t>
                  </w:r>
                  <w:r>
                    <w:rPr>
                      <w:rFonts w:hint="eastAsia" w:ascii="宋体" w:hAnsi="宋体" w:cs="宋体"/>
                      <w:bCs/>
                      <w:color w:val="auto"/>
                      <w:szCs w:val="21"/>
                      <w:highlight w:val="none"/>
                      <w:lang w:eastAsia="zh-CN"/>
                    </w:rPr>
                    <w:t>，</w:t>
                  </w:r>
                  <w:r>
                    <w:rPr>
                      <w:rFonts w:hint="eastAsia" w:cs="Times New Roman"/>
                      <w:color w:val="auto"/>
                      <w:szCs w:val="21"/>
                      <w:highlight w:val="none"/>
                      <w:lang w:val="en-US" w:eastAsia="zh-CN"/>
                    </w:rPr>
                    <w:t>原料</w:t>
                  </w:r>
                  <w:r>
                    <w:rPr>
                      <w:rFonts w:hint="eastAsia" w:ascii="Times New Roman" w:hAnsi="Times New Roman" w:cs="Times New Roman"/>
                      <w:color w:val="auto"/>
                      <w:szCs w:val="21"/>
                      <w:highlight w:val="none"/>
                      <w:lang w:val="en-US" w:eastAsia="zh-CN"/>
                    </w:rPr>
                    <w:t>仓库</w:t>
                  </w:r>
                </w:p>
              </w:tc>
              <w:tc>
                <w:tcPr>
                  <w:tcW w:w="675" w:type="pct"/>
                  <w:noWrap w:val="0"/>
                  <w:vAlign w:val="center"/>
                </w:tcPr>
                <w:p w14:paraId="20B650E2">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外购，汽运</w:t>
                  </w:r>
                </w:p>
              </w:tc>
            </w:tr>
            <w:tr w14:paraId="497B6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continue"/>
                  <w:tcBorders>
                    <w:right w:val="single" w:color="000000" w:sz="4" w:space="0"/>
                  </w:tcBorders>
                  <w:noWrap w:val="0"/>
                  <w:vAlign w:val="center"/>
                </w:tcPr>
                <w:p w14:paraId="3F90CD77">
                  <w:pPr>
                    <w:widowControl/>
                    <w:snapToGrid w:val="0"/>
                    <w:jc w:val="center"/>
                    <w:rPr>
                      <w:rFonts w:hint="eastAsia" w:ascii="Times New Roman" w:hAnsi="Times New Roman" w:eastAsia="宋体" w:cs="Times New Roman"/>
                      <w:color w:val="auto"/>
                      <w:szCs w:val="21"/>
                      <w:highlight w:val="none"/>
                      <w:lang w:val="en-US" w:eastAsia="zh-CN"/>
                    </w:rPr>
                  </w:pPr>
                </w:p>
              </w:tc>
              <w:tc>
                <w:tcPr>
                  <w:tcW w:w="530" w:type="pct"/>
                  <w:tcBorders>
                    <w:left w:val="single" w:color="000000" w:sz="4" w:space="0"/>
                  </w:tcBorders>
                  <w:noWrap w:val="0"/>
                  <w:vAlign w:val="center"/>
                </w:tcPr>
                <w:p w14:paraId="562413BA">
                  <w:pPr>
                    <w:widowControl/>
                    <w:snapToGrid w:val="0"/>
                    <w:jc w:val="center"/>
                    <w:rPr>
                      <w:rFonts w:hint="eastAsia" w:ascii="Times New Roman" w:hAnsi="Times New Roman"/>
                      <w:color w:val="auto"/>
                      <w:szCs w:val="21"/>
                      <w:highlight w:val="none"/>
                    </w:rPr>
                  </w:pPr>
                  <w:r>
                    <w:rPr>
                      <w:rFonts w:hint="eastAsia" w:ascii="Times New Roman" w:hAnsi="Times New Roman"/>
                      <w:color w:val="auto"/>
                      <w:szCs w:val="21"/>
                      <w:highlight w:val="none"/>
                    </w:rPr>
                    <w:t>SiO</w:t>
                  </w:r>
                  <w:r>
                    <w:rPr>
                      <w:rFonts w:hint="eastAsia" w:ascii="Times New Roman" w:hAnsi="Times New Roman"/>
                      <w:color w:val="auto"/>
                      <w:szCs w:val="21"/>
                      <w:highlight w:val="none"/>
                      <w:vertAlign w:val="subscript"/>
                      <w:lang w:val="en-US" w:eastAsia="zh-CN"/>
                    </w:rPr>
                    <w:t>2</w:t>
                  </w:r>
                </w:p>
              </w:tc>
              <w:tc>
                <w:tcPr>
                  <w:tcW w:w="1352" w:type="pct"/>
                  <w:noWrap w:val="0"/>
                  <w:vAlign w:val="center"/>
                </w:tcPr>
                <w:p w14:paraId="3822DA0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固态</w:t>
                  </w:r>
                </w:p>
              </w:tc>
              <w:tc>
                <w:tcPr>
                  <w:tcW w:w="587" w:type="pct"/>
                  <w:noWrap w:val="0"/>
                  <w:vAlign w:val="center"/>
                </w:tcPr>
                <w:p w14:paraId="2F689DB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40</w:t>
                  </w:r>
                  <w:r>
                    <w:rPr>
                      <w:rFonts w:hint="eastAsia" w:ascii="Times New Roman" w:hAnsi="Times New Roman"/>
                      <w:color w:val="auto"/>
                      <w:szCs w:val="21"/>
                      <w:highlight w:val="none"/>
                    </w:rPr>
                    <w:t>kg</w:t>
                  </w:r>
                </w:p>
              </w:tc>
              <w:tc>
                <w:tcPr>
                  <w:tcW w:w="671" w:type="pct"/>
                  <w:noWrap w:val="0"/>
                  <w:vAlign w:val="center"/>
                </w:tcPr>
                <w:p w14:paraId="40646914">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10kg</w:t>
                  </w:r>
                </w:p>
              </w:tc>
              <w:tc>
                <w:tcPr>
                  <w:tcW w:w="829" w:type="pct"/>
                  <w:noWrap w:val="0"/>
                  <w:vAlign w:val="center"/>
                </w:tcPr>
                <w:p w14:paraId="74997CD3">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宋体" w:hAnsi="宋体" w:cs="宋体"/>
                      <w:bCs/>
                      <w:color w:val="auto"/>
                      <w:szCs w:val="21"/>
                      <w:highlight w:val="none"/>
                    </w:rPr>
                    <w:t>干燥柜</w:t>
                  </w:r>
                  <w:r>
                    <w:rPr>
                      <w:rFonts w:hint="eastAsia" w:ascii="宋体" w:hAnsi="宋体" w:cs="宋体"/>
                      <w:bCs/>
                      <w:color w:val="auto"/>
                      <w:szCs w:val="21"/>
                      <w:highlight w:val="none"/>
                      <w:lang w:eastAsia="zh-CN"/>
                    </w:rPr>
                    <w:t>，</w:t>
                  </w:r>
                  <w:r>
                    <w:rPr>
                      <w:rFonts w:hint="eastAsia" w:cs="Times New Roman"/>
                      <w:color w:val="auto"/>
                      <w:szCs w:val="21"/>
                      <w:highlight w:val="none"/>
                      <w:lang w:val="en-US" w:eastAsia="zh-CN"/>
                    </w:rPr>
                    <w:t>原料</w:t>
                  </w:r>
                  <w:r>
                    <w:rPr>
                      <w:rFonts w:hint="eastAsia" w:ascii="Times New Roman" w:hAnsi="Times New Roman" w:cs="Times New Roman"/>
                      <w:color w:val="auto"/>
                      <w:szCs w:val="21"/>
                      <w:highlight w:val="none"/>
                      <w:lang w:val="en-US" w:eastAsia="zh-CN"/>
                    </w:rPr>
                    <w:t>仓库</w:t>
                  </w:r>
                </w:p>
              </w:tc>
              <w:tc>
                <w:tcPr>
                  <w:tcW w:w="675" w:type="pct"/>
                  <w:noWrap w:val="0"/>
                  <w:vAlign w:val="center"/>
                </w:tcPr>
                <w:p w14:paraId="2E4B78FD">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外购，汽运</w:t>
                  </w:r>
                </w:p>
              </w:tc>
            </w:tr>
            <w:tr w14:paraId="397FFC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continue"/>
                  <w:tcBorders>
                    <w:right w:val="single" w:color="000000" w:sz="4" w:space="0"/>
                  </w:tcBorders>
                  <w:noWrap w:val="0"/>
                  <w:vAlign w:val="center"/>
                </w:tcPr>
                <w:p w14:paraId="7A4A987D">
                  <w:pPr>
                    <w:jc w:val="center"/>
                    <w:rPr>
                      <w:rFonts w:hint="eastAsia" w:ascii="Times New Roman" w:hAnsi="Times New Roman"/>
                      <w:color w:val="auto"/>
                      <w:szCs w:val="21"/>
                      <w:highlight w:val="none"/>
                    </w:rPr>
                  </w:pPr>
                </w:p>
              </w:tc>
              <w:tc>
                <w:tcPr>
                  <w:tcW w:w="530" w:type="pct"/>
                  <w:tcBorders>
                    <w:left w:val="single" w:color="000000" w:sz="4" w:space="0"/>
                  </w:tcBorders>
                  <w:noWrap w:val="0"/>
                  <w:vAlign w:val="center"/>
                </w:tcPr>
                <w:p w14:paraId="2D47861D">
                  <w:pPr>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五氧化三钛</w:t>
                  </w:r>
                </w:p>
              </w:tc>
              <w:tc>
                <w:tcPr>
                  <w:tcW w:w="1352" w:type="pct"/>
                  <w:noWrap w:val="0"/>
                  <w:vAlign w:val="center"/>
                </w:tcPr>
                <w:p w14:paraId="55F965D0">
                  <w:pPr>
                    <w:keepNext w:val="0"/>
                    <w:keepLines w:val="0"/>
                    <w:pageBreakBefore w:val="0"/>
                    <w:kinsoku/>
                    <w:wordWrap/>
                    <w:overflowPunct/>
                    <w:topLinePunct w:val="0"/>
                    <w:autoSpaceDE/>
                    <w:autoSpaceDN/>
                    <w:bidi w:val="0"/>
                    <w:adjustRightInd w:val="0"/>
                    <w:snapToGrid w:val="0"/>
                    <w:jc w:val="center"/>
                    <w:textAlignment w:val="auto"/>
                    <w:rPr>
                      <w:rFonts w:hint="eastAsia" w:cs="Times New Roman"/>
                      <w:color w:val="auto"/>
                      <w:kern w:val="0"/>
                      <w:szCs w:val="21"/>
                      <w:highlight w:val="none"/>
                      <w:lang w:val="en-US" w:eastAsia="zh-CN"/>
                    </w:rPr>
                  </w:pPr>
                  <w:r>
                    <w:rPr>
                      <w:rFonts w:hint="default" w:ascii="Times New Roman" w:hAnsi="Times New Roman" w:cs="Times New Roman"/>
                      <w:color w:val="auto"/>
                      <w:szCs w:val="21"/>
                      <w:highlight w:val="none"/>
                      <w:lang w:val="en-US" w:eastAsia="zh-CN"/>
                    </w:rPr>
                    <w:t>固态</w:t>
                  </w:r>
                </w:p>
              </w:tc>
              <w:tc>
                <w:tcPr>
                  <w:tcW w:w="587" w:type="pct"/>
                  <w:noWrap w:val="0"/>
                  <w:vAlign w:val="center"/>
                </w:tcPr>
                <w:p w14:paraId="6F6E0EE2">
                  <w:pPr>
                    <w:keepNext w:val="0"/>
                    <w:keepLines w:val="0"/>
                    <w:pageBreakBefore w:val="0"/>
                    <w:kinsoku/>
                    <w:wordWrap/>
                    <w:overflowPunct/>
                    <w:topLinePunct w:val="0"/>
                    <w:autoSpaceDE/>
                    <w:autoSpaceDN/>
                    <w:bidi w:val="0"/>
                    <w:adjustRightInd w:val="0"/>
                    <w:snapToGrid w:val="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40</w:t>
                  </w:r>
                  <w:r>
                    <w:rPr>
                      <w:rFonts w:hint="eastAsia" w:ascii="Times New Roman" w:hAnsi="Times New Roman"/>
                      <w:color w:val="auto"/>
                      <w:szCs w:val="21"/>
                      <w:highlight w:val="none"/>
                    </w:rPr>
                    <w:t>kg</w:t>
                  </w:r>
                </w:p>
              </w:tc>
              <w:tc>
                <w:tcPr>
                  <w:tcW w:w="671" w:type="pct"/>
                  <w:noWrap w:val="0"/>
                  <w:vAlign w:val="center"/>
                </w:tcPr>
                <w:p w14:paraId="413832FB">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10kg</w:t>
                  </w:r>
                </w:p>
              </w:tc>
              <w:tc>
                <w:tcPr>
                  <w:tcW w:w="829" w:type="pct"/>
                  <w:noWrap w:val="0"/>
                  <w:vAlign w:val="center"/>
                </w:tcPr>
                <w:p w14:paraId="0CE145D3">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宋体" w:hAnsi="宋体" w:cs="宋体"/>
                      <w:bCs/>
                      <w:color w:val="auto"/>
                      <w:szCs w:val="21"/>
                      <w:highlight w:val="none"/>
                    </w:rPr>
                    <w:t>干燥柜</w:t>
                  </w:r>
                  <w:r>
                    <w:rPr>
                      <w:rFonts w:hint="eastAsia" w:ascii="宋体" w:hAnsi="宋体" w:cs="宋体"/>
                      <w:bCs/>
                      <w:color w:val="auto"/>
                      <w:szCs w:val="21"/>
                      <w:highlight w:val="none"/>
                      <w:lang w:eastAsia="zh-CN"/>
                    </w:rPr>
                    <w:t>，</w:t>
                  </w:r>
                  <w:r>
                    <w:rPr>
                      <w:rFonts w:hint="eastAsia" w:cs="Times New Roman"/>
                      <w:color w:val="auto"/>
                      <w:szCs w:val="21"/>
                      <w:highlight w:val="none"/>
                      <w:lang w:val="en-US" w:eastAsia="zh-CN"/>
                    </w:rPr>
                    <w:t>原料</w:t>
                  </w:r>
                  <w:r>
                    <w:rPr>
                      <w:rFonts w:hint="eastAsia" w:ascii="Times New Roman" w:hAnsi="Times New Roman" w:cs="Times New Roman"/>
                      <w:color w:val="auto"/>
                      <w:szCs w:val="21"/>
                      <w:highlight w:val="none"/>
                      <w:lang w:val="en-US" w:eastAsia="zh-CN"/>
                    </w:rPr>
                    <w:t>仓库</w:t>
                  </w:r>
                </w:p>
              </w:tc>
              <w:tc>
                <w:tcPr>
                  <w:tcW w:w="675" w:type="pct"/>
                  <w:noWrap w:val="0"/>
                  <w:vAlign w:val="center"/>
                </w:tcPr>
                <w:p w14:paraId="3ABFF925">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外购，汽运</w:t>
                  </w:r>
                </w:p>
              </w:tc>
            </w:tr>
            <w:tr w14:paraId="029CDE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continue"/>
                  <w:tcBorders>
                    <w:right w:val="single" w:color="000000" w:sz="4" w:space="0"/>
                  </w:tcBorders>
                  <w:noWrap w:val="0"/>
                  <w:vAlign w:val="center"/>
                </w:tcPr>
                <w:p w14:paraId="042B1ABC">
                  <w:pPr>
                    <w:jc w:val="center"/>
                    <w:rPr>
                      <w:rFonts w:hint="eastAsia" w:ascii="Times New Roman" w:hAnsi="Times New Roman"/>
                      <w:color w:val="auto"/>
                      <w:szCs w:val="21"/>
                      <w:highlight w:val="none"/>
                    </w:rPr>
                  </w:pPr>
                </w:p>
              </w:tc>
              <w:tc>
                <w:tcPr>
                  <w:tcW w:w="530" w:type="pct"/>
                  <w:tcBorders>
                    <w:left w:val="single" w:color="000000" w:sz="4" w:space="0"/>
                  </w:tcBorders>
                  <w:noWrap w:val="0"/>
                  <w:vAlign w:val="center"/>
                </w:tcPr>
                <w:p w14:paraId="6F21830E">
                  <w:pPr>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铬粒</w:t>
                  </w:r>
                </w:p>
              </w:tc>
              <w:tc>
                <w:tcPr>
                  <w:tcW w:w="1352" w:type="pct"/>
                  <w:noWrap w:val="0"/>
                  <w:vAlign w:val="center"/>
                </w:tcPr>
                <w:p w14:paraId="5A48ABAF">
                  <w:pPr>
                    <w:keepNext w:val="0"/>
                    <w:keepLines w:val="0"/>
                    <w:pageBreakBefore w:val="0"/>
                    <w:kinsoku/>
                    <w:wordWrap/>
                    <w:overflowPunct/>
                    <w:topLinePunct w:val="0"/>
                    <w:autoSpaceDE/>
                    <w:autoSpaceDN/>
                    <w:bidi w:val="0"/>
                    <w:adjustRightInd w:val="0"/>
                    <w:snapToGrid w:val="0"/>
                    <w:jc w:val="center"/>
                    <w:textAlignment w:val="auto"/>
                    <w:rPr>
                      <w:rFonts w:hint="eastAsia" w:cs="Times New Roman"/>
                      <w:color w:val="auto"/>
                      <w:kern w:val="0"/>
                      <w:szCs w:val="21"/>
                      <w:highlight w:val="none"/>
                      <w:lang w:val="en-US" w:eastAsia="zh-CN"/>
                    </w:rPr>
                  </w:pPr>
                  <w:r>
                    <w:rPr>
                      <w:rFonts w:hint="default" w:ascii="Times New Roman" w:hAnsi="Times New Roman" w:cs="Times New Roman"/>
                      <w:color w:val="auto"/>
                      <w:szCs w:val="21"/>
                      <w:highlight w:val="none"/>
                      <w:lang w:val="en-US" w:eastAsia="zh-CN"/>
                    </w:rPr>
                    <w:t>固态</w:t>
                  </w:r>
                </w:p>
              </w:tc>
              <w:tc>
                <w:tcPr>
                  <w:tcW w:w="587" w:type="pct"/>
                  <w:noWrap w:val="0"/>
                  <w:vAlign w:val="center"/>
                </w:tcPr>
                <w:p w14:paraId="1D97A583">
                  <w:pPr>
                    <w:keepNext w:val="0"/>
                    <w:keepLines w:val="0"/>
                    <w:pageBreakBefore w:val="0"/>
                    <w:kinsoku/>
                    <w:wordWrap/>
                    <w:overflowPunct/>
                    <w:topLinePunct w:val="0"/>
                    <w:autoSpaceDE/>
                    <w:autoSpaceDN/>
                    <w:bidi w:val="0"/>
                    <w:adjustRightInd w:val="0"/>
                    <w:snapToGrid w:val="0"/>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40</w:t>
                  </w:r>
                  <w:r>
                    <w:rPr>
                      <w:rFonts w:hint="eastAsia" w:ascii="Times New Roman" w:hAnsi="Times New Roman"/>
                      <w:color w:val="auto"/>
                      <w:szCs w:val="21"/>
                      <w:highlight w:val="none"/>
                    </w:rPr>
                    <w:t>kg</w:t>
                  </w:r>
                </w:p>
              </w:tc>
              <w:tc>
                <w:tcPr>
                  <w:tcW w:w="671" w:type="pct"/>
                  <w:noWrap w:val="0"/>
                  <w:vAlign w:val="center"/>
                </w:tcPr>
                <w:p w14:paraId="26675558">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10kg</w:t>
                  </w:r>
                </w:p>
              </w:tc>
              <w:tc>
                <w:tcPr>
                  <w:tcW w:w="829" w:type="pct"/>
                  <w:noWrap w:val="0"/>
                  <w:vAlign w:val="center"/>
                </w:tcPr>
                <w:p w14:paraId="68EAD6FE">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宋体" w:hAnsi="宋体" w:cs="宋体"/>
                      <w:bCs/>
                      <w:color w:val="auto"/>
                      <w:szCs w:val="21"/>
                      <w:highlight w:val="none"/>
                    </w:rPr>
                    <w:t>干燥柜</w:t>
                  </w:r>
                  <w:r>
                    <w:rPr>
                      <w:rFonts w:hint="eastAsia" w:ascii="宋体" w:hAnsi="宋体" w:cs="宋体"/>
                      <w:bCs/>
                      <w:color w:val="auto"/>
                      <w:szCs w:val="21"/>
                      <w:highlight w:val="none"/>
                      <w:lang w:eastAsia="zh-CN"/>
                    </w:rPr>
                    <w:t>，</w:t>
                  </w:r>
                  <w:r>
                    <w:rPr>
                      <w:rFonts w:hint="eastAsia" w:cs="Times New Roman"/>
                      <w:color w:val="auto"/>
                      <w:szCs w:val="21"/>
                      <w:highlight w:val="none"/>
                      <w:lang w:val="en-US" w:eastAsia="zh-CN"/>
                    </w:rPr>
                    <w:t>原料</w:t>
                  </w:r>
                  <w:r>
                    <w:rPr>
                      <w:rFonts w:hint="eastAsia" w:ascii="Times New Roman" w:hAnsi="Times New Roman" w:cs="Times New Roman"/>
                      <w:color w:val="auto"/>
                      <w:szCs w:val="21"/>
                      <w:highlight w:val="none"/>
                      <w:lang w:val="en-US" w:eastAsia="zh-CN"/>
                    </w:rPr>
                    <w:t>仓库</w:t>
                  </w:r>
                </w:p>
              </w:tc>
              <w:tc>
                <w:tcPr>
                  <w:tcW w:w="675" w:type="pct"/>
                  <w:noWrap w:val="0"/>
                  <w:vAlign w:val="center"/>
                </w:tcPr>
                <w:p w14:paraId="0D86F11C">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外购，汽运</w:t>
                  </w:r>
                </w:p>
              </w:tc>
            </w:tr>
            <w:tr w14:paraId="0DAD8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continue"/>
                  <w:tcBorders>
                    <w:right w:val="single" w:color="000000" w:sz="4" w:space="0"/>
                  </w:tcBorders>
                  <w:noWrap w:val="0"/>
                  <w:vAlign w:val="center"/>
                </w:tcPr>
                <w:p w14:paraId="2FF2AEA7">
                  <w:pPr>
                    <w:jc w:val="center"/>
                    <w:rPr>
                      <w:rFonts w:hint="eastAsia" w:ascii="Times New Roman" w:hAnsi="Times New Roman"/>
                      <w:color w:val="auto"/>
                      <w:szCs w:val="21"/>
                      <w:highlight w:val="none"/>
                    </w:rPr>
                  </w:pPr>
                </w:p>
              </w:tc>
              <w:tc>
                <w:tcPr>
                  <w:tcW w:w="530" w:type="pct"/>
                  <w:tcBorders>
                    <w:left w:val="single" w:color="000000" w:sz="4" w:space="0"/>
                  </w:tcBorders>
                  <w:noWrap w:val="0"/>
                  <w:vAlign w:val="center"/>
                </w:tcPr>
                <w:p w14:paraId="50625D4B">
                  <w:pPr>
                    <w:jc w:val="center"/>
                    <w:rPr>
                      <w:rFonts w:hint="eastAsia" w:ascii="宋体" w:hAnsi="宋体" w:cs="宋体"/>
                      <w:color w:val="auto"/>
                      <w:szCs w:val="21"/>
                      <w:highlight w:val="none"/>
                    </w:rPr>
                  </w:pPr>
                  <w:r>
                    <w:rPr>
                      <w:rFonts w:hint="eastAsia" w:ascii="宋体" w:hAnsi="宋体" w:cs="宋体"/>
                      <w:color w:val="auto"/>
                      <w:szCs w:val="21"/>
                      <w:highlight w:val="none"/>
                    </w:rPr>
                    <w:t>五氧化二钽</w:t>
                  </w:r>
                </w:p>
              </w:tc>
              <w:tc>
                <w:tcPr>
                  <w:tcW w:w="1352" w:type="pct"/>
                  <w:noWrap w:val="0"/>
                  <w:vAlign w:val="center"/>
                </w:tcPr>
                <w:p w14:paraId="7EFB4776">
                  <w:pPr>
                    <w:keepNext w:val="0"/>
                    <w:keepLines w:val="0"/>
                    <w:pageBreakBefore w:val="0"/>
                    <w:kinsoku/>
                    <w:wordWrap/>
                    <w:overflowPunct/>
                    <w:topLinePunct w:val="0"/>
                    <w:autoSpaceDE/>
                    <w:autoSpaceDN/>
                    <w:bidi w:val="0"/>
                    <w:adjustRightInd w:val="0"/>
                    <w:snapToGrid w:val="0"/>
                    <w:jc w:val="center"/>
                    <w:textAlignment w:val="auto"/>
                    <w:rPr>
                      <w:rFonts w:hint="eastAsia" w:cs="Times New Roman"/>
                      <w:color w:val="auto"/>
                      <w:kern w:val="0"/>
                      <w:szCs w:val="21"/>
                      <w:highlight w:val="none"/>
                      <w:lang w:val="en-US" w:eastAsia="zh-CN"/>
                    </w:rPr>
                  </w:pPr>
                  <w:r>
                    <w:rPr>
                      <w:rFonts w:hint="default" w:ascii="Times New Roman" w:hAnsi="Times New Roman" w:cs="Times New Roman"/>
                      <w:color w:val="auto"/>
                      <w:szCs w:val="21"/>
                      <w:highlight w:val="none"/>
                      <w:lang w:val="en-US" w:eastAsia="zh-CN"/>
                    </w:rPr>
                    <w:t>固态</w:t>
                  </w:r>
                </w:p>
              </w:tc>
              <w:tc>
                <w:tcPr>
                  <w:tcW w:w="587" w:type="pct"/>
                  <w:noWrap w:val="0"/>
                  <w:vAlign w:val="center"/>
                </w:tcPr>
                <w:p w14:paraId="43159BB1">
                  <w:pPr>
                    <w:keepNext w:val="0"/>
                    <w:keepLines w:val="0"/>
                    <w:pageBreakBefore w:val="0"/>
                    <w:kinsoku/>
                    <w:wordWrap/>
                    <w:overflowPunct/>
                    <w:topLinePunct w:val="0"/>
                    <w:autoSpaceDE/>
                    <w:autoSpaceDN/>
                    <w:bidi w:val="0"/>
                    <w:adjustRightInd w:val="0"/>
                    <w:snapToGrid w:val="0"/>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40</w:t>
                  </w:r>
                  <w:r>
                    <w:rPr>
                      <w:rFonts w:hint="eastAsia" w:ascii="Times New Roman" w:hAnsi="Times New Roman"/>
                      <w:color w:val="auto"/>
                      <w:szCs w:val="21"/>
                      <w:highlight w:val="none"/>
                    </w:rPr>
                    <w:t>kg</w:t>
                  </w:r>
                </w:p>
              </w:tc>
              <w:tc>
                <w:tcPr>
                  <w:tcW w:w="671" w:type="pct"/>
                  <w:noWrap w:val="0"/>
                  <w:vAlign w:val="center"/>
                </w:tcPr>
                <w:p w14:paraId="718EA5C6">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10kg</w:t>
                  </w:r>
                </w:p>
              </w:tc>
              <w:tc>
                <w:tcPr>
                  <w:tcW w:w="829" w:type="pct"/>
                  <w:noWrap w:val="0"/>
                  <w:vAlign w:val="center"/>
                </w:tcPr>
                <w:p w14:paraId="529AFA8C">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宋体" w:hAnsi="宋体" w:cs="宋体"/>
                      <w:bCs/>
                      <w:color w:val="auto"/>
                      <w:szCs w:val="21"/>
                      <w:highlight w:val="none"/>
                    </w:rPr>
                    <w:t>干燥柜</w:t>
                  </w:r>
                  <w:r>
                    <w:rPr>
                      <w:rFonts w:hint="eastAsia" w:ascii="宋体" w:hAnsi="宋体" w:cs="宋体"/>
                      <w:bCs/>
                      <w:color w:val="auto"/>
                      <w:szCs w:val="21"/>
                      <w:highlight w:val="none"/>
                      <w:lang w:eastAsia="zh-CN"/>
                    </w:rPr>
                    <w:t>，</w:t>
                  </w:r>
                  <w:r>
                    <w:rPr>
                      <w:rFonts w:hint="eastAsia" w:cs="Times New Roman"/>
                      <w:color w:val="auto"/>
                      <w:szCs w:val="21"/>
                      <w:highlight w:val="none"/>
                      <w:lang w:val="en-US" w:eastAsia="zh-CN"/>
                    </w:rPr>
                    <w:t>原料</w:t>
                  </w:r>
                  <w:r>
                    <w:rPr>
                      <w:rFonts w:hint="eastAsia" w:ascii="Times New Roman" w:hAnsi="Times New Roman" w:cs="Times New Roman"/>
                      <w:color w:val="auto"/>
                      <w:szCs w:val="21"/>
                      <w:highlight w:val="none"/>
                      <w:lang w:val="en-US" w:eastAsia="zh-CN"/>
                    </w:rPr>
                    <w:t>仓库</w:t>
                  </w:r>
                </w:p>
              </w:tc>
              <w:tc>
                <w:tcPr>
                  <w:tcW w:w="675" w:type="pct"/>
                  <w:noWrap w:val="0"/>
                  <w:vAlign w:val="center"/>
                </w:tcPr>
                <w:p w14:paraId="426F4A28">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外购，汽运</w:t>
                  </w:r>
                </w:p>
              </w:tc>
            </w:tr>
            <w:tr w14:paraId="51815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3" w:type="pct"/>
                  <w:gridSpan w:val="2"/>
                  <w:noWrap w:val="0"/>
                  <w:vAlign w:val="center"/>
                </w:tcPr>
                <w:p w14:paraId="30D68B41">
                  <w:pPr>
                    <w:widowControl/>
                    <w:snapToGrid w:val="0"/>
                    <w:jc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lang w:eastAsia="zh-CN"/>
                    </w:rPr>
                    <w:t>氩气</w:t>
                  </w:r>
                </w:p>
              </w:tc>
              <w:tc>
                <w:tcPr>
                  <w:tcW w:w="1352" w:type="pct"/>
                  <w:noWrap w:val="0"/>
                  <w:vAlign w:val="center"/>
                </w:tcPr>
                <w:p w14:paraId="7E046D79">
                  <w:pPr>
                    <w:keepNext w:val="0"/>
                    <w:keepLines w:val="0"/>
                    <w:pageBreakBefore w:val="0"/>
                    <w:kinsoku/>
                    <w:wordWrap/>
                    <w:overflowPunct/>
                    <w:topLinePunct w:val="0"/>
                    <w:autoSpaceDE/>
                    <w:autoSpaceDN/>
                    <w:bidi w:val="0"/>
                    <w:adjustRightInd w:val="0"/>
                    <w:snapToGrid w:val="0"/>
                    <w:jc w:val="center"/>
                    <w:textAlignment w:val="auto"/>
                    <w:rPr>
                      <w:rFonts w:hint="eastAsia" w:cs="Times New Roman"/>
                      <w:color w:val="auto"/>
                      <w:kern w:val="0"/>
                      <w:szCs w:val="21"/>
                      <w:highlight w:val="none"/>
                      <w:lang w:val="en-US" w:eastAsia="zh-CN"/>
                    </w:rPr>
                  </w:pPr>
                  <w:r>
                    <w:rPr>
                      <w:rFonts w:hint="eastAsia" w:cs="Times New Roman"/>
                      <w:color w:val="auto"/>
                      <w:kern w:val="0"/>
                      <w:szCs w:val="21"/>
                      <w:highlight w:val="none"/>
                      <w:lang w:val="en-US" w:eastAsia="zh-CN"/>
                    </w:rPr>
                    <w:t>气体</w:t>
                  </w:r>
                </w:p>
              </w:tc>
              <w:tc>
                <w:tcPr>
                  <w:tcW w:w="587" w:type="pct"/>
                  <w:noWrap w:val="0"/>
                  <w:vAlign w:val="center"/>
                </w:tcPr>
                <w:p w14:paraId="51F5BB5D">
                  <w:pPr>
                    <w:keepNext w:val="0"/>
                    <w:keepLines w:val="0"/>
                    <w:pageBreakBefore w:val="0"/>
                    <w:kinsoku/>
                    <w:wordWrap/>
                    <w:overflowPunct/>
                    <w:topLinePunct w:val="0"/>
                    <w:autoSpaceDE/>
                    <w:autoSpaceDN/>
                    <w:bidi w:val="0"/>
                    <w:adjustRightInd w:val="0"/>
                    <w:snapToGrid w:val="0"/>
                    <w:jc w:val="center"/>
                    <w:textAlignment w:val="auto"/>
                    <w:rPr>
                      <w:rFonts w:hint="default"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0L</w:t>
                  </w:r>
                </w:p>
              </w:tc>
              <w:tc>
                <w:tcPr>
                  <w:tcW w:w="671" w:type="pct"/>
                  <w:noWrap w:val="0"/>
                  <w:vAlign w:val="center"/>
                </w:tcPr>
                <w:p w14:paraId="7F61F428">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0L</w:t>
                  </w:r>
                </w:p>
              </w:tc>
              <w:tc>
                <w:tcPr>
                  <w:tcW w:w="829" w:type="pct"/>
                  <w:noWrap w:val="0"/>
                  <w:vAlign w:val="center"/>
                </w:tcPr>
                <w:p w14:paraId="20D572B9">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瓶装，生产车间现用</w:t>
                  </w:r>
                </w:p>
              </w:tc>
              <w:tc>
                <w:tcPr>
                  <w:tcW w:w="675" w:type="pct"/>
                  <w:noWrap w:val="0"/>
                  <w:vAlign w:val="center"/>
                </w:tcPr>
                <w:p w14:paraId="74FCC2AA">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外购，汽运</w:t>
                  </w:r>
                </w:p>
              </w:tc>
            </w:tr>
            <w:tr w14:paraId="149349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3" w:type="pct"/>
                  <w:gridSpan w:val="2"/>
                  <w:noWrap w:val="0"/>
                  <w:vAlign w:val="center"/>
                </w:tcPr>
                <w:p w14:paraId="5961A201">
                  <w:pPr>
                    <w:widowControl/>
                    <w:snapToGrid w:val="0"/>
                    <w:jc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lang w:val="en-US" w:eastAsia="zh-CN"/>
                    </w:rPr>
                    <w:t>铝箔</w:t>
                  </w:r>
                </w:p>
              </w:tc>
              <w:tc>
                <w:tcPr>
                  <w:tcW w:w="1352" w:type="pct"/>
                  <w:noWrap w:val="0"/>
                  <w:vAlign w:val="center"/>
                </w:tcPr>
                <w:p w14:paraId="1E936FF8">
                  <w:pPr>
                    <w:keepNext w:val="0"/>
                    <w:keepLines w:val="0"/>
                    <w:pageBreakBefore w:val="0"/>
                    <w:kinsoku/>
                    <w:wordWrap/>
                    <w:overflowPunct/>
                    <w:topLinePunct w:val="0"/>
                    <w:autoSpaceDE/>
                    <w:autoSpaceDN/>
                    <w:bidi w:val="0"/>
                    <w:adjustRightInd w:val="0"/>
                    <w:snapToGrid w:val="0"/>
                    <w:jc w:val="center"/>
                    <w:textAlignment w:val="auto"/>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587" w:type="pct"/>
                  <w:noWrap w:val="0"/>
                  <w:vAlign w:val="center"/>
                </w:tcPr>
                <w:p w14:paraId="4FCF4C5C">
                  <w:pPr>
                    <w:keepNext w:val="0"/>
                    <w:keepLines w:val="0"/>
                    <w:pageBreakBefore w:val="0"/>
                    <w:kinsoku/>
                    <w:wordWrap/>
                    <w:overflowPunct/>
                    <w:topLinePunct w:val="0"/>
                    <w:autoSpaceDE/>
                    <w:autoSpaceDN/>
                    <w:bidi w:val="0"/>
                    <w:adjustRightInd w:val="0"/>
                    <w:snapToGrid w:val="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52千克</w:t>
                  </w:r>
                </w:p>
              </w:tc>
              <w:tc>
                <w:tcPr>
                  <w:tcW w:w="671" w:type="pct"/>
                  <w:noWrap w:val="0"/>
                  <w:vAlign w:val="center"/>
                </w:tcPr>
                <w:p w14:paraId="78B3D483">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10千克</w:t>
                  </w:r>
                </w:p>
              </w:tc>
              <w:tc>
                <w:tcPr>
                  <w:tcW w:w="829" w:type="pct"/>
                  <w:noWrap w:val="0"/>
                  <w:vAlign w:val="center"/>
                </w:tcPr>
                <w:p w14:paraId="56E35210">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堆放，</w:t>
                  </w:r>
                  <w:r>
                    <w:rPr>
                      <w:rFonts w:hint="eastAsia" w:cs="Times New Roman"/>
                      <w:color w:val="auto"/>
                      <w:szCs w:val="21"/>
                      <w:highlight w:val="none"/>
                      <w:lang w:val="en-US" w:eastAsia="zh-CN"/>
                    </w:rPr>
                    <w:t>原料</w:t>
                  </w:r>
                  <w:r>
                    <w:rPr>
                      <w:rFonts w:hint="eastAsia" w:ascii="Times New Roman" w:hAnsi="Times New Roman" w:cs="Times New Roman"/>
                      <w:color w:val="auto"/>
                      <w:szCs w:val="21"/>
                      <w:highlight w:val="none"/>
                      <w:lang w:val="en-US" w:eastAsia="zh-CN"/>
                    </w:rPr>
                    <w:t>仓库</w:t>
                  </w:r>
                </w:p>
              </w:tc>
              <w:tc>
                <w:tcPr>
                  <w:tcW w:w="675" w:type="pct"/>
                  <w:noWrap w:val="0"/>
                  <w:vAlign w:val="center"/>
                </w:tcPr>
                <w:p w14:paraId="05F5FF9F">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外购，汽运</w:t>
                  </w:r>
                </w:p>
              </w:tc>
            </w:tr>
            <w:tr w14:paraId="48520A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3" w:type="pct"/>
                  <w:gridSpan w:val="2"/>
                  <w:noWrap w:val="0"/>
                  <w:vAlign w:val="center"/>
                </w:tcPr>
                <w:p w14:paraId="21023E6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水基清洗剂</w:t>
                  </w:r>
                </w:p>
              </w:tc>
              <w:tc>
                <w:tcPr>
                  <w:tcW w:w="1352" w:type="pct"/>
                  <w:noWrap w:val="0"/>
                  <w:vAlign w:val="center"/>
                </w:tcPr>
                <w:p w14:paraId="7DA3F40F">
                  <w:pPr>
                    <w:keepNext w:val="0"/>
                    <w:keepLines w:val="0"/>
                    <w:pageBreakBefore w:val="0"/>
                    <w:kinsoku/>
                    <w:wordWrap/>
                    <w:overflowPunct/>
                    <w:topLinePunct w:val="0"/>
                    <w:autoSpaceDE/>
                    <w:autoSpaceDN/>
                    <w:bidi w:val="0"/>
                    <w:adjustRightInd/>
                    <w:snapToGrid/>
                    <w:jc w:val="center"/>
                    <w:textAlignment w:val="auto"/>
                    <w:rPr>
                      <w:rFonts w:hint="default" w:cs="Times New Roman"/>
                      <w:color w:val="auto"/>
                      <w:kern w:val="0"/>
                      <w:szCs w:val="21"/>
                      <w:highlight w:val="none"/>
                      <w:lang w:val="en-US" w:eastAsia="zh-CN"/>
                    </w:rPr>
                  </w:pPr>
                  <w:r>
                    <w:rPr>
                      <w:rFonts w:hint="default" w:ascii="Times New Roman" w:hAnsi="Times New Roman" w:cs="Times New Roman"/>
                      <w:color w:val="auto"/>
                      <w:kern w:val="0"/>
                      <w:sz w:val="21"/>
                      <w:szCs w:val="21"/>
                      <w:highlight w:val="none"/>
                      <w:lang w:val="en-US" w:eastAsia="zh-CN" w:bidi="ar"/>
                    </w:rPr>
                    <w:t>胺类1-5%、可溶化剂1%以下、有机酸胺盐类15-25%、水70-80%、消泡剂1%以下、表面活性剂3%以下、防腐剂1%以下、防蚀剂1%以下</w:t>
                  </w:r>
                </w:p>
              </w:tc>
              <w:tc>
                <w:tcPr>
                  <w:tcW w:w="587" w:type="pct"/>
                  <w:noWrap w:val="0"/>
                  <w:vAlign w:val="center"/>
                </w:tcPr>
                <w:p w14:paraId="788386A4">
                  <w:pPr>
                    <w:keepNext w:val="0"/>
                    <w:keepLines w:val="0"/>
                    <w:pageBreakBefore w:val="0"/>
                    <w:kinsoku/>
                    <w:wordWrap/>
                    <w:overflowPunct/>
                    <w:topLinePunct w:val="0"/>
                    <w:autoSpaceDE/>
                    <w:autoSpaceDN/>
                    <w:bidi w:val="0"/>
                    <w:adjustRightInd/>
                    <w:snapToGrid/>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0.3</w:t>
                  </w:r>
                </w:p>
              </w:tc>
              <w:tc>
                <w:tcPr>
                  <w:tcW w:w="671" w:type="pct"/>
                  <w:noWrap w:val="0"/>
                  <w:vAlign w:val="center"/>
                </w:tcPr>
                <w:p w14:paraId="0BF14F48">
                  <w:pPr>
                    <w:keepNext w:val="0"/>
                    <w:keepLines w:val="0"/>
                    <w:pageBreakBefore w:val="0"/>
                    <w:kinsoku/>
                    <w:wordWrap/>
                    <w:overflowPunct/>
                    <w:topLinePunct w:val="0"/>
                    <w:autoSpaceDE/>
                    <w:autoSpaceDN/>
                    <w:bidi w:val="0"/>
                    <w:adjustRightInd/>
                    <w:snapToGrid/>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0.1</w:t>
                  </w:r>
                </w:p>
              </w:tc>
              <w:tc>
                <w:tcPr>
                  <w:tcW w:w="829" w:type="pct"/>
                  <w:noWrap w:val="0"/>
                  <w:vAlign w:val="center"/>
                </w:tcPr>
                <w:p w14:paraId="18C0E5C4">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桶装，</w:t>
                  </w:r>
                  <w:r>
                    <w:rPr>
                      <w:rFonts w:hint="eastAsia" w:cs="Times New Roman"/>
                      <w:color w:val="auto"/>
                      <w:szCs w:val="21"/>
                      <w:highlight w:val="none"/>
                      <w:lang w:val="en-US" w:eastAsia="zh-CN"/>
                    </w:rPr>
                    <w:t>原料</w:t>
                  </w:r>
                  <w:r>
                    <w:rPr>
                      <w:rFonts w:hint="eastAsia" w:ascii="Times New Roman" w:hAnsi="Times New Roman" w:cs="Times New Roman"/>
                      <w:color w:val="auto"/>
                      <w:szCs w:val="21"/>
                      <w:highlight w:val="none"/>
                      <w:lang w:val="en-US" w:eastAsia="zh-CN"/>
                    </w:rPr>
                    <w:t>仓库</w:t>
                  </w:r>
                </w:p>
              </w:tc>
              <w:tc>
                <w:tcPr>
                  <w:tcW w:w="675" w:type="pct"/>
                  <w:noWrap w:val="0"/>
                  <w:vAlign w:val="center"/>
                </w:tcPr>
                <w:p w14:paraId="3E0AD249">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外购，汽运</w:t>
                  </w:r>
                </w:p>
              </w:tc>
            </w:tr>
            <w:tr w14:paraId="73D97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3" w:type="pct"/>
                  <w:gridSpan w:val="2"/>
                  <w:noWrap w:val="0"/>
                  <w:vAlign w:val="center"/>
                </w:tcPr>
                <w:p w14:paraId="0C72CF83">
                  <w:pPr>
                    <w:widowControl/>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eastAsia="zh-CN"/>
                    </w:rPr>
                    <w:t>无水乙醇</w:t>
                  </w:r>
                  <w:r>
                    <w:rPr>
                      <w:rFonts w:hint="eastAsia" w:ascii="Times New Roman" w:hAnsi="Times New Roman"/>
                      <w:color w:val="auto"/>
                      <w:szCs w:val="21"/>
                      <w:highlight w:val="none"/>
                      <w:lang w:val="en-US" w:eastAsia="zh-CN"/>
                    </w:rPr>
                    <w:t>擦拭液</w:t>
                  </w:r>
                </w:p>
              </w:tc>
              <w:tc>
                <w:tcPr>
                  <w:tcW w:w="1352" w:type="pct"/>
                  <w:noWrap w:val="0"/>
                  <w:vAlign w:val="center"/>
                </w:tcPr>
                <w:p w14:paraId="59D5A34A">
                  <w:pPr>
                    <w:keepNext w:val="0"/>
                    <w:keepLines w:val="0"/>
                    <w:pageBreakBefore w:val="0"/>
                    <w:kinsoku/>
                    <w:wordWrap/>
                    <w:overflowPunct/>
                    <w:topLinePunct w:val="0"/>
                    <w:autoSpaceDE/>
                    <w:autoSpaceDN/>
                    <w:bidi w:val="0"/>
                    <w:adjustRightInd w:val="0"/>
                    <w:snapToGrid w:val="0"/>
                    <w:jc w:val="center"/>
                    <w:textAlignment w:val="auto"/>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分析纯；500mL/瓶</w:t>
                  </w:r>
                </w:p>
              </w:tc>
              <w:tc>
                <w:tcPr>
                  <w:tcW w:w="587" w:type="pct"/>
                  <w:noWrap w:val="0"/>
                  <w:vAlign w:val="center"/>
                </w:tcPr>
                <w:p w14:paraId="7C43912E">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0.2</w:t>
                  </w:r>
                </w:p>
              </w:tc>
              <w:tc>
                <w:tcPr>
                  <w:tcW w:w="671" w:type="pct"/>
                  <w:noWrap w:val="0"/>
                  <w:vAlign w:val="center"/>
                </w:tcPr>
                <w:p w14:paraId="6A3423CF">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bCs/>
                      <w:color w:val="auto"/>
                      <w:szCs w:val="21"/>
                      <w:highlight w:val="none"/>
                      <w:lang w:val="en-US" w:eastAsia="zh-CN"/>
                    </w:rPr>
                    <w:t>0.1</w:t>
                  </w:r>
                </w:p>
              </w:tc>
              <w:tc>
                <w:tcPr>
                  <w:tcW w:w="829" w:type="pct"/>
                  <w:noWrap w:val="0"/>
                  <w:vAlign w:val="center"/>
                </w:tcPr>
                <w:p w14:paraId="6DE36021">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瓶装，原料</w:t>
                  </w:r>
                  <w:r>
                    <w:rPr>
                      <w:rFonts w:hint="eastAsia" w:ascii="Times New Roman" w:hAnsi="Times New Roman" w:cs="Times New Roman"/>
                      <w:color w:val="auto"/>
                      <w:szCs w:val="21"/>
                      <w:highlight w:val="none"/>
                      <w:lang w:val="en-US" w:eastAsia="zh-CN"/>
                    </w:rPr>
                    <w:t>仓库</w:t>
                  </w:r>
                </w:p>
              </w:tc>
              <w:tc>
                <w:tcPr>
                  <w:tcW w:w="675" w:type="pct"/>
                  <w:noWrap w:val="0"/>
                  <w:vAlign w:val="center"/>
                </w:tcPr>
                <w:p w14:paraId="217FE94B">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外购，汽运</w:t>
                  </w:r>
                </w:p>
              </w:tc>
            </w:tr>
            <w:tr w14:paraId="07DDA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3" w:type="pct"/>
                  <w:gridSpan w:val="2"/>
                  <w:noWrap w:val="0"/>
                  <w:vAlign w:val="center"/>
                </w:tcPr>
                <w:p w14:paraId="7A911A4E">
                  <w:pPr>
                    <w:widowControl/>
                    <w:snapToGrid w:val="0"/>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光学专用胶</w:t>
                  </w:r>
                </w:p>
              </w:tc>
              <w:tc>
                <w:tcPr>
                  <w:tcW w:w="1352" w:type="pct"/>
                  <w:shd w:val="clear" w:color="auto" w:fill="auto"/>
                  <w:noWrap w:val="0"/>
                  <w:vAlign w:val="center"/>
                </w:tcPr>
                <w:p w14:paraId="0D69707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
                    </w:rPr>
                    <w:t>邻苯二甲酸二丁酯50-&lt;70%、氰基丙烯酸乙酯30-&lt;50%、对苯</w:t>
                  </w:r>
                  <w:r>
                    <w:rPr>
                      <w:rFonts w:hint="eastAsia" w:cs="Times New Roman"/>
                      <w:color w:val="auto"/>
                      <w:kern w:val="0"/>
                      <w:sz w:val="21"/>
                      <w:szCs w:val="21"/>
                      <w:highlight w:val="none"/>
                      <w:lang w:val="en-US" w:eastAsia="zh-CN" w:bidi="ar"/>
                    </w:rPr>
                    <w:t>二</w:t>
                  </w:r>
                  <w:r>
                    <w:rPr>
                      <w:rFonts w:hint="default" w:ascii="Times New Roman" w:hAnsi="Times New Roman" w:cs="Times New Roman"/>
                      <w:color w:val="auto"/>
                      <w:kern w:val="0"/>
                      <w:sz w:val="21"/>
                      <w:szCs w:val="21"/>
                      <w:highlight w:val="none"/>
                      <w:lang w:val="en-US" w:eastAsia="zh-CN" w:bidi="ar"/>
                    </w:rPr>
                    <w:t>酚0.025-&lt;0.1%</w:t>
                  </w:r>
                </w:p>
              </w:tc>
              <w:tc>
                <w:tcPr>
                  <w:tcW w:w="587" w:type="pct"/>
                  <w:noWrap w:val="0"/>
                  <w:vAlign w:val="center"/>
                </w:tcPr>
                <w:p w14:paraId="25F2A7FC">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0.15</w:t>
                  </w:r>
                </w:p>
              </w:tc>
              <w:tc>
                <w:tcPr>
                  <w:tcW w:w="671" w:type="pct"/>
                  <w:noWrap w:val="0"/>
                  <w:vAlign w:val="center"/>
                </w:tcPr>
                <w:p w14:paraId="4D9F61F6">
                  <w:pPr>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0.1</w:t>
                  </w:r>
                </w:p>
              </w:tc>
              <w:tc>
                <w:tcPr>
                  <w:tcW w:w="1396" w:type="dxa"/>
                  <w:noWrap w:val="0"/>
                  <w:vAlign w:val="center"/>
                </w:tcPr>
                <w:p w14:paraId="1A2F2A5D">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瓶装，原料</w:t>
                  </w:r>
                  <w:r>
                    <w:rPr>
                      <w:rFonts w:hint="eastAsia" w:ascii="Times New Roman" w:hAnsi="Times New Roman" w:cs="Times New Roman"/>
                      <w:color w:val="auto"/>
                      <w:szCs w:val="21"/>
                      <w:highlight w:val="none"/>
                      <w:lang w:val="en-US" w:eastAsia="zh-CN"/>
                    </w:rPr>
                    <w:t>仓库</w:t>
                  </w:r>
                </w:p>
              </w:tc>
              <w:tc>
                <w:tcPr>
                  <w:tcW w:w="1136" w:type="dxa"/>
                  <w:noWrap w:val="0"/>
                  <w:vAlign w:val="center"/>
                </w:tcPr>
                <w:p w14:paraId="5047691D">
                  <w:pPr>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外购，汽运</w:t>
                  </w:r>
                </w:p>
              </w:tc>
            </w:tr>
            <w:tr w14:paraId="2ED50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3" w:type="pct"/>
                  <w:gridSpan w:val="2"/>
                  <w:noWrap w:val="0"/>
                  <w:vAlign w:val="center"/>
                </w:tcPr>
                <w:p w14:paraId="7E1A1DD3">
                  <w:pPr>
                    <w:widowControl/>
                    <w:snapToGrid w:val="0"/>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无尘布</w:t>
                  </w:r>
                </w:p>
              </w:tc>
              <w:tc>
                <w:tcPr>
                  <w:tcW w:w="1352" w:type="pct"/>
                  <w:noWrap w:val="0"/>
                  <w:vAlign w:val="center"/>
                </w:tcPr>
                <w:p w14:paraId="5CEB9C41">
                  <w:pPr>
                    <w:keepNext w:val="0"/>
                    <w:keepLines w:val="0"/>
                    <w:pageBreakBefore w:val="0"/>
                    <w:kinsoku/>
                    <w:wordWrap/>
                    <w:overflowPunct/>
                    <w:topLinePunct w:val="0"/>
                    <w:autoSpaceDE/>
                    <w:autoSpaceDN/>
                    <w:bidi w:val="0"/>
                    <w:adjustRightInd w:val="0"/>
                    <w:snapToGrid w:val="0"/>
                    <w:jc w:val="center"/>
                    <w:textAlignment w:val="auto"/>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280张/盒</w:t>
                  </w:r>
                </w:p>
              </w:tc>
              <w:tc>
                <w:tcPr>
                  <w:tcW w:w="587" w:type="pct"/>
                  <w:noWrap w:val="0"/>
                  <w:vAlign w:val="center"/>
                </w:tcPr>
                <w:p w14:paraId="16506F1D">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33600张</w:t>
                  </w:r>
                </w:p>
              </w:tc>
              <w:tc>
                <w:tcPr>
                  <w:tcW w:w="671" w:type="pct"/>
                  <w:noWrap w:val="0"/>
                  <w:vAlign w:val="center"/>
                </w:tcPr>
                <w:p w14:paraId="143796F8">
                  <w:pPr>
                    <w:jc w:val="center"/>
                    <w:rPr>
                      <w:rFonts w:hint="eastAsia"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120盒</w:t>
                  </w:r>
                </w:p>
              </w:tc>
              <w:tc>
                <w:tcPr>
                  <w:tcW w:w="829" w:type="pct"/>
                  <w:noWrap w:val="0"/>
                  <w:vAlign w:val="center"/>
                </w:tcPr>
                <w:p w14:paraId="76C09C6A">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堆放，</w:t>
                  </w:r>
                  <w:r>
                    <w:rPr>
                      <w:rFonts w:hint="eastAsia" w:cs="Times New Roman"/>
                      <w:color w:val="auto"/>
                      <w:szCs w:val="21"/>
                      <w:highlight w:val="none"/>
                      <w:lang w:val="en-US" w:eastAsia="zh-CN"/>
                    </w:rPr>
                    <w:t>原料</w:t>
                  </w:r>
                  <w:r>
                    <w:rPr>
                      <w:rFonts w:hint="eastAsia" w:ascii="Times New Roman" w:hAnsi="Times New Roman" w:cs="Times New Roman"/>
                      <w:color w:val="auto"/>
                      <w:szCs w:val="21"/>
                      <w:highlight w:val="none"/>
                      <w:lang w:val="en-US" w:eastAsia="zh-CN"/>
                    </w:rPr>
                    <w:t>仓库</w:t>
                  </w:r>
                </w:p>
              </w:tc>
              <w:tc>
                <w:tcPr>
                  <w:tcW w:w="675" w:type="pct"/>
                  <w:noWrap w:val="0"/>
                  <w:vAlign w:val="center"/>
                </w:tcPr>
                <w:p w14:paraId="5F9B4814">
                  <w:pPr>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外购，汽运</w:t>
                  </w:r>
                </w:p>
              </w:tc>
            </w:tr>
            <w:tr w14:paraId="34090D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3" w:type="pct"/>
                  <w:gridSpan w:val="2"/>
                  <w:noWrap w:val="0"/>
                  <w:vAlign w:val="center"/>
                </w:tcPr>
                <w:p w14:paraId="39919761">
                  <w:pPr>
                    <w:widowControl/>
                    <w:snapToGrid w:val="0"/>
                    <w:jc w:val="center"/>
                    <w:rPr>
                      <w:rFonts w:hint="eastAsia" w:ascii="Times New Roman" w:hAnsi="Times New Roman"/>
                      <w:color w:val="auto"/>
                      <w:szCs w:val="21"/>
                      <w:highlight w:val="none"/>
                      <w:lang w:eastAsia="zh-CN"/>
                    </w:rPr>
                  </w:pPr>
                  <w:r>
                    <w:rPr>
                      <w:rFonts w:hint="eastAsia" w:ascii="Times New Roman" w:hAnsi="Times New Roman"/>
                      <w:color w:val="auto"/>
                      <w:szCs w:val="21"/>
                      <w:highlight w:val="none"/>
                      <w:lang w:eastAsia="zh-CN"/>
                    </w:rPr>
                    <w:t>无尘纸</w:t>
                  </w:r>
                </w:p>
              </w:tc>
              <w:tc>
                <w:tcPr>
                  <w:tcW w:w="1352" w:type="pct"/>
                  <w:noWrap w:val="0"/>
                  <w:vAlign w:val="center"/>
                </w:tcPr>
                <w:p w14:paraId="1C5CE085">
                  <w:pPr>
                    <w:keepNext w:val="0"/>
                    <w:keepLines w:val="0"/>
                    <w:pageBreakBefore w:val="0"/>
                    <w:kinsoku/>
                    <w:wordWrap/>
                    <w:overflowPunct/>
                    <w:topLinePunct w:val="0"/>
                    <w:autoSpaceDE/>
                    <w:autoSpaceDN/>
                    <w:bidi w:val="0"/>
                    <w:adjustRightInd w:val="0"/>
                    <w:snapToGrid w:val="0"/>
                    <w:jc w:val="center"/>
                    <w:textAlignment w:val="auto"/>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500张/卷</w:t>
                  </w:r>
                </w:p>
              </w:tc>
              <w:tc>
                <w:tcPr>
                  <w:tcW w:w="587" w:type="pct"/>
                  <w:noWrap w:val="0"/>
                  <w:vAlign w:val="center"/>
                </w:tcPr>
                <w:p w14:paraId="465D6A48">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19000张</w:t>
                  </w:r>
                </w:p>
              </w:tc>
              <w:tc>
                <w:tcPr>
                  <w:tcW w:w="671" w:type="pct"/>
                  <w:noWrap w:val="0"/>
                  <w:vAlign w:val="center"/>
                </w:tcPr>
                <w:p w14:paraId="41E62521">
                  <w:pPr>
                    <w:jc w:val="center"/>
                    <w:rPr>
                      <w:rFonts w:hint="eastAsia"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38卷</w:t>
                  </w:r>
                </w:p>
              </w:tc>
              <w:tc>
                <w:tcPr>
                  <w:tcW w:w="829" w:type="pct"/>
                  <w:noWrap w:val="0"/>
                  <w:vAlign w:val="center"/>
                </w:tcPr>
                <w:p w14:paraId="10B06ADD">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堆放，</w:t>
                  </w:r>
                  <w:r>
                    <w:rPr>
                      <w:rFonts w:hint="eastAsia" w:cs="Times New Roman"/>
                      <w:color w:val="auto"/>
                      <w:szCs w:val="21"/>
                      <w:highlight w:val="none"/>
                      <w:lang w:val="en-US" w:eastAsia="zh-CN"/>
                    </w:rPr>
                    <w:t>原料</w:t>
                  </w:r>
                  <w:r>
                    <w:rPr>
                      <w:rFonts w:hint="eastAsia" w:ascii="Times New Roman" w:hAnsi="Times New Roman" w:cs="Times New Roman"/>
                      <w:color w:val="auto"/>
                      <w:szCs w:val="21"/>
                      <w:highlight w:val="none"/>
                      <w:lang w:val="en-US" w:eastAsia="zh-CN"/>
                    </w:rPr>
                    <w:t>仓库</w:t>
                  </w:r>
                </w:p>
              </w:tc>
              <w:tc>
                <w:tcPr>
                  <w:tcW w:w="675" w:type="pct"/>
                  <w:noWrap w:val="0"/>
                  <w:vAlign w:val="center"/>
                </w:tcPr>
                <w:p w14:paraId="0725D8AF">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外购，汽运</w:t>
                  </w:r>
                </w:p>
              </w:tc>
            </w:tr>
            <w:tr w14:paraId="58F7AE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3" w:type="pct"/>
                  <w:gridSpan w:val="2"/>
                  <w:noWrap w:val="0"/>
                  <w:vAlign w:val="center"/>
                </w:tcPr>
                <w:p w14:paraId="4E279AD9">
                  <w:pPr>
                    <w:widowControl/>
                    <w:snapToGrid w:val="0"/>
                    <w:jc w:val="center"/>
                    <w:rPr>
                      <w:rFonts w:hint="eastAsia" w:ascii="Times New Roman" w:hAnsi="Times New Roman"/>
                      <w:color w:val="auto"/>
                      <w:szCs w:val="21"/>
                      <w:highlight w:val="none"/>
                      <w:lang w:eastAsia="zh-CN"/>
                    </w:rPr>
                  </w:pPr>
                  <w:r>
                    <w:rPr>
                      <w:rFonts w:hint="eastAsia"/>
                      <w:color w:val="auto"/>
                      <w:szCs w:val="21"/>
                      <w:highlight w:val="none"/>
                      <w:lang w:eastAsia="zh-CN"/>
                    </w:rPr>
                    <w:t>润滑油</w:t>
                  </w:r>
                </w:p>
              </w:tc>
              <w:tc>
                <w:tcPr>
                  <w:tcW w:w="1352" w:type="pct"/>
                  <w:noWrap w:val="0"/>
                  <w:vAlign w:val="center"/>
                </w:tcPr>
                <w:p w14:paraId="58062108">
                  <w:pPr>
                    <w:keepNext w:val="0"/>
                    <w:keepLines w:val="0"/>
                    <w:pageBreakBefore w:val="0"/>
                    <w:kinsoku/>
                    <w:wordWrap/>
                    <w:overflowPunct/>
                    <w:topLinePunct w:val="0"/>
                    <w:autoSpaceDE/>
                    <w:autoSpaceDN/>
                    <w:bidi w:val="0"/>
                    <w:adjustRightInd w:val="0"/>
                    <w:snapToGrid w:val="0"/>
                    <w:jc w:val="center"/>
                    <w:textAlignment w:val="auto"/>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25kg/桶</w:t>
                  </w:r>
                </w:p>
              </w:tc>
              <w:tc>
                <w:tcPr>
                  <w:tcW w:w="587" w:type="pct"/>
                  <w:noWrap w:val="0"/>
                  <w:vAlign w:val="center"/>
                </w:tcPr>
                <w:p w14:paraId="7D3C68CD">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200kg</w:t>
                  </w:r>
                </w:p>
              </w:tc>
              <w:tc>
                <w:tcPr>
                  <w:tcW w:w="671" w:type="pct"/>
                  <w:noWrap w:val="0"/>
                  <w:vAlign w:val="center"/>
                </w:tcPr>
                <w:p w14:paraId="587EBFF0">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25kg</w:t>
                  </w:r>
                </w:p>
              </w:tc>
              <w:tc>
                <w:tcPr>
                  <w:tcW w:w="829" w:type="pct"/>
                  <w:noWrap w:val="0"/>
                  <w:vAlign w:val="center"/>
                </w:tcPr>
                <w:p w14:paraId="683DAD11">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堆放，</w:t>
                  </w:r>
                  <w:r>
                    <w:rPr>
                      <w:rFonts w:hint="eastAsia" w:cs="Times New Roman"/>
                      <w:color w:val="auto"/>
                      <w:szCs w:val="21"/>
                      <w:highlight w:val="none"/>
                      <w:lang w:val="en-US" w:eastAsia="zh-CN"/>
                    </w:rPr>
                    <w:t>原料</w:t>
                  </w:r>
                  <w:r>
                    <w:rPr>
                      <w:rFonts w:hint="eastAsia" w:ascii="Times New Roman" w:hAnsi="Times New Roman" w:cs="Times New Roman"/>
                      <w:color w:val="auto"/>
                      <w:szCs w:val="21"/>
                      <w:highlight w:val="none"/>
                      <w:lang w:val="en-US" w:eastAsia="zh-CN"/>
                    </w:rPr>
                    <w:t>仓库</w:t>
                  </w:r>
                </w:p>
              </w:tc>
              <w:tc>
                <w:tcPr>
                  <w:tcW w:w="675" w:type="pct"/>
                  <w:noWrap w:val="0"/>
                  <w:vAlign w:val="center"/>
                </w:tcPr>
                <w:p w14:paraId="1EB64234">
                  <w:pPr>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外购，汽运</w:t>
                  </w:r>
                </w:p>
              </w:tc>
            </w:tr>
          </w:tbl>
          <w:p w14:paraId="684BA3A5">
            <w:pPr>
              <w:adjustRightInd w:val="0"/>
              <w:snapToGrid w:val="0"/>
              <w:spacing w:line="360" w:lineRule="auto"/>
              <w:ind w:firstLine="482" w:firstLineChars="200"/>
              <w:jc w:val="left"/>
              <w:rPr>
                <w:b/>
                <w:color w:val="auto"/>
                <w:sz w:val="24"/>
                <w:highlight w:val="none"/>
              </w:rPr>
            </w:pPr>
            <w:r>
              <w:rPr>
                <w:b/>
                <w:color w:val="auto"/>
                <w:sz w:val="24"/>
                <w:highlight w:val="none"/>
              </w:rPr>
              <w:t>3、主要原料理化性质</w:t>
            </w:r>
          </w:p>
          <w:p w14:paraId="7C235562">
            <w:pPr>
              <w:jc w:val="center"/>
              <w:rPr>
                <w:b/>
                <w:color w:val="auto"/>
                <w:sz w:val="24"/>
                <w:highlight w:val="none"/>
              </w:rPr>
            </w:pPr>
            <w:r>
              <w:rPr>
                <w:b/>
                <w:color w:val="auto"/>
                <w:sz w:val="24"/>
                <w:highlight w:val="none"/>
              </w:rPr>
              <w:t>表2-</w:t>
            </w:r>
            <w:r>
              <w:rPr>
                <w:rFonts w:hint="eastAsia"/>
                <w:b/>
                <w:color w:val="auto"/>
                <w:sz w:val="24"/>
                <w:highlight w:val="none"/>
                <w:lang w:val="en-US" w:eastAsia="zh-CN"/>
              </w:rPr>
              <w:t>4</w:t>
            </w:r>
            <w:r>
              <w:rPr>
                <w:b/>
                <w:color w:val="auto"/>
                <w:sz w:val="24"/>
                <w:highlight w:val="none"/>
              </w:rPr>
              <w:t xml:space="preserve"> 原辅材料理化特性、毒性毒理</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1239"/>
              <w:gridCol w:w="3020"/>
              <w:gridCol w:w="1487"/>
              <w:gridCol w:w="1560"/>
            </w:tblGrid>
            <w:tr w14:paraId="79F3A9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tblHeader/>
                <w:jc w:val="center"/>
              </w:trPr>
              <w:tc>
                <w:tcPr>
                  <w:tcW w:w="1121" w:type="dxa"/>
                  <w:tcBorders>
                    <w:top w:val="single" w:color="auto" w:sz="12" w:space="0"/>
                    <w:bottom w:val="single" w:color="auto" w:sz="12" w:space="0"/>
                  </w:tcBorders>
                  <w:vAlign w:val="center"/>
                </w:tcPr>
                <w:p w14:paraId="48DA517C">
                  <w:pPr>
                    <w:pStyle w:val="81"/>
                    <w:spacing w:line="240" w:lineRule="auto"/>
                    <w:rPr>
                      <w:rFonts w:cs="Times New Roman"/>
                      <w:b/>
                      <w:color w:val="auto"/>
                      <w:sz w:val="21"/>
                      <w:highlight w:val="none"/>
                    </w:rPr>
                  </w:pPr>
                  <w:r>
                    <w:rPr>
                      <w:rFonts w:cs="Times New Roman"/>
                      <w:b/>
                      <w:color w:val="auto"/>
                      <w:sz w:val="21"/>
                      <w:highlight w:val="none"/>
                    </w:rPr>
                    <w:t>名称</w:t>
                  </w:r>
                </w:p>
              </w:tc>
              <w:tc>
                <w:tcPr>
                  <w:tcW w:w="1188" w:type="dxa"/>
                  <w:tcBorders>
                    <w:top w:val="single" w:color="auto" w:sz="12" w:space="0"/>
                    <w:bottom w:val="single" w:color="auto" w:sz="12" w:space="0"/>
                  </w:tcBorders>
                  <w:vAlign w:val="center"/>
                </w:tcPr>
                <w:p w14:paraId="25496334">
                  <w:pPr>
                    <w:pStyle w:val="81"/>
                    <w:spacing w:line="240" w:lineRule="auto"/>
                    <w:rPr>
                      <w:rFonts w:hint="eastAsia" w:eastAsia="宋体" w:cs="Times New Roman"/>
                      <w:b/>
                      <w:color w:val="auto"/>
                      <w:sz w:val="21"/>
                      <w:highlight w:val="none"/>
                      <w:lang w:eastAsia="zh-CN"/>
                    </w:rPr>
                  </w:pPr>
                  <w:r>
                    <w:rPr>
                      <w:rFonts w:hint="eastAsia" w:cs="Times New Roman"/>
                      <w:b/>
                      <w:color w:val="auto"/>
                      <w:sz w:val="21"/>
                      <w:highlight w:val="none"/>
                      <w:lang w:eastAsia="zh-CN"/>
                    </w:rPr>
                    <w:t>分子式</w:t>
                  </w:r>
                </w:p>
              </w:tc>
              <w:tc>
                <w:tcPr>
                  <w:tcW w:w="3040" w:type="dxa"/>
                  <w:tcBorders>
                    <w:top w:val="single" w:color="auto" w:sz="12" w:space="0"/>
                    <w:bottom w:val="single" w:color="auto" w:sz="12" w:space="0"/>
                  </w:tcBorders>
                  <w:vAlign w:val="center"/>
                </w:tcPr>
                <w:p w14:paraId="7F09AC8A">
                  <w:pPr>
                    <w:pStyle w:val="81"/>
                    <w:spacing w:line="240" w:lineRule="auto"/>
                    <w:rPr>
                      <w:rFonts w:cs="Times New Roman"/>
                      <w:b/>
                      <w:color w:val="auto"/>
                      <w:sz w:val="21"/>
                      <w:highlight w:val="none"/>
                    </w:rPr>
                  </w:pPr>
                  <w:r>
                    <w:rPr>
                      <w:rFonts w:cs="Times New Roman"/>
                      <w:b/>
                      <w:color w:val="auto"/>
                      <w:sz w:val="21"/>
                      <w:highlight w:val="none"/>
                    </w:rPr>
                    <w:t>理化特性</w:t>
                  </w:r>
                </w:p>
              </w:tc>
              <w:tc>
                <w:tcPr>
                  <w:tcW w:w="1507" w:type="dxa"/>
                  <w:tcBorders>
                    <w:top w:val="single" w:color="auto" w:sz="12" w:space="0"/>
                    <w:bottom w:val="single" w:color="auto" w:sz="12" w:space="0"/>
                  </w:tcBorders>
                  <w:vAlign w:val="center"/>
                </w:tcPr>
                <w:p w14:paraId="3FA1C7B4">
                  <w:pPr>
                    <w:pStyle w:val="81"/>
                    <w:spacing w:line="240" w:lineRule="auto"/>
                    <w:rPr>
                      <w:rFonts w:cs="Times New Roman"/>
                      <w:b/>
                      <w:color w:val="auto"/>
                      <w:sz w:val="21"/>
                      <w:highlight w:val="none"/>
                    </w:rPr>
                  </w:pPr>
                  <w:r>
                    <w:rPr>
                      <w:rFonts w:cs="Times New Roman"/>
                      <w:b/>
                      <w:color w:val="auto"/>
                      <w:sz w:val="21"/>
                      <w:highlight w:val="none"/>
                    </w:rPr>
                    <w:t>燃烧爆炸性</w:t>
                  </w:r>
                </w:p>
              </w:tc>
              <w:tc>
                <w:tcPr>
                  <w:tcW w:w="1560" w:type="dxa"/>
                  <w:tcBorders>
                    <w:top w:val="single" w:color="auto" w:sz="12" w:space="0"/>
                    <w:bottom w:val="single" w:color="auto" w:sz="12" w:space="0"/>
                  </w:tcBorders>
                  <w:vAlign w:val="center"/>
                </w:tcPr>
                <w:p w14:paraId="7702045A">
                  <w:pPr>
                    <w:pStyle w:val="81"/>
                    <w:spacing w:line="240" w:lineRule="auto"/>
                    <w:rPr>
                      <w:rFonts w:cs="Times New Roman"/>
                      <w:b/>
                      <w:color w:val="auto"/>
                      <w:sz w:val="21"/>
                      <w:highlight w:val="none"/>
                    </w:rPr>
                  </w:pPr>
                  <w:r>
                    <w:rPr>
                      <w:rFonts w:cs="Times New Roman"/>
                      <w:b/>
                      <w:color w:val="auto"/>
                      <w:sz w:val="21"/>
                      <w:highlight w:val="none"/>
                    </w:rPr>
                    <w:t>毒性毒理</w:t>
                  </w:r>
                </w:p>
              </w:tc>
            </w:tr>
            <w:tr w14:paraId="48FCD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121" w:type="dxa"/>
                  <w:vAlign w:val="center"/>
                </w:tcPr>
                <w:p w14:paraId="5FC3947A">
                  <w:pPr>
                    <w:pStyle w:val="81"/>
                    <w:spacing w:line="240" w:lineRule="auto"/>
                    <w:rPr>
                      <w:rFonts w:hint="eastAsia" w:eastAsia="宋体" w:cs="Times New Roman"/>
                      <w:color w:val="auto"/>
                      <w:sz w:val="21"/>
                      <w:highlight w:val="none"/>
                      <w:lang w:val="en-US" w:eastAsia="zh-CN"/>
                    </w:rPr>
                  </w:pPr>
                  <w:r>
                    <w:rPr>
                      <w:rFonts w:hint="eastAsia" w:cs="Times New Roman"/>
                      <w:color w:val="auto"/>
                      <w:sz w:val="21"/>
                      <w:highlight w:val="none"/>
                      <w:lang w:val="en-US" w:eastAsia="zh-CN"/>
                    </w:rPr>
                    <w:t>润滑油</w:t>
                  </w:r>
                </w:p>
              </w:tc>
              <w:tc>
                <w:tcPr>
                  <w:tcW w:w="1188" w:type="dxa"/>
                  <w:vAlign w:val="center"/>
                </w:tcPr>
                <w:p w14:paraId="503BA002">
                  <w:pPr>
                    <w:pStyle w:val="81"/>
                    <w:spacing w:line="240" w:lineRule="auto"/>
                    <w:rPr>
                      <w:rFonts w:hint="default" w:cs="Times New Roman"/>
                      <w:color w:val="auto"/>
                      <w:sz w:val="21"/>
                      <w:highlight w:val="none"/>
                      <w:lang w:val="en-US" w:eastAsia="zh-CN"/>
                    </w:rPr>
                  </w:pPr>
                  <w:r>
                    <w:rPr>
                      <w:rFonts w:hint="eastAsia" w:cs="Times New Roman"/>
                      <w:color w:val="auto"/>
                      <w:sz w:val="21"/>
                      <w:highlight w:val="none"/>
                      <w:lang w:val="en-US" w:eastAsia="zh-CN"/>
                    </w:rPr>
                    <w:t>/</w:t>
                  </w:r>
                </w:p>
              </w:tc>
              <w:tc>
                <w:tcPr>
                  <w:tcW w:w="3040" w:type="dxa"/>
                  <w:vAlign w:val="center"/>
                </w:tcPr>
                <w:p w14:paraId="171479F2">
                  <w:pPr>
                    <w:keepNext w:val="0"/>
                    <w:keepLines w:val="0"/>
                    <w:pageBreakBefore w:val="0"/>
                    <w:widowControl w:val="0"/>
                    <w:kinsoku/>
                    <w:wordWrap/>
                    <w:overflowPunct/>
                    <w:topLinePunct w:val="0"/>
                    <w:autoSpaceDE w:val="0"/>
                    <w:autoSpaceDN w:val="0"/>
                    <w:bidi w:val="0"/>
                    <w:adjustRightInd w:val="0"/>
                    <w:snapToGrid/>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shd w:val="clear" w:color="auto" w:fill="FFFFFF"/>
                      <w:lang w:eastAsia="zh-CN"/>
                    </w:rPr>
                    <w:t>性状：油状液体，淡黄色至褐色，无气味或略带异味，闪点：＞840℃（基于矿物油）；燃烧上下极限：典型1~10%v/v（基于矿物油）。</w:t>
                  </w:r>
                </w:p>
              </w:tc>
              <w:tc>
                <w:tcPr>
                  <w:tcW w:w="1507" w:type="dxa"/>
                  <w:vAlign w:val="center"/>
                </w:tcPr>
                <w:p w14:paraId="033B1776">
                  <w:pPr>
                    <w:pStyle w:val="81"/>
                    <w:spacing w:line="240" w:lineRule="auto"/>
                    <w:rPr>
                      <w:rFonts w:cs="Times New Roman"/>
                      <w:color w:val="auto"/>
                      <w:sz w:val="21"/>
                      <w:highlight w:val="none"/>
                    </w:rPr>
                  </w:pPr>
                  <w:r>
                    <w:rPr>
                      <w:rFonts w:hint="eastAsia" w:cs="Times New Roman"/>
                      <w:color w:val="auto"/>
                      <w:sz w:val="21"/>
                      <w:highlight w:val="none"/>
                      <w:lang w:eastAsia="zh-CN"/>
                    </w:rPr>
                    <w:t>可</w:t>
                  </w:r>
                  <w:r>
                    <w:rPr>
                      <w:rFonts w:cs="Times New Roman"/>
                      <w:color w:val="auto"/>
                      <w:sz w:val="21"/>
                      <w:highlight w:val="none"/>
                    </w:rPr>
                    <w:t>燃</w:t>
                  </w:r>
                </w:p>
              </w:tc>
              <w:tc>
                <w:tcPr>
                  <w:tcW w:w="1560" w:type="dxa"/>
                  <w:vAlign w:val="center"/>
                </w:tcPr>
                <w:p w14:paraId="1C595CA9">
                  <w:pPr>
                    <w:pStyle w:val="81"/>
                    <w:spacing w:line="240" w:lineRule="auto"/>
                    <w:rPr>
                      <w:rFonts w:cs="Times New Roman"/>
                      <w:color w:val="auto"/>
                      <w:sz w:val="21"/>
                      <w:highlight w:val="none"/>
                    </w:rPr>
                  </w:pPr>
                  <w:r>
                    <w:rPr>
                      <w:rFonts w:cs="Times New Roman"/>
                      <w:color w:val="auto"/>
                      <w:sz w:val="21"/>
                      <w:highlight w:val="none"/>
                    </w:rPr>
                    <w:t>/</w:t>
                  </w:r>
                </w:p>
              </w:tc>
            </w:tr>
            <w:tr w14:paraId="43EDB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121" w:type="dxa"/>
                  <w:vAlign w:val="center"/>
                </w:tcPr>
                <w:p w14:paraId="38D91C14">
                  <w:pPr>
                    <w:pStyle w:val="81"/>
                    <w:spacing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乙醇</w:t>
                  </w:r>
                </w:p>
              </w:tc>
              <w:tc>
                <w:tcPr>
                  <w:tcW w:w="1188" w:type="dxa"/>
                  <w:vAlign w:val="center"/>
                </w:tcPr>
                <w:p w14:paraId="4FE6BD12">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CH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CH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OH</w:t>
                  </w:r>
                </w:p>
              </w:tc>
              <w:tc>
                <w:tcPr>
                  <w:tcW w:w="3040" w:type="dxa"/>
                  <w:vAlign w:val="center"/>
                </w:tcPr>
                <w:p w14:paraId="2DCCDB0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shd w:val="clear" w:color="auto" w:fill="FFFFFF"/>
                      <w:lang w:eastAsia="zh-CN"/>
                    </w:rPr>
                  </w:pPr>
                  <w:r>
                    <w:rPr>
                      <w:rFonts w:hint="default" w:ascii="Times New Roman" w:hAnsi="Times New Roman" w:cs="Times New Roman"/>
                      <w:color w:val="auto"/>
                      <w:sz w:val="21"/>
                      <w:szCs w:val="21"/>
                      <w:highlight w:val="none"/>
                    </w:rPr>
                    <w:t>俗称</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HYPERLINK "http://www.hudong.com/wiki/%E9%85%92%E7%B2%BE" \t "_blank" \o "酒精"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酒精</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它在常温、常压下是一种易燃、易挥发的无色透明液体，无色液体，有酒香，蒸汽压5.33kPa/19℃，闪点12℃，熔点-114.1℃，沸点78.3℃，与水混溶，可混溶于醚、氯仿、甘油等多数有机溶剂，相对密度0.79(水=1)、1.59(空气=1)，性质稳定，危险标记为7(易燃液体)，用于制酒工业、有机合成、消毒以用作溶剂</w:t>
                  </w:r>
                  <w:r>
                    <w:rPr>
                      <w:rFonts w:hint="default" w:ascii="Times New Roman" w:hAnsi="Times New Roman" w:cs="Times New Roman"/>
                      <w:color w:val="auto"/>
                      <w:sz w:val="21"/>
                      <w:szCs w:val="21"/>
                      <w:highlight w:val="none"/>
                      <w:lang w:eastAsia="zh-CN"/>
                    </w:rPr>
                    <w:t>。</w:t>
                  </w:r>
                </w:p>
              </w:tc>
              <w:tc>
                <w:tcPr>
                  <w:tcW w:w="1507" w:type="dxa"/>
                  <w:vAlign w:val="center"/>
                </w:tcPr>
                <w:p w14:paraId="1054FDDC">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易燃</w:t>
                  </w:r>
                </w:p>
              </w:tc>
              <w:tc>
                <w:tcPr>
                  <w:tcW w:w="1560" w:type="dxa"/>
                  <w:vAlign w:val="center"/>
                </w:tcPr>
                <w:p w14:paraId="5FE2622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LD</w:t>
                  </w:r>
                  <w:r>
                    <w:rPr>
                      <w:rFonts w:hint="default" w:ascii="Times New Roman" w:hAnsi="Times New Roman" w:cs="Times New Roman"/>
                      <w:color w:val="auto"/>
                      <w:sz w:val="21"/>
                      <w:szCs w:val="21"/>
                      <w:highlight w:val="none"/>
                      <w:vertAlign w:val="subscript"/>
                    </w:rPr>
                    <w:t>50</w:t>
                  </w:r>
                  <w:r>
                    <w:rPr>
                      <w:rFonts w:hint="default" w:ascii="Times New Roman" w:hAnsi="Times New Roman" w:cs="Times New Roman"/>
                      <w:color w:val="auto"/>
                      <w:sz w:val="21"/>
                      <w:szCs w:val="21"/>
                      <w:highlight w:val="none"/>
                    </w:rPr>
                    <w:t>：7060mg/kg(兔经口)；7430mg/kg(兔经皮)；</w:t>
                  </w:r>
                </w:p>
                <w:p w14:paraId="1FA48DA7">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LC</w:t>
                  </w:r>
                  <w:r>
                    <w:rPr>
                      <w:rFonts w:hint="default" w:ascii="Times New Roman" w:hAnsi="Times New Roman" w:cs="Times New Roman"/>
                      <w:color w:val="auto"/>
                      <w:sz w:val="21"/>
                      <w:szCs w:val="21"/>
                      <w:highlight w:val="none"/>
                      <w:vertAlign w:val="subscript"/>
                    </w:rPr>
                    <w:t>50</w:t>
                  </w:r>
                  <w:r>
                    <w:rPr>
                      <w:rFonts w:hint="default" w:ascii="Times New Roman" w:hAnsi="Times New Roman" w:cs="Times New Roman"/>
                      <w:color w:val="auto"/>
                      <w:sz w:val="21"/>
                      <w:szCs w:val="21"/>
                      <w:highlight w:val="none"/>
                    </w:rPr>
                    <w:t>：37620mg/m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，10小时(大鼠吸入)。</w:t>
                  </w:r>
                </w:p>
              </w:tc>
            </w:tr>
            <w:tr w14:paraId="20203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121" w:type="dxa"/>
                  <w:vAlign w:val="center"/>
                </w:tcPr>
                <w:p w14:paraId="3CD8E498">
                  <w:pPr>
                    <w:pStyle w:val="81"/>
                    <w:spacing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邻苯二甲酸二丁酯</w:t>
                  </w:r>
                </w:p>
              </w:tc>
              <w:tc>
                <w:tcPr>
                  <w:tcW w:w="1188" w:type="dxa"/>
                  <w:vAlign w:val="center"/>
                </w:tcPr>
                <w:p w14:paraId="7F11C2F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16</w:t>
                  </w: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22</w:t>
                  </w: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4</w:t>
                  </w:r>
                </w:p>
              </w:tc>
              <w:tc>
                <w:tcPr>
                  <w:tcW w:w="3040" w:type="dxa"/>
                  <w:vAlign w:val="center"/>
                </w:tcPr>
                <w:p w14:paraId="07A3853E">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性状：无色透明油状液体，微具芳香气味。沸点（ºC,101.3kPa）：340；熔点（ºC）：-35；相对密度（g/mL,20/4ºC）：1.0465；相对蒸汽密度（g/mL,空气=1）：9.6；常温下非常稳定。</w:t>
                  </w:r>
                </w:p>
              </w:tc>
              <w:tc>
                <w:tcPr>
                  <w:tcW w:w="1507" w:type="dxa"/>
                  <w:vAlign w:val="center"/>
                </w:tcPr>
                <w:p w14:paraId="3836AA81">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可燃</w:t>
                  </w:r>
                </w:p>
              </w:tc>
              <w:tc>
                <w:tcPr>
                  <w:tcW w:w="1560" w:type="dxa"/>
                  <w:vAlign w:val="center"/>
                </w:tcPr>
                <w:p w14:paraId="7A2D929D">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LD</w:t>
                  </w:r>
                  <w:r>
                    <w:rPr>
                      <w:rFonts w:hint="default" w:ascii="Times New Roman" w:hAnsi="Times New Roman" w:cs="Times New Roman"/>
                      <w:color w:val="auto"/>
                      <w:sz w:val="21"/>
                      <w:szCs w:val="21"/>
                      <w:highlight w:val="none"/>
                      <w:vertAlign w:val="subscript"/>
                      <w:lang w:val="en-US" w:eastAsia="zh-CN"/>
                    </w:rPr>
                    <w:t>50</w:t>
                  </w:r>
                  <w:r>
                    <w:rPr>
                      <w:rFonts w:hint="default" w:ascii="Times New Roman" w:hAnsi="Times New Roman" w:cs="Times New Roman"/>
                      <w:color w:val="auto"/>
                      <w:sz w:val="21"/>
                      <w:szCs w:val="21"/>
                      <w:highlight w:val="none"/>
                      <w:lang w:val="en-US" w:eastAsia="zh-CN"/>
                    </w:rPr>
                    <w:t>：8000 mg/kg(大鼠经口) LC</w:t>
                  </w:r>
                  <w:r>
                    <w:rPr>
                      <w:rFonts w:hint="default" w:ascii="Times New Roman" w:hAnsi="Times New Roman" w:cs="Times New Roman"/>
                      <w:color w:val="auto"/>
                      <w:sz w:val="21"/>
                      <w:szCs w:val="21"/>
                      <w:highlight w:val="none"/>
                      <w:vertAlign w:val="subscript"/>
                      <w:lang w:val="en-US" w:eastAsia="zh-CN"/>
                    </w:rPr>
                    <w:t>50</w:t>
                  </w:r>
                  <w:r>
                    <w:rPr>
                      <w:rFonts w:hint="default" w:ascii="Times New Roman" w:hAnsi="Times New Roman" w:cs="Times New Roman"/>
                      <w:color w:val="auto"/>
                      <w:sz w:val="21"/>
                      <w:szCs w:val="21"/>
                      <w:highlight w:val="none"/>
                      <w:lang w:val="en-US" w:eastAsia="zh-CN"/>
                    </w:rPr>
                    <w:t>：25mg/L[气溶胶]</w:t>
                  </w:r>
                </w:p>
              </w:tc>
            </w:tr>
            <w:tr w14:paraId="1566E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121" w:type="dxa"/>
                  <w:vAlign w:val="center"/>
                </w:tcPr>
                <w:p w14:paraId="6FA0C8F0">
                  <w:pPr>
                    <w:pStyle w:val="81"/>
                    <w:spacing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氰基丙烯酸乙酯</w:t>
                  </w:r>
                </w:p>
              </w:tc>
              <w:tc>
                <w:tcPr>
                  <w:tcW w:w="1188" w:type="dxa"/>
                  <w:vAlign w:val="center"/>
                </w:tcPr>
                <w:p w14:paraId="13F24B61">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6</w:t>
                  </w: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7</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p>
              </w:tc>
              <w:tc>
                <w:tcPr>
                  <w:tcW w:w="3040" w:type="dxa"/>
                  <w:vAlign w:val="center"/>
                </w:tcPr>
                <w:p w14:paraId="24F10248">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外观与性状:液体</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颜色:无色</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气味</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刺激性的</w:t>
                  </w:r>
                  <w:r>
                    <w:rPr>
                      <w:rFonts w:hint="eastAsia" w:cs="Times New Roman"/>
                      <w:color w:val="auto"/>
                      <w:sz w:val="21"/>
                      <w:szCs w:val="21"/>
                      <w:highlight w:val="none"/>
                      <w:lang w:eastAsia="zh-CN"/>
                    </w:rPr>
                    <w:t>；密度/相对密度：1.040g/cm</w:t>
                  </w:r>
                  <w:r>
                    <w:rPr>
                      <w:rFonts w:hint="eastAsia" w:cs="Times New Roman"/>
                      <w:color w:val="auto"/>
                      <w:sz w:val="21"/>
                      <w:szCs w:val="21"/>
                      <w:highlight w:val="none"/>
                      <w:vertAlign w:val="superscript"/>
                      <w:lang w:eastAsia="zh-CN"/>
                    </w:rPr>
                    <w:t>3</w:t>
                  </w:r>
                  <w:r>
                    <w:rPr>
                      <w:rFonts w:hint="eastAsia" w:cs="Times New Roman"/>
                      <w:color w:val="auto"/>
                      <w:sz w:val="21"/>
                      <w:szCs w:val="21"/>
                      <w:highlight w:val="none"/>
                      <w:vertAlign w:val="baseline"/>
                      <w:lang w:eastAsia="zh-CN"/>
                    </w:rPr>
                    <w:t>；易挥发，俗称</w:t>
                  </w:r>
                  <w:r>
                    <w:rPr>
                      <w:rFonts w:hint="eastAsia" w:cs="Times New Roman"/>
                      <w:color w:val="auto"/>
                      <w:sz w:val="21"/>
                      <w:szCs w:val="21"/>
                      <w:highlight w:val="none"/>
                      <w:vertAlign w:val="baseline"/>
                      <w:lang w:val="en-US" w:eastAsia="zh-CN"/>
                    </w:rPr>
                    <w:t>502胶。</w:t>
                  </w:r>
                </w:p>
              </w:tc>
              <w:tc>
                <w:tcPr>
                  <w:tcW w:w="1507" w:type="dxa"/>
                  <w:vAlign w:val="center"/>
                </w:tcPr>
                <w:p w14:paraId="505DBC8F">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60" w:type="dxa"/>
                  <w:vAlign w:val="center"/>
                </w:tcPr>
                <w:p w14:paraId="487F2A98">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74FC54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121" w:type="dxa"/>
                  <w:vAlign w:val="center"/>
                </w:tcPr>
                <w:p w14:paraId="759682F9">
                  <w:pPr>
                    <w:pStyle w:val="81"/>
                    <w:spacing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对苯二酚</w:t>
                  </w:r>
                </w:p>
              </w:tc>
              <w:tc>
                <w:tcPr>
                  <w:tcW w:w="1188" w:type="dxa"/>
                  <w:vAlign w:val="center"/>
                </w:tcPr>
                <w:p w14:paraId="2B3D3151">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6</w:t>
                  </w: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6</w:t>
                  </w: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2</w:t>
                  </w:r>
                </w:p>
              </w:tc>
              <w:tc>
                <w:tcPr>
                  <w:tcW w:w="3040" w:type="dxa"/>
                  <w:vAlign w:val="center"/>
                </w:tcPr>
                <w:p w14:paraId="72CB694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1.性状：白色结晶</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2.熔点（℃）：170.5</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3.沸点（℃）：285</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相对密度（水=1）：1.33</w:t>
                  </w:r>
                </w:p>
                <w:p w14:paraId="3512E217">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相对蒸气密度（空气=1）：3.81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饱和蒸气压（kPa）：0.13（132.4℃）</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燃烧热（kJ/mol）：-2849.8</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临界温度（℃）：549.9</w:t>
                  </w:r>
                  <w:r>
                    <w:rPr>
                      <w:rFonts w:hint="eastAsia" w:cs="Times New Roman"/>
                      <w:color w:val="auto"/>
                      <w:sz w:val="21"/>
                      <w:szCs w:val="21"/>
                      <w:highlight w:val="none"/>
                      <w:lang w:eastAsia="zh-CN"/>
                    </w:rPr>
                    <w:t>；稳定性：稳定</w:t>
                  </w:r>
                </w:p>
              </w:tc>
              <w:tc>
                <w:tcPr>
                  <w:tcW w:w="1507" w:type="dxa"/>
                  <w:vAlign w:val="center"/>
                </w:tcPr>
                <w:p w14:paraId="487E3A0D">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可燃</w:t>
                  </w:r>
                </w:p>
              </w:tc>
              <w:tc>
                <w:tcPr>
                  <w:tcW w:w="1560" w:type="dxa"/>
                  <w:vAlign w:val="center"/>
                </w:tcPr>
                <w:p w14:paraId="0004D36C">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LD</w:t>
                  </w:r>
                  <w:r>
                    <w:rPr>
                      <w:rFonts w:hint="default" w:ascii="Times New Roman" w:hAnsi="Times New Roman" w:cs="Times New Roman"/>
                      <w:color w:val="auto"/>
                      <w:sz w:val="21"/>
                      <w:szCs w:val="21"/>
                      <w:highlight w:val="none"/>
                      <w:vertAlign w:val="subscript"/>
                      <w:lang w:val="en-US" w:eastAsia="zh-CN"/>
                    </w:rPr>
                    <w:t>50</w:t>
                  </w:r>
                  <w:r>
                    <w:rPr>
                      <w:rFonts w:hint="eastAsia"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lang w:val="en-US" w:eastAsia="zh-CN"/>
                    </w:rPr>
                    <w:t>320mg/kg(大鼠经口)</w:t>
                  </w:r>
                </w:p>
              </w:tc>
            </w:tr>
          </w:tbl>
          <w:p w14:paraId="0C08D265">
            <w:pPr>
              <w:keepNext w:val="0"/>
              <w:keepLines w:val="0"/>
              <w:pageBreakBefore w:val="0"/>
              <w:widowControl w:val="0"/>
              <w:kinsoku/>
              <w:wordWrap/>
              <w:overflowPunct/>
              <w:topLinePunct w:val="0"/>
              <w:bidi w:val="0"/>
              <w:adjustRightInd w:val="0"/>
              <w:snapToGrid w:val="0"/>
              <w:spacing w:line="360" w:lineRule="auto"/>
              <w:jc w:val="left"/>
              <w:textAlignment w:val="auto"/>
              <w:rPr>
                <w:b/>
                <w:bCs/>
                <w:color w:val="auto"/>
                <w:sz w:val="24"/>
                <w:szCs w:val="21"/>
                <w:highlight w:val="none"/>
              </w:rPr>
            </w:pPr>
            <w:r>
              <w:rPr>
                <w:b/>
                <w:bCs/>
                <w:color w:val="auto"/>
                <w:sz w:val="24"/>
                <w:szCs w:val="21"/>
                <w:highlight w:val="none"/>
              </w:rPr>
              <w:t>（三）主要设备</w:t>
            </w:r>
          </w:p>
          <w:p w14:paraId="601E4F4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eastAsiaTheme="minorEastAsia"/>
                <w:color w:val="auto"/>
                <w:kern w:val="0"/>
                <w:sz w:val="24"/>
                <w:highlight w:val="none"/>
              </w:rPr>
            </w:pPr>
            <w:r>
              <w:rPr>
                <w:rFonts w:eastAsiaTheme="minorEastAsia"/>
                <w:color w:val="auto"/>
                <w:kern w:val="0"/>
                <w:sz w:val="24"/>
                <w:szCs w:val="20"/>
                <w:highlight w:val="none"/>
              </w:rPr>
              <w:t>根据建设单位提供的资料，</w:t>
            </w:r>
            <w:r>
              <w:rPr>
                <w:rFonts w:hint="eastAsia" w:eastAsiaTheme="minorEastAsia"/>
                <w:color w:val="auto"/>
                <w:kern w:val="0"/>
                <w:sz w:val="24"/>
                <w:highlight w:val="none"/>
                <w:lang w:val="en-US" w:eastAsia="zh-CN"/>
              </w:rPr>
              <w:t>建设</w:t>
            </w:r>
            <w:r>
              <w:rPr>
                <w:rFonts w:eastAsiaTheme="minorEastAsia"/>
                <w:color w:val="auto"/>
                <w:kern w:val="0"/>
                <w:sz w:val="24"/>
                <w:highlight w:val="none"/>
              </w:rPr>
              <w:t>项目主要设备情况见表2-</w:t>
            </w:r>
            <w:r>
              <w:rPr>
                <w:rFonts w:hint="eastAsia" w:eastAsiaTheme="minorEastAsia"/>
                <w:color w:val="auto"/>
                <w:kern w:val="0"/>
                <w:sz w:val="24"/>
                <w:highlight w:val="none"/>
                <w:lang w:val="en-US" w:eastAsia="zh-CN"/>
              </w:rPr>
              <w:t>5</w:t>
            </w:r>
            <w:r>
              <w:rPr>
                <w:rFonts w:eastAsiaTheme="minorEastAsia"/>
                <w:color w:val="auto"/>
                <w:kern w:val="0"/>
                <w:sz w:val="24"/>
                <w:highlight w:val="none"/>
              </w:rPr>
              <w:t>。</w:t>
            </w:r>
          </w:p>
          <w:p w14:paraId="2406ADF6">
            <w:pPr>
              <w:autoSpaceDE w:val="0"/>
              <w:autoSpaceDN w:val="0"/>
              <w:adjustRightInd w:val="0"/>
              <w:snapToGrid w:val="0"/>
              <w:jc w:val="center"/>
              <w:rPr>
                <w:rFonts w:eastAsiaTheme="minorEastAsia"/>
                <w:b/>
                <w:color w:val="auto"/>
                <w:kern w:val="0"/>
                <w:sz w:val="24"/>
                <w:highlight w:val="none"/>
              </w:rPr>
            </w:pPr>
          </w:p>
          <w:p w14:paraId="5F2CD2A9">
            <w:pPr>
              <w:autoSpaceDE w:val="0"/>
              <w:autoSpaceDN w:val="0"/>
              <w:adjustRightInd w:val="0"/>
              <w:snapToGrid w:val="0"/>
              <w:jc w:val="center"/>
              <w:rPr>
                <w:rFonts w:eastAsiaTheme="minorEastAsia"/>
                <w:b/>
                <w:color w:val="auto"/>
                <w:kern w:val="0"/>
                <w:sz w:val="24"/>
                <w:highlight w:val="none"/>
              </w:rPr>
            </w:pPr>
          </w:p>
          <w:p w14:paraId="6AF016F2">
            <w:pPr>
              <w:autoSpaceDE w:val="0"/>
              <w:autoSpaceDN w:val="0"/>
              <w:adjustRightInd w:val="0"/>
              <w:snapToGrid w:val="0"/>
              <w:jc w:val="center"/>
              <w:rPr>
                <w:rFonts w:eastAsiaTheme="minorEastAsia"/>
                <w:b/>
                <w:color w:val="auto"/>
                <w:kern w:val="0"/>
                <w:sz w:val="24"/>
                <w:highlight w:val="none"/>
              </w:rPr>
            </w:pPr>
            <w:r>
              <w:rPr>
                <w:rFonts w:eastAsiaTheme="minorEastAsia"/>
                <w:b/>
                <w:color w:val="auto"/>
                <w:kern w:val="0"/>
                <w:sz w:val="24"/>
                <w:highlight w:val="none"/>
              </w:rPr>
              <w:t>表2-</w:t>
            </w:r>
            <w:r>
              <w:rPr>
                <w:rFonts w:hint="eastAsia" w:eastAsiaTheme="minorEastAsia"/>
                <w:b/>
                <w:color w:val="auto"/>
                <w:kern w:val="0"/>
                <w:sz w:val="24"/>
                <w:highlight w:val="none"/>
                <w:lang w:val="en-US" w:eastAsia="zh-CN"/>
              </w:rPr>
              <w:t>5</w:t>
            </w:r>
            <w:r>
              <w:rPr>
                <w:rFonts w:eastAsiaTheme="minorEastAsia"/>
                <w:b/>
                <w:color w:val="auto"/>
                <w:kern w:val="0"/>
                <w:sz w:val="24"/>
                <w:highlight w:val="none"/>
              </w:rPr>
              <w:t xml:space="preserve"> </w:t>
            </w:r>
            <w:r>
              <w:rPr>
                <w:rFonts w:hint="eastAsia" w:eastAsiaTheme="minorEastAsia"/>
                <w:b/>
                <w:color w:val="auto"/>
                <w:kern w:val="0"/>
                <w:sz w:val="24"/>
                <w:highlight w:val="none"/>
                <w:lang w:val="en-US" w:eastAsia="zh-CN"/>
              </w:rPr>
              <w:t>建设</w:t>
            </w:r>
            <w:r>
              <w:rPr>
                <w:rFonts w:eastAsiaTheme="minorEastAsia"/>
                <w:b/>
                <w:color w:val="auto"/>
                <w:kern w:val="0"/>
                <w:sz w:val="24"/>
                <w:highlight w:val="none"/>
              </w:rPr>
              <w:t>项目主要设备一览表</w:t>
            </w:r>
          </w:p>
          <w:tbl>
            <w:tblPr>
              <w:tblStyle w:val="3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78"/>
              <w:gridCol w:w="813"/>
              <w:gridCol w:w="1763"/>
              <w:gridCol w:w="2652"/>
              <w:gridCol w:w="1268"/>
              <w:gridCol w:w="820"/>
              <w:gridCol w:w="820"/>
            </w:tblGrid>
            <w:tr w14:paraId="63DAD5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4" w:hRule="atLeast"/>
              </w:trPr>
              <w:tc>
                <w:tcPr>
                  <w:tcW w:w="165" w:type="pct"/>
                  <w:tcBorders>
                    <w:top w:val="single" w:color="auto" w:sz="12" w:space="0"/>
                    <w:bottom w:val="single" w:color="auto" w:sz="12" w:space="0"/>
                  </w:tcBorders>
                  <w:vAlign w:val="center"/>
                </w:tcPr>
                <w:p w14:paraId="07F3BFA3">
                  <w:pPr>
                    <w:widowControl/>
                    <w:adjustRightInd w:val="0"/>
                    <w:snapToGrid w:val="0"/>
                    <w:jc w:val="center"/>
                    <w:outlineLvl w:val="0"/>
                    <w:rPr>
                      <w:rFonts w:eastAsiaTheme="minorEastAsia"/>
                      <w:b/>
                      <w:color w:val="auto"/>
                      <w:kern w:val="0"/>
                      <w:szCs w:val="21"/>
                      <w:highlight w:val="none"/>
                    </w:rPr>
                  </w:pPr>
                  <w:bookmarkStart w:id="9" w:name="_Toc29564"/>
                  <w:r>
                    <w:rPr>
                      <w:rFonts w:eastAsiaTheme="minorEastAsia"/>
                      <w:b/>
                      <w:color w:val="auto"/>
                      <w:kern w:val="0"/>
                      <w:szCs w:val="21"/>
                      <w:highlight w:val="none"/>
                    </w:rPr>
                    <w:t>序号</w:t>
                  </w:r>
                  <w:bookmarkEnd w:id="9"/>
                </w:p>
              </w:tc>
              <w:tc>
                <w:tcPr>
                  <w:tcW w:w="483" w:type="pct"/>
                  <w:tcBorders>
                    <w:top w:val="single" w:color="auto" w:sz="12" w:space="0"/>
                    <w:bottom w:val="single" w:color="auto" w:sz="12" w:space="0"/>
                  </w:tcBorders>
                  <w:vAlign w:val="center"/>
                </w:tcPr>
                <w:p w14:paraId="7D1FE724">
                  <w:pPr>
                    <w:widowControl/>
                    <w:adjustRightInd w:val="0"/>
                    <w:snapToGrid w:val="0"/>
                    <w:spacing w:line="240" w:lineRule="exact"/>
                    <w:jc w:val="center"/>
                    <w:outlineLvl w:val="0"/>
                    <w:rPr>
                      <w:rFonts w:eastAsiaTheme="minorEastAsia"/>
                      <w:b/>
                      <w:color w:val="auto"/>
                      <w:kern w:val="0"/>
                      <w:szCs w:val="21"/>
                      <w:highlight w:val="none"/>
                    </w:rPr>
                  </w:pPr>
                  <w:bookmarkStart w:id="10" w:name="_Toc18634"/>
                  <w:r>
                    <w:rPr>
                      <w:rFonts w:eastAsiaTheme="minorEastAsia"/>
                      <w:b/>
                      <w:color w:val="auto"/>
                      <w:kern w:val="0"/>
                      <w:szCs w:val="21"/>
                      <w:highlight w:val="none"/>
                    </w:rPr>
                    <w:t>厂房</w:t>
                  </w:r>
                </w:p>
              </w:tc>
              <w:tc>
                <w:tcPr>
                  <w:tcW w:w="1047" w:type="pct"/>
                  <w:tcBorders>
                    <w:top w:val="single" w:color="auto" w:sz="12" w:space="0"/>
                    <w:bottom w:val="single" w:color="auto" w:sz="12" w:space="0"/>
                  </w:tcBorders>
                  <w:vAlign w:val="center"/>
                </w:tcPr>
                <w:p w14:paraId="6F0F2A4C">
                  <w:pPr>
                    <w:widowControl/>
                    <w:adjustRightInd w:val="0"/>
                    <w:snapToGrid w:val="0"/>
                    <w:spacing w:line="240" w:lineRule="exact"/>
                    <w:jc w:val="center"/>
                    <w:outlineLvl w:val="0"/>
                    <w:rPr>
                      <w:rFonts w:eastAsiaTheme="minorEastAsia"/>
                      <w:b/>
                      <w:color w:val="auto"/>
                      <w:kern w:val="0"/>
                      <w:szCs w:val="21"/>
                      <w:highlight w:val="none"/>
                    </w:rPr>
                  </w:pPr>
                  <w:r>
                    <w:rPr>
                      <w:rFonts w:eastAsiaTheme="minorEastAsia"/>
                      <w:b/>
                      <w:color w:val="auto"/>
                      <w:kern w:val="0"/>
                      <w:szCs w:val="21"/>
                      <w:highlight w:val="none"/>
                    </w:rPr>
                    <w:t>设备名称</w:t>
                  </w:r>
                  <w:bookmarkEnd w:id="10"/>
                </w:p>
              </w:tc>
              <w:tc>
                <w:tcPr>
                  <w:tcW w:w="1575" w:type="pct"/>
                  <w:tcBorders>
                    <w:top w:val="single" w:color="auto" w:sz="12" w:space="0"/>
                    <w:bottom w:val="single" w:color="auto" w:sz="12" w:space="0"/>
                  </w:tcBorders>
                  <w:vAlign w:val="center"/>
                </w:tcPr>
                <w:p w14:paraId="45C990DA">
                  <w:pPr>
                    <w:widowControl/>
                    <w:adjustRightInd w:val="0"/>
                    <w:snapToGrid w:val="0"/>
                    <w:jc w:val="center"/>
                    <w:rPr>
                      <w:rFonts w:eastAsiaTheme="minorEastAsia"/>
                      <w:b/>
                      <w:color w:val="auto"/>
                      <w:kern w:val="0"/>
                      <w:szCs w:val="21"/>
                      <w:highlight w:val="none"/>
                    </w:rPr>
                  </w:pPr>
                  <w:r>
                    <w:rPr>
                      <w:rFonts w:eastAsiaTheme="minorEastAsia"/>
                      <w:b/>
                      <w:color w:val="auto"/>
                      <w:kern w:val="0"/>
                      <w:szCs w:val="21"/>
                      <w:highlight w:val="none"/>
                    </w:rPr>
                    <w:t>规格/型号</w:t>
                  </w:r>
                </w:p>
              </w:tc>
              <w:tc>
                <w:tcPr>
                  <w:tcW w:w="753" w:type="pct"/>
                  <w:tcBorders>
                    <w:top w:val="single" w:color="auto" w:sz="12" w:space="0"/>
                    <w:bottom w:val="single" w:color="auto" w:sz="12" w:space="0"/>
                  </w:tcBorders>
                  <w:vAlign w:val="center"/>
                </w:tcPr>
                <w:p w14:paraId="02AABE6D">
                  <w:pPr>
                    <w:widowControl/>
                    <w:adjustRightInd w:val="0"/>
                    <w:snapToGrid w:val="0"/>
                    <w:jc w:val="center"/>
                    <w:rPr>
                      <w:rFonts w:hint="default" w:eastAsiaTheme="minorEastAsia"/>
                      <w:b/>
                      <w:color w:val="auto"/>
                      <w:kern w:val="0"/>
                      <w:szCs w:val="21"/>
                      <w:highlight w:val="none"/>
                      <w:lang w:val="en-US" w:eastAsia="zh-CN"/>
                    </w:rPr>
                  </w:pPr>
                  <w:r>
                    <w:rPr>
                      <w:rFonts w:hint="eastAsia" w:eastAsiaTheme="minorEastAsia"/>
                      <w:b/>
                      <w:color w:val="auto"/>
                      <w:kern w:val="0"/>
                      <w:szCs w:val="21"/>
                      <w:highlight w:val="none"/>
                      <w:lang w:eastAsia="zh-CN"/>
                    </w:rPr>
                    <w:t>数量</w:t>
                  </w:r>
                  <w:r>
                    <w:rPr>
                      <w:rFonts w:hint="eastAsia" w:eastAsiaTheme="minorEastAsia"/>
                      <w:b/>
                      <w:color w:val="auto"/>
                      <w:kern w:val="0"/>
                      <w:szCs w:val="21"/>
                      <w:highlight w:val="none"/>
                      <w:lang w:val="en-US" w:eastAsia="zh-CN"/>
                    </w:rPr>
                    <w:t>/台套</w:t>
                  </w:r>
                </w:p>
              </w:tc>
              <w:tc>
                <w:tcPr>
                  <w:tcW w:w="487" w:type="pct"/>
                  <w:tcBorders>
                    <w:top w:val="single" w:color="auto" w:sz="12" w:space="0"/>
                    <w:bottom w:val="single" w:color="auto" w:sz="12" w:space="0"/>
                  </w:tcBorders>
                  <w:vAlign w:val="center"/>
                </w:tcPr>
                <w:p w14:paraId="6866C150">
                  <w:pPr>
                    <w:adjustRightInd w:val="0"/>
                    <w:snapToGrid w:val="0"/>
                    <w:jc w:val="center"/>
                    <w:rPr>
                      <w:rFonts w:hint="eastAsia" w:eastAsiaTheme="minorEastAsia"/>
                      <w:b/>
                      <w:color w:val="auto"/>
                      <w:kern w:val="0"/>
                      <w:szCs w:val="21"/>
                      <w:highlight w:val="none"/>
                      <w:lang w:eastAsia="zh-CN"/>
                    </w:rPr>
                  </w:pPr>
                  <w:r>
                    <w:rPr>
                      <w:rFonts w:hint="eastAsia" w:eastAsiaTheme="minorEastAsia"/>
                      <w:b/>
                      <w:color w:val="auto"/>
                      <w:kern w:val="0"/>
                      <w:szCs w:val="21"/>
                      <w:highlight w:val="none"/>
                      <w:lang w:eastAsia="zh-CN"/>
                    </w:rPr>
                    <w:t>所用工序</w:t>
                  </w:r>
                </w:p>
              </w:tc>
              <w:tc>
                <w:tcPr>
                  <w:tcW w:w="487" w:type="pct"/>
                  <w:tcBorders>
                    <w:top w:val="single" w:color="auto" w:sz="12" w:space="0"/>
                    <w:bottom w:val="single" w:color="auto" w:sz="12" w:space="0"/>
                  </w:tcBorders>
                  <w:shd w:val="clear" w:color="auto" w:fill="auto"/>
                  <w:vAlign w:val="center"/>
                </w:tcPr>
                <w:p w14:paraId="18AC6F75">
                  <w:pPr>
                    <w:adjustRightInd w:val="0"/>
                    <w:snapToGrid w:val="0"/>
                    <w:jc w:val="center"/>
                    <w:rPr>
                      <w:rFonts w:hint="eastAsia" w:ascii="Times New Roman" w:hAnsi="Times New Roman" w:cs="Times New Roman" w:eastAsiaTheme="minorEastAsia"/>
                      <w:b/>
                      <w:color w:val="00B050"/>
                      <w:kern w:val="0"/>
                      <w:sz w:val="21"/>
                      <w:szCs w:val="21"/>
                      <w:lang w:val="en-US" w:eastAsia="zh-CN" w:bidi="ar-SA"/>
                    </w:rPr>
                  </w:pPr>
                  <w:r>
                    <w:rPr>
                      <w:rFonts w:hint="eastAsia" w:cs="Times New Roman" w:eastAsiaTheme="minorEastAsia"/>
                      <w:b/>
                      <w:color w:val="00B050"/>
                      <w:kern w:val="0"/>
                      <w:szCs w:val="21"/>
                      <w:lang w:val="en-US" w:eastAsia="zh-CN"/>
                    </w:rPr>
                    <w:t>备注</w:t>
                  </w:r>
                  <w:r>
                    <w:commentReference w:id="8"/>
                  </w:r>
                </w:p>
              </w:tc>
            </w:tr>
            <w:tr w14:paraId="7A311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8" w:hRule="atLeast"/>
              </w:trPr>
              <w:tc>
                <w:tcPr>
                  <w:tcW w:w="165" w:type="pct"/>
                  <w:tcBorders>
                    <w:top w:val="single" w:color="auto" w:sz="12" w:space="0"/>
                  </w:tcBorders>
                  <w:vAlign w:val="center"/>
                </w:tcPr>
                <w:p w14:paraId="26B13B7E">
                  <w:pPr>
                    <w:pStyle w:val="81"/>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483" w:type="pct"/>
                  <w:vMerge w:val="restart"/>
                  <w:tcBorders>
                    <w:top w:val="single" w:color="auto" w:sz="12" w:space="0"/>
                  </w:tcBorders>
                  <w:vAlign w:val="center"/>
                </w:tcPr>
                <w:p w14:paraId="4BD610EB">
                  <w:pPr>
                    <w:pStyle w:val="81"/>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生产车间</w:t>
                  </w:r>
                </w:p>
              </w:tc>
              <w:tc>
                <w:tcPr>
                  <w:tcW w:w="1047" w:type="pct"/>
                  <w:tcBorders>
                    <w:top w:val="single" w:color="auto" w:sz="12" w:space="0"/>
                  </w:tcBorders>
                  <w:vAlign w:val="center"/>
                </w:tcPr>
                <w:p w14:paraId="2D01C733">
                  <w:pPr>
                    <w:pStyle w:val="8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二次元</w:t>
                  </w:r>
                </w:p>
              </w:tc>
              <w:tc>
                <w:tcPr>
                  <w:tcW w:w="1575" w:type="pct"/>
                  <w:tcBorders>
                    <w:top w:val="single" w:color="auto" w:sz="12" w:space="0"/>
                  </w:tcBorders>
                  <w:vAlign w:val="center"/>
                </w:tcPr>
                <w:p w14:paraId="0D213097">
                  <w:pPr>
                    <w:pStyle w:val="8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宏城VMS-1030</w:t>
                  </w:r>
                </w:p>
              </w:tc>
              <w:tc>
                <w:tcPr>
                  <w:tcW w:w="753" w:type="pct"/>
                  <w:tcBorders>
                    <w:top w:val="single" w:color="auto" w:sz="12" w:space="0"/>
                  </w:tcBorders>
                  <w:vAlign w:val="center"/>
                </w:tcPr>
                <w:p w14:paraId="141981C2">
                  <w:pPr>
                    <w:pStyle w:val="8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487" w:type="pct"/>
                  <w:vMerge w:val="restart"/>
                  <w:tcBorders>
                    <w:top w:val="single" w:color="auto" w:sz="12" w:space="0"/>
                  </w:tcBorders>
                  <w:vAlign w:val="center"/>
                </w:tcPr>
                <w:p w14:paraId="581A6FDC">
                  <w:pPr>
                    <w:adjustRightInd w:val="0"/>
                    <w:snapToGrid w:val="0"/>
                    <w:jc w:val="center"/>
                    <w:rPr>
                      <w:rFonts w:eastAsiaTheme="minorEastAsia"/>
                      <w:color w:val="auto"/>
                      <w:kern w:val="0"/>
                      <w:szCs w:val="21"/>
                      <w:highlight w:val="none"/>
                    </w:rPr>
                  </w:pPr>
                  <w:r>
                    <w:rPr>
                      <w:rFonts w:hint="eastAsia"/>
                      <w:color w:val="auto"/>
                      <w:szCs w:val="21"/>
                      <w:highlight w:val="none"/>
                      <w:lang w:val="en-US" w:eastAsia="zh-CN"/>
                    </w:rPr>
                    <w:t>检验工序</w:t>
                  </w:r>
                </w:p>
              </w:tc>
              <w:tc>
                <w:tcPr>
                  <w:tcW w:w="487" w:type="pct"/>
                  <w:vMerge w:val="restart"/>
                  <w:tcBorders>
                    <w:top w:val="single" w:color="auto" w:sz="12" w:space="0"/>
                  </w:tcBorders>
                  <w:shd w:val="clear" w:color="auto" w:fill="auto"/>
                  <w:vAlign w:val="center"/>
                </w:tcPr>
                <w:p w14:paraId="263D0D68">
                  <w:pPr>
                    <w:adjustRightInd w:val="0"/>
                    <w:snapToGrid w:val="0"/>
                    <w:jc w:val="center"/>
                    <w:rPr>
                      <w:rFonts w:hint="eastAsia" w:ascii="Times New Roman" w:hAnsi="Times New Roman" w:eastAsia="宋体" w:cs="Times New Roman"/>
                      <w:color w:val="00B050"/>
                      <w:kern w:val="2"/>
                      <w:sz w:val="21"/>
                      <w:szCs w:val="21"/>
                      <w:lang w:val="en-US" w:eastAsia="zh-CN" w:bidi="ar-SA"/>
                    </w:rPr>
                  </w:pPr>
                  <w:r>
                    <w:rPr>
                      <w:rFonts w:hint="eastAsia" w:cs="Times New Roman"/>
                      <w:color w:val="00B050"/>
                      <w:szCs w:val="21"/>
                      <w:lang w:val="en-US" w:eastAsia="zh-CN"/>
                    </w:rPr>
                    <w:t>现状设备已入场，但并未使用进行生产</w:t>
                  </w:r>
                </w:p>
              </w:tc>
            </w:tr>
            <w:tr w14:paraId="5C257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8" w:hRule="atLeast"/>
              </w:trPr>
              <w:tc>
                <w:tcPr>
                  <w:tcW w:w="165" w:type="pct"/>
                  <w:vAlign w:val="center"/>
                </w:tcPr>
                <w:p w14:paraId="2156CA62">
                  <w:pPr>
                    <w:pStyle w:val="81"/>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483" w:type="pct"/>
                  <w:vMerge w:val="continue"/>
                  <w:vAlign w:val="center"/>
                </w:tcPr>
                <w:p w14:paraId="2C6F2723">
                  <w:pPr>
                    <w:pStyle w:val="81"/>
                    <w:spacing w:line="240" w:lineRule="auto"/>
                    <w:jc w:val="center"/>
                    <w:rPr>
                      <w:rFonts w:hint="default" w:ascii="Times New Roman" w:hAnsi="Times New Roman" w:cs="Times New Roman"/>
                      <w:color w:val="auto"/>
                      <w:sz w:val="21"/>
                      <w:szCs w:val="21"/>
                      <w:highlight w:val="none"/>
                      <w:lang w:val="en-US" w:eastAsia="zh-CN"/>
                    </w:rPr>
                  </w:pPr>
                </w:p>
              </w:tc>
              <w:tc>
                <w:tcPr>
                  <w:tcW w:w="1047" w:type="pct"/>
                  <w:vAlign w:val="center"/>
                </w:tcPr>
                <w:p w14:paraId="117ABDD5">
                  <w:pPr>
                    <w:pStyle w:val="8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低温试验箱</w:t>
                  </w:r>
                </w:p>
              </w:tc>
              <w:tc>
                <w:tcPr>
                  <w:tcW w:w="1575" w:type="pct"/>
                  <w:vAlign w:val="center"/>
                </w:tcPr>
                <w:p w14:paraId="568A7A4F">
                  <w:pPr>
                    <w:pStyle w:val="8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沧州华屹</w:t>
                  </w:r>
                </w:p>
              </w:tc>
              <w:tc>
                <w:tcPr>
                  <w:tcW w:w="753" w:type="pct"/>
                  <w:tcBorders>
                    <w:top w:val="single" w:color="auto" w:sz="4" w:space="0"/>
                  </w:tcBorders>
                  <w:vAlign w:val="center"/>
                </w:tcPr>
                <w:p w14:paraId="4CD2F186">
                  <w:pPr>
                    <w:pStyle w:val="8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487" w:type="pct"/>
                  <w:vMerge w:val="continue"/>
                  <w:vAlign w:val="center"/>
                </w:tcPr>
                <w:p w14:paraId="70A01596">
                  <w:pPr>
                    <w:adjustRightInd w:val="0"/>
                    <w:snapToGrid w:val="0"/>
                    <w:jc w:val="center"/>
                    <w:rPr>
                      <w:rFonts w:hint="default"/>
                      <w:color w:val="auto"/>
                      <w:szCs w:val="21"/>
                      <w:highlight w:val="none"/>
                      <w:lang w:val="en-US"/>
                    </w:rPr>
                  </w:pPr>
                </w:p>
              </w:tc>
              <w:tc>
                <w:tcPr>
                  <w:tcW w:w="487" w:type="pct"/>
                  <w:vMerge w:val="continue"/>
                  <w:vAlign w:val="center"/>
                </w:tcPr>
                <w:p w14:paraId="71CFEDFC">
                  <w:pPr>
                    <w:adjustRightInd w:val="0"/>
                    <w:snapToGrid w:val="0"/>
                    <w:jc w:val="center"/>
                    <w:rPr>
                      <w:rFonts w:hint="default"/>
                      <w:color w:val="auto"/>
                      <w:szCs w:val="21"/>
                      <w:highlight w:val="none"/>
                      <w:lang w:val="en-US"/>
                    </w:rPr>
                  </w:pPr>
                </w:p>
              </w:tc>
            </w:tr>
            <w:tr w14:paraId="182510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2" w:hRule="atLeast"/>
              </w:trPr>
              <w:tc>
                <w:tcPr>
                  <w:tcW w:w="165" w:type="pct"/>
                  <w:vAlign w:val="center"/>
                </w:tcPr>
                <w:p w14:paraId="235F56A1">
                  <w:pPr>
                    <w:pStyle w:val="81"/>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483" w:type="pct"/>
                  <w:vMerge w:val="continue"/>
                  <w:vAlign w:val="center"/>
                </w:tcPr>
                <w:p w14:paraId="7B0127BC">
                  <w:pPr>
                    <w:pStyle w:val="81"/>
                    <w:spacing w:line="240" w:lineRule="auto"/>
                    <w:jc w:val="center"/>
                    <w:rPr>
                      <w:rFonts w:hint="default" w:ascii="Times New Roman" w:hAnsi="Times New Roman" w:cs="Times New Roman"/>
                      <w:color w:val="auto"/>
                      <w:sz w:val="21"/>
                      <w:szCs w:val="21"/>
                      <w:highlight w:val="none"/>
                      <w:lang w:val="en-US" w:eastAsia="zh-CN"/>
                    </w:rPr>
                  </w:pPr>
                </w:p>
              </w:tc>
              <w:tc>
                <w:tcPr>
                  <w:tcW w:w="1047" w:type="pct"/>
                  <w:vAlign w:val="center"/>
                </w:tcPr>
                <w:p w14:paraId="0D4EE13E">
                  <w:pPr>
                    <w:pStyle w:val="8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分光光度计</w:t>
                  </w:r>
                </w:p>
              </w:tc>
              <w:tc>
                <w:tcPr>
                  <w:tcW w:w="1575" w:type="pct"/>
                  <w:vAlign w:val="center"/>
                </w:tcPr>
                <w:p w14:paraId="6EE972CB">
                  <w:pPr>
                    <w:pStyle w:val="81"/>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岛津UV3600</w:t>
                  </w:r>
                </w:p>
              </w:tc>
              <w:tc>
                <w:tcPr>
                  <w:tcW w:w="753" w:type="pct"/>
                  <w:tcBorders>
                    <w:top w:val="single" w:color="auto" w:sz="4" w:space="0"/>
                  </w:tcBorders>
                  <w:vAlign w:val="center"/>
                </w:tcPr>
                <w:p w14:paraId="6E830A96">
                  <w:pPr>
                    <w:pStyle w:val="8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487" w:type="pct"/>
                  <w:vMerge w:val="continue"/>
                  <w:vAlign w:val="center"/>
                </w:tcPr>
                <w:p w14:paraId="5D67D041">
                  <w:pPr>
                    <w:adjustRightInd w:val="0"/>
                    <w:snapToGrid w:val="0"/>
                    <w:jc w:val="center"/>
                    <w:rPr>
                      <w:rFonts w:hint="eastAsia" w:eastAsia="宋体"/>
                      <w:color w:val="auto"/>
                      <w:szCs w:val="21"/>
                      <w:highlight w:val="none"/>
                      <w:lang w:val="en-US" w:eastAsia="zh-CN"/>
                    </w:rPr>
                  </w:pPr>
                </w:p>
              </w:tc>
              <w:tc>
                <w:tcPr>
                  <w:tcW w:w="487" w:type="pct"/>
                  <w:vMerge w:val="continue"/>
                  <w:vAlign w:val="center"/>
                </w:tcPr>
                <w:p w14:paraId="7C2F6E92">
                  <w:pPr>
                    <w:adjustRightInd w:val="0"/>
                    <w:snapToGrid w:val="0"/>
                    <w:jc w:val="center"/>
                    <w:rPr>
                      <w:rFonts w:hint="eastAsia" w:eastAsia="宋体"/>
                      <w:color w:val="auto"/>
                      <w:szCs w:val="21"/>
                      <w:highlight w:val="none"/>
                      <w:lang w:val="en-US" w:eastAsia="zh-CN"/>
                    </w:rPr>
                  </w:pPr>
                </w:p>
              </w:tc>
            </w:tr>
            <w:tr w14:paraId="3B8F3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5" w:type="pct"/>
                  <w:vAlign w:val="center"/>
                </w:tcPr>
                <w:p w14:paraId="70F6845F">
                  <w:pPr>
                    <w:pStyle w:val="81"/>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483" w:type="pct"/>
                  <w:vMerge w:val="continue"/>
                  <w:vAlign w:val="center"/>
                </w:tcPr>
                <w:p w14:paraId="3F96E1C6">
                  <w:pPr>
                    <w:pStyle w:val="81"/>
                    <w:spacing w:line="240" w:lineRule="auto"/>
                    <w:jc w:val="center"/>
                    <w:rPr>
                      <w:rFonts w:hint="default" w:ascii="Times New Roman" w:hAnsi="Times New Roman" w:cs="Times New Roman"/>
                      <w:color w:val="auto"/>
                      <w:sz w:val="21"/>
                      <w:szCs w:val="21"/>
                      <w:highlight w:val="none"/>
                      <w:lang w:val="en-US" w:eastAsia="zh-CN"/>
                    </w:rPr>
                  </w:pPr>
                </w:p>
              </w:tc>
              <w:tc>
                <w:tcPr>
                  <w:tcW w:w="1047" w:type="pct"/>
                  <w:vAlign w:val="center"/>
                </w:tcPr>
                <w:p w14:paraId="29A53B56">
                  <w:pPr>
                    <w:pStyle w:val="8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干涉仪</w:t>
                  </w:r>
                </w:p>
              </w:tc>
              <w:tc>
                <w:tcPr>
                  <w:tcW w:w="1575" w:type="pct"/>
                  <w:vAlign w:val="center"/>
                </w:tcPr>
                <w:p w14:paraId="1A9B8360">
                  <w:pPr>
                    <w:pStyle w:val="8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ZYGO</w:t>
                  </w:r>
                </w:p>
              </w:tc>
              <w:tc>
                <w:tcPr>
                  <w:tcW w:w="753" w:type="pct"/>
                  <w:vAlign w:val="center"/>
                </w:tcPr>
                <w:p w14:paraId="1A68CAD0">
                  <w:pPr>
                    <w:pStyle w:val="8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487" w:type="pct"/>
                  <w:vMerge w:val="continue"/>
                  <w:vAlign w:val="center"/>
                </w:tcPr>
                <w:p w14:paraId="7E3CF0D2">
                  <w:pPr>
                    <w:adjustRightInd w:val="0"/>
                    <w:snapToGrid w:val="0"/>
                    <w:jc w:val="center"/>
                    <w:rPr>
                      <w:rFonts w:hint="default" w:eastAsiaTheme="minorEastAsia"/>
                      <w:color w:val="auto"/>
                      <w:kern w:val="0"/>
                      <w:szCs w:val="21"/>
                      <w:highlight w:val="none"/>
                      <w:lang w:val="en-US"/>
                    </w:rPr>
                  </w:pPr>
                </w:p>
              </w:tc>
              <w:tc>
                <w:tcPr>
                  <w:tcW w:w="487" w:type="pct"/>
                  <w:vMerge w:val="continue"/>
                  <w:vAlign w:val="center"/>
                </w:tcPr>
                <w:p w14:paraId="61F602BE">
                  <w:pPr>
                    <w:adjustRightInd w:val="0"/>
                    <w:snapToGrid w:val="0"/>
                    <w:jc w:val="center"/>
                    <w:rPr>
                      <w:rFonts w:hint="default" w:eastAsiaTheme="minorEastAsia"/>
                      <w:color w:val="auto"/>
                      <w:kern w:val="0"/>
                      <w:szCs w:val="21"/>
                      <w:highlight w:val="none"/>
                      <w:lang w:val="en-US"/>
                    </w:rPr>
                  </w:pPr>
                </w:p>
              </w:tc>
            </w:tr>
            <w:tr w14:paraId="4BE4D0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5" w:type="pct"/>
                  <w:vAlign w:val="center"/>
                </w:tcPr>
                <w:p w14:paraId="7FB842D5">
                  <w:pPr>
                    <w:pStyle w:val="81"/>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483" w:type="pct"/>
                  <w:vMerge w:val="continue"/>
                  <w:vAlign w:val="center"/>
                </w:tcPr>
                <w:p w14:paraId="51B7A0FE">
                  <w:pPr>
                    <w:pStyle w:val="81"/>
                    <w:spacing w:line="240" w:lineRule="auto"/>
                    <w:jc w:val="center"/>
                    <w:rPr>
                      <w:rFonts w:hint="default" w:ascii="Times New Roman" w:hAnsi="Times New Roman" w:cs="Times New Roman"/>
                      <w:color w:val="auto"/>
                      <w:sz w:val="21"/>
                      <w:szCs w:val="21"/>
                      <w:highlight w:val="none"/>
                      <w:lang w:val="en-US" w:eastAsia="zh-CN"/>
                    </w:rPr>
                  </w:pPr>
                </w:p>
              </w:tc>
              <w:tc>
                <w:tcPr>
                  <w:tcW w:w="1047" w:type="pct"/>
                  <w:vAlign w:val="center"/>
                </w:tcPr>
                <w:p w14:paraId="4C25FE98">
                  <w:pPr>
                    <w:pStyle w:val="8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偏心仪</w:t>
                  </w:r>
                </w:p>
              </w:tc>
              <w:tc>
                <w:tcPr>
                  <w:tcW w:w="1575" w:type="pct"/>
                  <w:vAlign w:val="center"/>
                </w:tcPr>
                <w:p w14:paraId="10224359">
                  <w:pPr>
                    <w:pStyle w:val="81"/>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义辉 CLT-1</w:t>
                  </w:r>
                </w:p>
              </w:tc>
              <w:tc>
                <w:tcPr>
                  <w:tcW w:w="753" w:type="pct"/>
                  <w:vAlign w:val="center"/>
                </w:tcPr>
                <w:p w14:paraId="6D7209F5">
                  <w:pPr>
                    <w:pStyle w:val="8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487" w:type="pct"/>
                  <w:vMerge w:val="continue"/>
                  <w:vAlign w:val="center"/>
                </w:tcPr>
                <w:p w14:paraId="41B6981E">
                  <w:pPr>
                    <w:adjustRightInd w:val="0"/>
                    <w:snapToGrid w:val="0"/>
                    <w:jc w:val="center"/>
                    <w:rPr>
                      <w:rFonts w:hint="default" w:eastAsiaTheme="minorEastAsia"/>
                      <w:color w:val="auto"/>
                      <w:kern w:val="0"/>
                      <w:szCs w:val="21"/>
                      <w:highlight w:val="none"/>
                      <w:lang w:val="en-US"/>
                    </w:rPr>
                  </w:pPr>
                </w:p>
              </w:tc>
              <w:tc>
                <w:tcPr>
                  <w:tcW w:w="487" w:type="pct"/>
                  <w:vMerge w:val="continue"/>
                  <w:vAlign w:val="center"/>
                </w:tcPr>
                <w:p w14:paraId="5D8F070F">
                  <w:pPr>
                    <w:adjustRightInd w:val="0"/>
                    <w:snapToGrid w:val="0"/>
                    <w:jc w:val="center"/>
                    <w:rPr>
                      <w:rFonts w:hint="default" w:eastAsiaTheme="minorEastAsia"/>
                      <w:color w:val="auto"/>
                      <w:kern w:val="0"/>
                      <w:szCs w:val="21"/>
                      <w:highlight w:val="none"/>
                      <w:lang w:val="en-US"/>
                    </w:rPr>
                  </w:pPr>
                </w:p>
              </w:tc>
            </w:tr>
            <w:tr w14:paraId="089DC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5" w:type="pct"/>
                  <w:vAlign w:val="center"/>
                </w:tcPr>
                <w:p w14:paraId="043CCB66">
                  <w:pPr>
                    <w:pStyle w:val="81"/>
                    <w:spacing w:line="240" w:lineRule="auto"/>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w:t>
                  </w:r>
                </w:p>
              </w:tc>
              <w:tc>
                <w:tcPr>
                  <w:tcW w:w="483" w:type="pct"/>
                  <w:vMerge w:val="continue"/>
                  <w:vAlign w:val="center"/>
                </w:tcPr>
                <w:p w14:paraId="40E2A106">
                  <w:pPr>
                    <w:pStyle w:val="81"/>
                    <w:spacing w:line="240" w:lineRule="auto"/>
                    <w:jc w:val="center"/>
                    <w:rPr>
                      <w:rFonts w:hint="default" w:ascii="Times New Roman" w:hAnsi="Times New Roman" w:cs="Times New Roman"/>
                      <w:color w:val="auto"/>
                      <w:sz w:val="21"/>
                      <w:szCs w:val="21"/>
                      <w:highlight w:val="none"/>
                      <w:lang w:val="en-US" w:eastAsia="zh-CN"/>
                    </w:rPr>
                  </w:pPr>
                </w:p>
              </w:tc>
              <w:tc>
                <w:tcPr>
                  <w:tcW w:w="1047" w:type="pct"/>
                  <w:vAlign w:val="center"/>
                </w:tcPr>
                <w:p w14:paraId="66A40443">
                  <w:pPr>
                    <w:pStyle w:val="81"/>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测角度</w:t>
                  </w:r>
                </w:p>
              </w:tc>
              <w:tc>
                <w:tcPr>
                  <w:tcW w:w="1575" w:type="pct"/>
                  <w:vAlign w:val="center"/>
                </w:tcPr>
                <w:p w14:paraId="0366A31D">
                  <w:pPr>
                    <w:pStyle w:val="8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阿贝式45型测角仪</w:t>
                  </w:r>
                </w:p>
              </w:tc>
              <w:tc>
                <w:tcPr>
                  <w:tcW w:w="753" w:type="pct"/>
                  <w:vAlign w:val="center"/>
                </w:tcPr>
                <w:p w14:paraId="394DAF83">
                  <w:pPr>
                    <w:pStyle w:val="81"/>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487" w:type="pct"/>
                  <w:vMerge w:val="continue"/>
                  <w:vAlign w:val="center"/>
                </w:tcPr>
                <w:p w14:paraId="27AE7CF9">
                  <w:pPr>
                    <w:adjustRightInd w:val="0"/>
                    <w:snapToGrid w:val="0"/>
                    <w:jc w:val="center"/>
                    <w:rPr>
                      <w:rFonts w:hint="eastAsia" w:eastAsiaTheme="minorEastAsia"/>
                      <w:color w:val="auto"/>
                      <w:kern w:val="0"/>
                      <w:szCs w:val="21"/>
                      <w:highlight w:val="none"/>
                      <w:lang w:val="en-US" w:eastAsia="zh-CN"/>
                    </w:rPr>
                  </w:pPr>
                </w:p>
              </w:tc>
              <w:tc>
                <w:tcPr>
                  <w:tcW w:w="487" w:type="pct"/>
                  <w:vMerge w:val="continue"/>
                  <w:vAlign w:val="center"/>
                </w:tcPr>
                <w:p w14:paraId="4B307ABA">
                  <w:pPr>
                    <w:adjustRightInd w:val="0"/>
                    <w:snapToGrid w:val="0"/>
                    <w:jc w:val="center"/>
                    <w:rPr>
                      <w:rFonts w:hint="eastAsia" w:eastAsiaTheme="minorEastAsia"/>
                      <w:color w:val="auto"/>
                      <w:kern w:val="0"/>
                      <w:szCs w:val="21"/>
                      <w:highlight w:val="none"/>
                      <w:lang w:val="en-US" w:eastAsia="zh-CN"/>
                    </w:rPr>
                  </w:pPr>
                </w:p>
              </w:tc>
            </w:tr>
            <w:tr w14:paraId="509A75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5" w:type="pct"/>
                  <w:vAlign w:val="center"/>
                </w:tcPr>
                <w:p w14:paraId="0ACF866A">
                  <w:pPr>
                    <w:pStyle w:val="81"/>
                    <w:spacing w:line="240" w:lineRule="auto"/>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w:t>
                  </w:r>
                </w:p>
              </w:tc>
              <w:tc>
                <w:tcPr>
                  <w:tcW w:w="483" w:type="pct"/>
                  <w:vMerge w:val="continue"/>
                  <w:vAlign w:val="center"/>
                </w:tcPr>
                <w:p w14:paraId="7C73430F">
                  <w:pPr>
                    <w:pStyle w:val="81"/>
                    <w:spacing w:line="240" w:lineRule="auto"/>
                    <w:jc w:val="center"/>
                    <w:rPr>
                      <w:rFonts w:hint="default" w:ascii="Times New Roman" w:hAnsi="Times New Roman" w:cs="Times New Roman"/>
                      <w:color w:val="auto"/>
                      <w:sz w:val="21"/>
                      <w:szCs w:val="21"/>
                      <w:highlight w:val="none"/>
                      <w:lang w:val="en-US" w:eastAsia="zh-CN"/>
                    </w:rPr>
                  </w:pPr>
                </w:p>
              </w:tc>
              <w:tc>
                <w:tcPr>
                  <w:tcW w:w="1047" w:type="pct"/>
                  <w:vAlign w:val="center"/>
                </w:tcPr>
                <w:p w14:paraId="472CB896">
                  <w:pPr>
                    <w:pStyle w:val="81"/>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显微镜</w:t>
                  </w:r>
                </w:p>
              </w:tc>
              <w:tc>
                <w:tcPr>
                  <w:tcW w:w="1575" w:type="pct"/>
                  <w:vAlign w:val="center"/>
                </w:tcPr>
                <w:p w14:paraId="594DA2B7">
                  <w:pPr>
                    <w:pStyle w:val="81"/>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53" w:type="pct"/>
                  <w:vAlign w:val="center"/>
                </w:tcPr>
                <w:p w14:paraId="728F32A3">
                  <w:pPr>
                    <w:pStyle w:val="81"/>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487" w:type="pct"/>
                  <w:vMerge w:val="continue"/>
                  <w:vAlign w:val="center"/>
                </w:tcPr>
                <w:p w14:paraId="23453F5D">
                  <w:pPr>
                    <w:adjustRightInd w:val="0"/>
                    <w:snapToGrid w:val="0"/>
                    <w:jc w:val="center"/>
                    <w:rPr>
                      <w:rFonts w:hint="eastAsia" w:eastAsiaTheme="minorEastAsia"/>
                      <w:color w:val="auto"/>
                      <w:kern w:val="0"/>
                      <w:szCs w:val="21"/>
                      <w:highlight w:val="none"/>
                      <w:lang w:val="en-US" w:eastAsia="zh-CN"/>
                    </w:rPr>
                  </w:pPr>
                </w:p>
              </w:tc>
              <w:tc>
                <w:tcPr>
                  <w:tcW w:w="487" w:type="pct"/>
                  <w:vMerge w:val="continue"/>
                  <w:vAlign w:val="center"/>
                </w:tcPr>
                <w:p w14:paraId="0585308B">
                  <w:pPr>
                    <w:adjustRightInd w:val="0"/>
                    <w:snapToGrid w:val="0"/>
                    <w:jc w:val="center"/>
                    <w:rPr>
                      <w:rFonts w:hint="eastAsia" w:eastAsiaTheme="minorEastAsia"/>
                      <w:color w:val="auto"/>
                      <w:kern w:val="0"/>
                      <w:szCs w:val="21"/>
                      <w:highlight w:val="none"/>
                      <w:lang w:val="en-US" w:eastAsia="zh-CN"/>
                    </w:rPr>
                  </w:pPr>
                </w:p>
              </w:tc>
            </w:tr>
            <w:tr w14:paraId="6A677F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5" w:type="pct"/>
                  <w:vAlign w:val="center"/>
                </w:tcPr>
                <w:p w14:paraId="45A06B09">
                  <w:pPr>
                    <w:pStyle w:val="81"/>
                    <w:spacing w:line="240" w:lineRule="auto"/>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w:t>
                  </w:r>
                </w:p>
              </w:tc>
              <w:tc>
                <w:tcPr>
                  <w:tcW w:w="483" w:type="pct"/>
                  <w:vMerge w:val="continue"/>
                  <w:vAlign w:val="center"/>
                </w:tcPr>
                <w:p w14:paraId="1ADB78F6">
                  <w:pPr>
                    <w:pStyle w:val="81"/>
                    <w:spacing w:line="240" w:lineRule="auto"/>
                    <w:jc w:val="center"/>
                    <w:rPr>
                      <w:rFonts w:hint="default" w:ascii="Times New Roman" w:hAnsi="Times New Roman" w:cs="Times New Roman"/>
                      <w:color w:val="auto"/>
                      <w:sz w:val="21"/>
                      <w:szCs w:val="21"/>
                      <w:highlight w:val="none"/>
                      <w:lang w:val="en-US" w:eastAsia="zh-CN"/>
                    </w:rPr>
                  </w:pPr>
                </w:p>
              </w:tc>
              <w:tc>
                <w:tcPr>
                  <w:tcW w:w="1047" w:type="pct"/>
                  <w:vAlign w:val="center"/>
                </w:tcPr>
                <w:p w14:paraId="0A04B595">
                  <w:pPr>
                    <w:pStyle w:val="81"/>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千分尺</w:t>
                  </w:r>
                </w:p>
              </w:tc>
              <w:tc>
                <w:tcPr>
                  <w:tcW w:w="1575" w:type="pct"/>
                  <w:vAlign w:val="center"/>
                </w:tcPr>
                <w:p w14:paraId="516CD6B9">
                  <w:pPr>
                    <w:pStyle w:val="81"/>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三丰</w:t>
                  </w:r>
                </w:p>
              </w:tc>
              <w:tc>
                <w:tcPr>
                  <w:tcW w:w="753" w:type="pct"/>
                  <w:vAlign w:val="center"/>
                </w:tcPr>
                <w:p w14:paraId="0209FF1E">
                  <w:pPr>
                    <w:pStyle w:val="81"/>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487" w:type="pct"/>
                  <w:vMerge w:val="continue"/>
                  <w:vAlign w:val="center"/>
                </w:tcPr>
                <w:p w14:paraId="05E3D004">
                  <w:pPr>
                    <w:adjustRightInd w:val="0"/>
                    <w:snapToGrid w:val="0"/>
                    <w:jc w:val="center"/>
                    <w:rPr>
                      <w:rFonts w:hint="default" w:eastAsiaTheme="minorEastAsia"/>
                      <w:color w:val="auto"/>
                      <w:kern w:val="0"/>
                      <w:szCs w:val="21"/>
                      <w:highlight w:val="none"/>
                      <w:lang w:val="en-US"/>
                    </w:rPr>
                  </w:pPr>
                </w:p>
              </w:tc>
              <w:tc>
                <w:tcPr>
                  <w:tcW w:w="487" w:type="pct"/>
                  <w:vMerge w:val="continue"/>
                  <w:vAlign w:val="center"/>
                </w:tcPr>
                <w:p w14:paraId="23DDA66D">
                  <w:pPr>
                    <w:adjustRightInd w:val="0"/>
                    <w:snapToGrid w:val="0"/>
                    <w:jc w:val="center"/>
                    <w:rPr>
                      <w:rFonts w:hint="default" w:eastAsiaTheme="minorEastAsia"/>
                      <w:color w:val="auto"/>
                      <w:kern w:val="0"/>
                      <w:szCs w:val="21"/>
                      <w:highlight w:val="none"/>
                      <w:lang w:val="en-US"/>
                    </w:rPr>
                  </w:pPr>
                </w:p>
              </w:tc>
            </w:tr>
            <w:tr w14:paraId="6A5FF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5" w:type="pct"/>
                  <w:vAlign w:val="center"/>
                </w:tcPr>
                <w:p w14:paraId="0E50CB4D">
                  <w:pPr>
                    <w:pStyle w:val="81"/>
                    <w:spacing w:line="240" w:lineRule="auto"/>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483" w:type="pct"/>
                  <w:vMerge w:val="continue"/>
                  <w:vAlign w:val="center"/>
                </w:tcPr>
                <w:p w14:paraId="6BDE7C30">
                  <w:pPr>
                    <w:pStyle w:val="81"/>
                    <w:spacing w:line="240" w:lineRule="auto"/>
                    <w:jc w:val="center"/>
                    <w:rPr>
                      <w:rFonts w:hint="default" w:ascii="Times New Roman" w:hAnsi="Times New Roman" w:cs="Times New Roman"/>
                      <w:color w:val="auto"/>
                      <w:sz w:val="21"/>
                      <w:szCs w:val="21"/>
                      <w:highlight w:val="none"/>
                      <w:lang w:val="en-US" w:eastAsia="zh-CN"/>
                    </w:rPr>
                  </w:pPr>
                </w:p>
              </w:tc>
              <w:tc>
                <w:tcPr>
                  <w:tcW w:w="1047" w:type="pct"/>
                  <w:vAlign w:val="center"/>
                </w:tcPr>
                <w:p w14:paraId="2C05C020">
                  <w:pPr>
                    <w:pStyle w:val="81"/>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镀膜机</w:t>
                  </w:r>
                </w:p>
              </w:tc>
              <w:tc>
                <w:tcPr>
                  <w:tcW w:w="1575" w:type="pct"/>
                  <w:vAlign w:val="center"/>
                </w:tcPr>
                <w:p w14:paraId="2BDB2604">
                  <w:pPr>
                    <w:pStyle w:val="81"/>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ALUGA-1350</w:t>
                  </w:r>
                </w:p>
              </w:tc>
              <w:tc>
                <w:tcPr>
                  <w:tcW w:w="753" w:type="pct"/>
                  <w:vAlign w:val="center"/>
                </w:tcPr>
                <w:p w14:paraId="631A86DC">
                  <w:pPr>
                    <w:pStyle w:val="81"/>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487" w:type="pct"/>
                  <w:vMerge w:val="restart"/>
                  <w:vAlign w:val="center"/>
                </w:tcPr>
                <w:p w14:paraId="57821805">
                  <w:pPr>
                    <w:adjustRightInd w:val="0"/>
                    <w:snapToGrid w:val="0"/>
                    <w:jc w:val="center"/>
                    <w:rPr>
                      <w:rFonts w:hint="eastAsia"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镀膜工序</w:t>
                  </w:r>
                </w:p>
              </w:tc>
              <w:tc>
                <w:tcPr>
                  <w:tcW w:w="487" w:type="pct"/>
                  <w:vMerge w:val="continue"/>
                  <w:vAlign w:val="center"/>
                </w:tcPr>
                <w:p w14:paraId="013C7419">
                  <w:pPr>
                    <w:adjustRightInd w:val="0"/>
                    <w:snapToGrid w:val="0"/>
                    <w:jc w:val="center"/>
                    <w:rPr>
                      <w:rFonts w:hint="eastAsia" w:eastAsiaTheme="minorEastAsia"/>
                      <w:color w:val="auto"/>
                      <w:kern w:val="0"/>
                      <w:szCs w:val="21"/>
                      <w:highlight w:val="none"/>
                      <w:lang w:val="en-US" w:eastAsia="zh-CN"/>
                    </w:rPr>
                  </w:pPr>
                </w:p>
              </w:tc>
            </w:tr>
            <w:tr w14:paraId="501D8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5" w:type="pct"/>
                  <w:vAlign w:val="center"/>
                </w:tcPr>
                <w:p w14:paraId="5CF5A0BD">
                  <w:pPr>
                    <w:pStyle w:val="81"/>
                    <w:spacing w:line="240" w:lineRule="auto"/>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w:t>
                  </w:r>
                </w:p>
              </w:tc>
              <w:tc>
                <w:tcPr>
                  <w:tcW w:w="483" w:type="pct"/>
                  <w:vMerge w:val="continue"/>
                  <w:vAlign w:val="center"/>
                </w:tcPr>
                <w:p w14:paraId="6BD40B40">
                  <w:pPr>
                    <w:pStyle w:val="81"/>
                    <w:spacing w:line="240" w:lineRule="auto"/>
                    <w:jc w:val="center"/>
                    <w:rPr>
                      <w:rFonts w:hint="default" w:ascii="Times New Roman" w:hAnsi="Times New Roman" w:cs="Times New Roman"/>
                      <w:color w:val="auto"/>
                      <w:sz w:val="21"/>
                      <w:szCs w:val="21"/>
                      <w:highlight w:val="none"/>
                      <w:lang w:val="en-US" w:eastAsia="zh-CN"/>
                    </w:rPr>
                  </w:pPr>
                </w:p>
              </w:tc>
              <w:tc>
                <w:tcPr>
                  <w:tcW w:w="1047" w:type="pct"/>
                  <w:vAlign w:val="center"/>
                </w:tcPr>
                <w:p w14:paraId="2C4B1FB7">
                  <w:pPr>
                    <w:pStyle w:val="81"/>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镀膜机</w:t>
                  </w:r>
                </w:p>
              </w:tc>
              <w:tc>
                <w:tcPr>
                  <w:tcW w:w="1575" w:type="pct"/>
                  <w:vAlign w:val="center"/>
                </w:tcPr>
                <w:p w14:paraId="0546208B">
                  <w:pPr>
                    <w:pStyle w:val="81"/>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ZX-1100</w:t>
                  </w:r>
                </w:p>
              </w:tc>
              <w:tc>
                <w:tcPr>
                  <w:tcW w:w="753" w:type="pct"/>
                  <w:vAlign w:val="center"/>
                </w:tcPr>
                <w:p w14:paraId="6B9A9262">
                  <w:pPr>
                    <w:pStyle w:val="81"/>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487" w:type="pct"/>
                  <w:vMerge w:val="continue"/>
                  <w:vAlign w:val="center"/>
                </w:tcPr>
                <w:p w14:paraId="772CB578">
                  <w:pPr>
                    <w:adjustRightInd w:val="0"/>
                    <w:snapToGrid w:val="0"/>
                    <w:jc w:val="center"/>
                    <w:rPr>
                      <w:rFonts w:hint="eastAsia" w:eastAsiaTheme="minorEastAsia"/>
                      <w:color w:val="auto"/>
                      <w:kern w:val="0"/>
                      <w:szCs w:val="21"/>
                      <w:highlight w:val="none"/>
                      <w:lang w:val="en-US" w:eastAsia="zh-CN"/>
                    </w:rPr>
                  </w:pPr>
                </w:p>
              </w:tc>
              <w:tc>
                <w:tcPr>
                  <w:tcW w:w="487" w:type="pct"/>
                  <w:vMerge w:val="continue"/>
                  <w:vAlign w:val="center"/>
                </w:tcPr>
                <w:p w14:paraId="1D0ADAB6">
                  <w:pPr>
                    <w:adjustRightInd w:val="0"/>
                    <w:snapToGrid w:val="0"/>
                    <w:jc w:val="center"/>
                    <w:rPr>
                      <w:rFonts w:hint="eastAsia" w:eastAsiaTheme="minorEastAsia"/>
                      <w:color w:val="auto"/>
                      <w:kern w:val="0"/>
                      <w:szCs w:val="21"/>
                      <w:highlight w:val="none"/>
                      <w:lang w:val="en-US" w:eastAsia="zh-CN"/>
                    </w:rPr>
                  </w:pPr>
                </w:p>
              </w:tc>
            </w:tr>
            <w:tr w14:paraId="470D22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5" w:type="pct"/>
                  <w:vAlign w:val="center"/>
                </w:tcPr>
                <w:p w14:paraId="5F65BED9">
                  <w:pPr>
                    <w:pStyle w:val="81"/>
                    <w:spacing w:line="240" w:lineRule="auto"/>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w:t>
                  </w:r>
                </w:p>
              </w:tc>
              <w:tc>
                <w:tcPr>
                  <w:tcW w:w="483" w:type="pct"/>
                  <w:vMerge w:val="continue"/>
                  <w:vAlign w:val="center"/>
                </w:tcPr>
                <w:p w14:paraId="3D4617D3">
                  <w:pPr>
                    <w:pStyle w:val="81"/>
                    <w:spacing w:line="240" w:lineRule="auto"/>
                    <w:jc w:val="center"/>
                    <w:rPr>
                      <w:rFonts w:hint="default" w:ascii="Times New Roman" w:hAnsi="Times New Roman" w:cs="Times New Roman"/>
                      <w:color w:val="auto"/>
                      <w:sz w:val="21"/>
                      <w:szCs w:val="21"/>
                      <w:highlight w:val="none"/>
                      <w:lang w:val="en-US" w:eastAsia="zh-CN"/>
                    </w:rPr>
                  </w:pPr>
                </w:p>
              </w:tc>
              <w:tc>
                <w:tcPr>
                  <w:tcW w:w="1047" w:type="pct"/>
                  <w:vAlign w:val="center"/>
                </w:tcPr>
                <w:p w14:paraId="7FC54AC7">
                  <w:pPr>
                    <w:pStyle w:val="81"/>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超声波</w:t>
                  </w:r>
                </w:p>
              </w:tc>
              <w:tc>
                <w:tcPr>
                  <w:tcW w:w="1575" w:type="pct"/>
                  <w:vAlign w:val="center"/>
                </w:tcPr>
                <w:p w14:paraId="477E6071">
                  <w:pPr>
                    <w:pStyle w:val="81"/>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WT-01010WS-10KHz</w:t>
                  </w:r>
                </w:p>
              </w:tc>
              <w:tc>
                <w:tcPr>
                  <w:tcW w:w="753" w:type="pct"/>
                  <w:vAlign w:val="center"/>
                </w:tcPr>
                <w:p w14:paraId="0D7784CE">
                  <w:pPr>
                    <w:pStyle w:val="81"/>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487" w:type="pct"/>
                  <w:tcBorders>
                    <w:bottom w:val="single" w:color="auto" w:sz="4" w:space="0"/>
                  </w:tcBorders>
                  <w:vAlign w:val="center"/>
                </w:tcPr>
                <w:p w14:paraId="5FDC4FE1">
                  <w:pPr>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清洗工序</w:t>
                  </w:r>
                </w:p>
              </w:tc>
              <w:tc>
                <w:tcPr>
                  <w:tcW w:w="487" w:type="pct"/>
                  <w:vMerge w:val="continue"/>
                  <w:vAlign w:val="center"/>
                </w:tcPr>
                <w:p w14:paraId="5A2560DC">
                  <w:pPr>
                    <w:adjustRightInd w:val="0"/>
                    <w:snapToGrid w:val="0"/>
                    <w:jc w:val="center"/>
                    <w:rPr>
                      <w:rFonts w:hint="eastAsia" w:eastAsiaTheme="minorEastAsia"/>
                      <w:color w:val="auto"/>
                      <w:kern w:val="0"/>
                      <w:szCs w:val="21"/>
                      <w:highlight w:val="none"/>
                      <w:lang w:val="en-US" w:eastAsia="zh-CN"/>
                    </w:rPr>
                  </w:pPr>
                </w:p>
              </w:tc>
            </w:tr>
            <w:tr w14:paraId="41C6C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5" w:type="pct"/>
                  <w:vAlign w:val="center"/>
                </w:tcPr>
                <w:p w14:paraId="5A6798C1">
                  <w:pPr>
                    <w:pStyle w:val="81"/>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w:t>
                  </w:r>
                </w:p>
              </w:tc>
              <w:tc>
                <w:tcPr>
                  <w:tcW w:w="483" w:type="pct"/>
                  <w:vMerge w:val="continue"/>
                  <w:vAlign w:val="center"/>
                </w:tcPr>
                <w:p w14:paraId="647A7B0E">
                  <w:pPr>
                    <w:pStyle w:val="81"/>
                    <w:spacing w:line="240" w:lineRule="auto"/>
                    <w:jc w:val="center"/>
                    <w:rPr>
                      <w:rFonts w:hint="default" w:ascii="Times New Roman" w:hAnsi="Times New Roman" w:cs="Times New Roman"/>
                      <w:color w:val="auto"/>
                      <w:sz w:val="21"/>
                      <w:szCs w:val="21"/>
                      <w:highlight w:val="none"/>
                      <w:lang w:val="en-US" w:eastAsia="zh-CN"/>
                    </w:rPr>
                  </w:pPr>
                </w:p>
              </w:tc>
              <w:tc>
                <w:tcPr>
                  <w:tcW w:w="1047" w:type="pct"/>
                  <w:vAlign w:val="center"/>
                </w:tcPr>
                <w:p w14:paraId="7A70C0DA">
                  <w:pPr>
                    <w:pStyle w:val="8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超净工作台</w:t>
                  </w:r>
                </w:p>
              </w:tc>
              <w:tc>
                <w:tcPr>
                  <w:tcW w:w="1575" w:type="pct"/>
                  <w:vAlign w:val="center"/>
                </w:tcPr>
                <w:p w14:paraId="0B89FCCE">
                  <w:pPr>
                    <w:pStyle w:val="8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江苏大峰净化</w:t>
                  </w:r>
                </w:p>
              </w:tc>
              <w:tc>
                <w:tcPr>
                  <w:tcW w:w="753" w:type="pct"/>
                  <w:vAlign w:val="center"/>
                </w:tcPr>
                <w:p w14:paraId="0EA92A4B">
                  <w:pPr>
                    <w:pStyle w:val="8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487" w:type="pct"/>
                  <w:tcBorders>
                    <w:top w:val="single" w:color="auto" w:sz="4" w:space="0"/>
                    <w:bottom w:val="single" w:color="auto" w:sz="4" w:space="0"/>
                  </w:tcBorders>
                  <w:vAlign w:val="center"/>
                </w:tcPr>
                <w:p w14:paraId="14ABEA14">
                  <w:pPr>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洁净台</w:t>
                  </w:r>
                </w:p>
              </w:tc>
              <w:tc>
                <w:tcPr>
                  <w:tcW w:w="487" w:type="pct"/>
                  <w:vMerge w:val="continue"/>
                  <w:vAlign w:val="center"/>
                </w:tcPr>
                <w:p w14:paraId="0E248887">
                  <w:pPr>
                    <w:adjustRightInd w:val="0"/>
                    <w:snapToGrid w:val="0"/>
                    <w:jc w:val="center"/>
                    <w:rPr>
                      <w:rFonts w:hint="eastAsia" w:eastAsiaTheme="minorEastAsia"/>
                      <w:color w:val="auto"/>
                      <w:kern w:val="0"/>
                      <w:szCs w:val="21"/>
                      <w:highlight w:val="none"/>
                      <w:lang w:val="en-US" w:eastAsia="zh-CN"/>
                    </w:rPr>
                  </w:pPr>
                </w:p>
              </w:tc>
            </w:tr>
            <w:tr w14:paraId="2A25E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65" w:type="pct"/>
                  <w:vAlign w:val="center"/>
                </w:tcPr>
                <w:p w14:paraId="67A19AA4">
                  <w:pPr>
                    <w:pStyle w:val="81"/>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483" w:type="pct"/>
                  <w:vMerge w:val="continue"/>
                  <w:vAlign w:val="center"/>
                </w:tcPr>
                <w:p w14:paraId="13FEFC39">
                  <w:pPr>
                    <w:pStyle w:val="81"/>
                    <w:spacing w:line="240" w:lineRule="auto"/>
                    <w:jc w:val="center"/>
                    <w:rPr>
                      <w:rFonts w:hint="default" w:ascii="Times New Roman" w:hAnsi="Times New Roman" w:cs="Times New Roman"/>
                      <w:color w:val="auto"/>
                      <w:sz w:val="21"/>
                      <w:szCs w:val="21"/>
                      <w:highlight w:val="none"/>
                      <w:lang w:val="en-US" w:eastAsia="zh-CN"/>
                    </w:rPr>
                  </w:pPr>
                </w:p>
              </w:tc>
              <w:tc>
                <w:tcPr>
                  <w:tcW w:w="1047" w:type="pct"/>
                  <w:vAlign w:val="center"/>
                </w:tcPr>
                <w:p w14:paraId="5BB985FA">
                  <w:pPr>
                    <w:pStyle w:val="8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冷水机</w:t>
                  </w:r>
                </w:p>
              </w:tc>
              <w:tc>
                <w:tcPr>
                  <w:tcW w:w="1575" w:type="pct"/>
                  <w:vAlign w:val="center"/>
                </w:tcPr>
                <w:p w14:paraId="0FD615A7">
                  <w:pPr>
                    <w:pStyle w:val="8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53" w:type="pct"/>
                  <w:tcBorders>
                    <w:bottom w:val="single" w:color="auto" w:sz="12" w:space="0"/>
                  </w:tcBorders>
                  <w:vAlign w:val="center"/>
                </w:tcPr>
                <w:p w14:paraId="3C3EA655">
                  <w:pPr>
                    <w:pStyle w:val="8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487" w:type="pct"/>
                  <w:tcBorders>
                    <w:top w:val="single" w:color="auto" w:sz="4" w:space="0"/>
                    <w:bottom w:val="single" w:color="auto" w:sz="12" w:space="0"/>
                  </w:tcBorders>
                  <w:vAlign w:val="center"/>
                </w:tcPr>
                <w:p w14:paraId="578F1EAA">
                  <w:pPr>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冷却工序</w:t>
                  </w:r>
                </w:p>
              </w:tc>
              <w:tc>
                <w:tcPr>
                  <w:tcW w:w="487" w:type="pct"/>
                  <w:vMerge w:val="continue"/>
                  <w:tcBorders>
                    <w:bottom w:val="single" w:color="auto" w:sz="12" w:space="0"/>
                  </w:tcBorders>
                  <w:vAlign w:val="center"/>
                </w:tcPr>
                <w:p w14:paraId="1D172E41">
                  <w:pPr>
                    <w:adjustRightInd w:val="0"/>
                    <w:snapToGrid w:val="0"/>
                    <w:jc w:val="center"/>
                    <w:rPr>
                      <w:rFonts w:hint="eastAsia" w:eastAsiaTheme="minorEastAsia"/>
                      <w:color w:val="auto"/>
                      <w:kern w:val="0"/>
                      <w:szCs w:val="21"/>
                      <w:highlight w:val="none"/>
                      <w:lang w:val="en-US" w:eastAsia="zh-CN"/>
                    </w:rPr>
                  </w:pPr>
                </w:p>
              </w:tc>
            </w:tr>
          </w:tbl>
          <w:p w14:paraId="0BED2734">
            <w:pPr>
              <w:pStyle w:val="47"/>
              <w:rPr>
                <w:rFonts w:hAnsi="Times New Roman" w:cs="Times New Roman" w:eastAsiaTheme="minorEastAsia"/>
                <w:color w:val="auto"/>
                <w:highlight w:val="none"/>
              </w:rPr>
            </w:pPr>
          </w:p>
        </w:tc>
      </w:tr>
      <w:tr w14:paraId="472E56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79" w:hRule="atLeast"/>
          <w:jc w:val="center"/>
        </w:trPr>
        <w:tc>
          <w:tcPr>
            <w:tcW w:w="425" w:type="dxa"/>
            <w:vAlign w:val="center"/>
          </w:tcPr>
          <w:p w14:paraId="22A6AE31">
            <w:pPr>
              <w:pStyle w:val="33"/>
              <w:adjustRightInd w:val="0"/>
              <w:snapToGrid w:val="0"/>
              <w:spacing w:before="0" w:beforeAutospacing="0" w:after="0" w:afterAutospacing="0"/>
              <w:jc w:val="center"/>
              <w:rPr>
                <w:rFonts w:ascii="Times New Roman" w:hAnsi="Times New Roman" w:eastAsiaTheme="minorEastAsia"/>
                <w:b/>
                <w:bCs/>
                <w:color w:val="auto"/>
                <w:sz w:val="21"/>
                <w:szCs w:val="21"/>
                <w:highlight w:val="none"/>
              </w:rPr>
            </w:pPr>
            <w:r>
              <w:rPr>
                <w:rFonts w:ascii="Times New Roman" w:hAnsi="Times New Roman" w:eastAsiaTheme="minorEastAsia"/>
                <w:b/>
                <w:bCs/>
                <w:color w:val="auto"/>
                <w:sz w:val="21"/>
                <w:szCs w:val="21"/>
                <w:highlight w:val="none"/>
              </w:rPr>
              <w:t>工艺流程和产排污环节</w:t>
            </w:r>
          </w:p>
        </w:tc>
        <w:tc>
          <w:tcPr>
            <w:tcW w:w="8635" w:type="dxa"/>
          </w:tcPr>
          <w:p w14:paraId="383A29A0">
            <w:pPr>
              <w:widowControl/>
              <w:numPr>
                <w:ilvl w:val="0"/>
                <w:numId w:val="4"/>
              </w:numPr>
              <w:adjustRightInd w:val="0"/>
              <w:snapToGrid w:val="0"/>
              <w:spacing w:line="360" w:lineRule="auto"/>
              <w:ind w:left="0" w:firstLine="482" w:firstLineChars="200"/>
              <w:jc w:val="left"/>
              <w:rPr>
                <w:rFonts w:eastAsiaTheme="minorEastAsia"/>
                <w:b/>
                <w:bCs/>
                <w:color w:val="auto"/>
                <w:kern w:val="0"/>
                <w:sz w:val="24"/>
                <w:highlight w:val="none"/>
              </w:rPr>
            </w:pPr>
            <w:r>
              <w:rPr>
                <w:rFonts w:eastAsiaTheme="minorEastAsia"/>
                <w:b/>
                <w:bCs/>
                <w:color w:val="auto"/>
                <w:kern w:val="0"/>
                <w:sz w:val="24"/>
                <w:highlight w:val="none"/>
              </w:rPr>
              <w:t>施工期</w:t>
            </w:r>
          </w:p>
          <w:p w14:paraId="1DBB2018">
            <w:pPr>
              <w:widowControl/>
              <w:adjustRightInd w:val="0"/>
              <w:snapToGrid w:val="0"/>
              <w:spacing w:line="360" w:lineRule="auto"/>
              <w:ind w:firstLine="480" w:firstLineChars="200"/>
              <w:jc w:val="left"/>
              <w:rPr>
                <w:rFonts w:eastAsiaTheme="minorEastAsia"/>
                <w:color w:val="auto"/>
                <w:kern w:val="0"/>
                <w:sz w:val="24"/>
                <w:highlight w:val="none"/>
              </w:rPr>
            </w:pPr>
            <w:r>
              <w:rPr>
                <w:rFonts w:eastAsiaTheme="minorEastAsia"/>
                <w:color w:val="auto"/>
                <w:kern w:val="0"/>
                <w:sz w:val="24"/>
                <w:highlight w:val="none"/>
              </w:rPr>
              <w:t>本项目</w:t>
            </w:r>
            <w:r>
              <w:rPr>
                <w:rFonts w:hint="eastAsia" w:eastAsiaTheme="minorEastAsia"/>
                <w:color w:val="auto"/>
                <w:kern w:val="0"/>
                <w:sz w:val="24"/>
                <w:highlight w:val="none"/>
                <w:lang w:val="en-US" w:eastAsia="zh-CN"/>
              </w:rPr>
              <w:t>购买</w:t>
            </w:r>
            <w:r>
              <w:rPr>
                <w:rFonts w:hint="eastAsia" w:hAnsi="宋体" w:eastAsiaTheme="minorEastAsia"/>
                <w:color w:val="auto"/>
                <w:sz w:val="24"/>
                <w:szCs w:val="24"/>
                <w:highlight w:val="none"/>
                <w:lang w:eastAsia="zh-CN"/>
              </w:rPr>
              <w:t>现有标准</w:t>
            </w:r>
            <w:r>
              <w:rPr>
                <w:rFonts w:hint="eastAsia" w:hAnsi="宋体"/>
                <w:color w:val="auto"/>
                <w:sz w:val="24"/>
                <w:szCs w:val="24"/>
                <w:highlight w:val="none"/>
              </w:rPr>
              <w:t>闲置厂房</w:t>
            </w:r>
            <w:r>
              <w:rPr>
                <w:rFonts w:eastAsiaTheme="minorEastAsia"/>
                <w:color w:val="auto"/>
                <w:kern w:val="0"/>
                <w:sz w:val="24"/>
                <w:highlight w:val="none"/>
              </w:rPr>
              <w:t>，</w:t>
            </w:r>
            <w:r>
              <w:rPr>
                <w:rFonts w:eastAsiaTheme="minorEastAsia"/>
                <w:bCs/>
                <w:color w:val="auto"/>
                <w:kern w:val="0"/>
                <w:sz w:val="24"/>
                <w:highlight w:val="none"/>
              </w:rPr>
              <w:t>仅涉及设备安装</w:t>
            </w:r>
            <w:r>
              <w:rPr>
                <w:rFonts w:eastAsiaTheme="minorEastAsia"/>
                <w:color w:val="auto"/>
                <w:kern w:val="0"/>
                <w:sz w:val="24"/>
                <w:highlight w:val="none"/>
              </w:rPr>
              <w:t>，其建设过程不涉及土建施工。</w:t>
            </w:r>
          </w:p>
          <w:p w14:paraId="2299B917">
            <w:pPr>
              <w:pStyle w:val="17"/>
              <w:spacing w:before="0" w:after="0" w:afterAutospacing="0" w:line="360" w:lineRule="auto"/>
              <w:ind w:firstLine="480" w:firstLineChars="200"/>
              <w:rPr>
                <w:rFonts w:ascii="Times New Roman" w:hAnsi="Times New Roman" w:cs="Times New Roman"/>
                <w:color w:val="auto"/>
                <w:highlight w:val="none"/>
              </w:rPr>
            </w:pPr>
            <w:r>
              <w:rPr>
                <w:rFonts w:ascii="Times New Roman" w:hAnsi="Times New Roman" w:cs="Times New Roman" w:eastAsiaTheme="minorEastAsia"/>
                <w:color w:val="auto"/>
                <w:kern w:val="0"/>
                <w:highlight w:val="none"/>
              </w:rPr>
              <w:t>二、</w:t>
            </w:r>
            <w:r>
              <w:rPr>
                <w:rFonts w:ascii="Times New Roman" w:hAnsi="Times New Roman" w:cs="Times New Roman" w:eastAsiaTheme="minorEastAsia"/>
                <w:b/>
                <w:bCs/>
                <w:color w:val="auto"/>
                <w:kern w:val="0"/>
                <w:highlight w:val="none"/>
              </w:rPr>
              <w:t>营运期</w:t>
            </w:r>
          </w:p>
          <w:p w14:paraId="48594C89">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left"/>
              <w:textAlignment w:val="auto"/>
              <w:rPr>
                <w:b/>
                <w:bCs/>
                <w:color w:val="auto"/>
                <w:sz w:val="24"/>
                <w:szCs w:val="21"/>
                <w:highlight w:val="none"/>
              </w:rPr>
            </w:pPr>
            <w:r>
              <w:rPr>
                <w:rFonts w:eastAsiaTheme="minorEastAsia"/>
                <w:b/>
                <w:bCs/>
                <w:color w:val="auto"/>
                <w:kern w:val="0"/>
                <w:sz w:val="24"/>
                <w:highlight w:val="none"/>
              </w:rPr>
              <w:t>（一）</w:t>
            </w:r>
            <w:r>
              <w:rPr>
                <w:b/>
                <w:bCs/>
                <w:color w:val="auto"/>
                <w:sz w:val="24"/>
                <w:szCs w:val="21"/>
                <w:highlight w:val="none"/>
              </w:rPr>
              <w:t>生产工艺流程及产污环节（</w:t>
            </w:r>
            <w:r>
              <w:rPr>
                <w:b/>
                <w:color w:val="auto"/>
                <w:sz w:val="24"/>
                <w:highlight w:val="none"/>
              </w:rPr>
              <w:t>其中G-废气、S—固废、N—噪声</w:t>
            </w:r>
            <w:r>
              <w:rPr>
                <w:rFonts w:hint="eastAsia"/>
                <w:b/>
                <w:color w:val="auto"/>
                <w:sz w:val="24"/>
                <w:highlight w:val="none"/>
                <w:lang w:eastAsia="zh-CN"/>
              </w:rPr>
              <w:t>、</w:t>
            </w:r>
            <w:r>
              <w:rPr>
                <w:rFonts w:hint="eastAsia"/>
                <w:b/>
                <w:color w:val="auto"/>
                <w:sz w:val="24"/>
                <w:highlight w:val="none"/>
                <w:lang w:val="en-US" w:eastAsia="zh-CN"/>
              </w:rPr>
              <w:t>W</w:t>
            </w:r>
            <w:r>
              <w:rPr>
                <w:b/>
                <w:color w:val="auto"/>
                <w:sz w:val="24"/>
                <w:highlight w:val="none"/>
              </w:rPr>
              <w:t>—</w:t>
            </w:r>
            <w:r>
              <w:rPr>
                <w:rFonts w:hint="eastAsia"/>
                <w:b/>
                <w:color w:val="auto"/>
                <w:sz w:val="24"/>
                <w:highlight w:val="none"/>
                <w:lang w:val="en-US" w:eastAsia="zh-CN"/>
              </w:rPr>
              <w:t>废水</w:t>
            </w:r>
            <w:r>
              <w:rPr>
                <w:b/>
                <w:bCs/>
                <w:color w:val="auto"/>
                <w:sz w:val="24"/>
                <w:szCs w:val="21"/>
                <w:highlight w:val="none"/>
              </w:rPr>
              <w:t>）</w:t>
            </w:r>
          </w:p>
          <w:p w14:paraId="6FD7948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szCs w:val="21"/>
                <w:highlight w:val="none"/>
                <w:lang w:val="en-US" w:eastAsia="zh-CN"/>
              </w:rPr>
            </w:pPr>
            <w:r>
              <w:rPr>
                <w:rFonts w:hint="default" w:ascii="Times New Roman" w:hAnsi="Times New Roman" w:eastAsia="宋体" w:cs="Times New Roman"/>
                <w:b/>
                <w:bCs/>
                <w:color w:val="auto"/>
                <w:sz w:val="24"/>
                <w:szCs w:val="21"/>
                <w:highlight w:val="none"/>
              </w:rPr>
              <w:t>（1）</w:t>
            </w:r>
            <w:r>
              <w:rPr>
                <w:rFonts w:hint="eastAsia" w:cs="Times New Roman"/>
                <w:b/>
                <w:bCs/>
                <w:color w:val="auto"/>
                <w:sz w:val="24"/>
                <w:szCs w:val="21"/>
                <w:highlight w:val="none"/>
                <w:lang w:val="en-US" w:eastAsia="zh-CN"/>
              </w:rPr>
              <w:t>本项目</w:t>
            </w:r>
            <w:r>
              <w:rPr>
                <w:rFonts w:hint="default" w:ascii="Times New Roman" w:hAnsi="Times New Roman" w:eastAsia="宋体" w:cs="Times New Roman"/>
                <w:b/>
                <w:bCs/>
                <w:color w:val="auto"/>
                <w:sz w:val="24"/>
                <w:szCs w:val="21"/>
                <w:highlight w:val="none"/>
              </w:rPr>
              <w:t>生产工艺流程及产污环节</w:t>
            </w:r>
            <w:r>
              <w:rPr>
                <w:rFonts w:hint="eastAsia" w:cs="Times New Roman"/>
                <w:b/>
                <w:bCs/>
                <w:color w:val="auto"/>
                <w:sz w:val="24"/>
                <w:szCs w:val="21"/>
                <w:highlight w:val="none"/>
                <w:lang w:val="en-US" w:eastAsia="zh-CN"/>
              </w:rPr>
              <w:t>图</w:t>
            </w:r>
          </w:p>
          <w:p w14:paraId="22691AEE">
            <w:pPr>
              <w:pStyle w:val="36"/>
              <w:ind w:left="0" w:leftChars="0" w:firstLine="0" w:firstLineChars="0"/>
              <w:jc w:val="center"/>
              <w:rPr>
                <w:color w:val="auto"/>
                <w:highlight w:val="none"/>
              </w:rPr>
            </w:pPr>
            <w:r>
              <w:rPr>
                <w:color w:val="auto"/>
                <w:highlight w:val="none"/>
              </w:rPr>
              <w:object>
                <v:shape id="_x0000_i1026" o:spt="75" type="#_x0000_t75" style="height:293.4pt;width:282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6" r:id="rId14">
                  <o:LockedField>false</o:LockedField>
                </o:OLEObject>
              </w:object>
            </w:r>
          </w:p>
          <w:p w14:paraId="23D72B1D">
            <w:pPr>
              <w:widowControl/>
              <w:adjustRightInd w:val="0"/>
              <w:snapToGrid w:val="0"/>
              <w:spacing w:line="360" w:lineRule="auto"/>
              <w:jc w:val="center"/>
              <w:rPr>
                <w:rFonts w:eastAsiaTheme="minorEastAsia"/>
                <w:b/>
                <w:color w:val="auto"/>
                <w:kern w:val="0"/>
                <w:sz w:val="24"/>
                <w:highlight w:val="none"/>
              </w:rPr>
            </w:pPr>
            <w:r>
              <w:rPr>
                <w:rFonts w:eastAsiaTheme="minorEastAsia"/>
                <w:b/>
                <w:color w:val="auto"/>
                <w:kern w:val="0"/>
                <w:sz w:val="24"/>
                <w:highlight w:val="none"/>
              </w:rPr>
              <w:t>图2-</w:t>
            </w:r>
            <w:r>
              <w:rPr>
                <w:rFonts w:hint="eastAsia" w:eastAsiaTheme="minorEastAsia"/>
                <w:b/>
                <w:color w:val="auto"/>
                <w:kern w:val="0"/>
                <w:sz w:val="24"/>
                <w:highlight w:val="none"/>
                <w:lang w:val="en-US" w:eastAsia="zh-CN"/>
              </w:rPr>
              <w:t>2</w:t>
            </w:r>
            <w:r>
              <w:rPr>
                <w:rFonts w:eastAsiaTheme="minorEastAsia"/>
                <w:b/>
                <w:color w:val="auto"/>
                <w:kern w:val="0"/>
                <w:sz w:val="24"/>
                <w:highlight w:val="none"/>
              </w:rPr>
              <w:t xml:space="preserve"> 生产工艺流程及产污环节图</w:t>
            </w:r>
          </w:p>
          <w:p w14:paraId="4732546E">
            <w:pPr>
              <w:widowControl/>
              <w:adjustRightInd w:val="0"/>
              <w:snapToGrid w:val="0"/>
              <w:spacing w:line="360" w:lineRule="auto"/>
              <w:ind w:firstLine="482" w:firstLineChars="200"/>
              <w:rPr>
                <w:rFonts w:eastAsiaTheme="minorEastAsia"/>
                <w:b/>
                <w:color w:val="auto"/>
                <w:kern w:val="0"/>
                <w:sz w:val="24"/>
                <w:highlight w:val="none"/>
              </w:rPr>
            </w:pPr>
            <w:r>
              <w:rPr>
                <w:rFonts w:eastAsiaTheme="minorEastAsia"/>
                <w:b/>
                <w:color w:val="auto"/>
                <w:kern w:val="0"/>
                <w:sz w:val="24"/>
                <w:highlight w:val="none"/>
              </w:rPr>
              <w:t>工艺流程简述：</w:t>
            </w:r>
          </w:p>
          <w:p w14:paraId="51203083">
            <w:pPr>
              <w:numPr>
                <w:ilvl w:val="0"/>
                <w:numId w:val="5"/>
              </w:num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擦片：将外购的光学玻璃用无尘纸/布蘸擦乙醇擦片液和清洗剂进行擦片。此工序擦片过程产生有机废气G1、废无尘纸/布S2；</w:t>
            </w:r>
          </w:p>
          <w:p w14:paraId="70138D8B">
            <w:pPr>
              <w:numPr>
                <w:ilvl w:val="0"/>
                <w:numId w:val="5"/>
              </w:numPr>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镀膜</w:t>
            </w:r>
            <w:r>
              <w:rPr>
                <w:color w:val="auto"/>
                <w:sz w:val="24"/>
                <w:highlight w:val="none"/>
              </w:rPr>
              <w:t>：</w:t>
            </w:r>
            <w:r>
              <w:rPr>
                <w:rFonts w:hint="eastAsia" w:cs="Times New Roman" w:eastAsiaTheme="minorEastAsia"/>
                <w:color w:val="auto"/>
                <w:sz w:val="24"/>
                <w:szCs w:val="24"/>
                <w:highlight w:val="none"/>
                <w:lang w:val="en-US" w:eastAsia="zh-CN"/>
              </w:rPr>
              <w:t>将处理后的玻璃片放进镀膜机真空室内，利用真空蒸发镀膜技术将外购镀膜材料（氧化镁、二氧化硅、五氧化三钛、铬粒、五氧化二钽）镀于玻璃材料的表面。镀膜过程在真空密闭状态下采用电阻加热方法。镀膜完成后，通过真空系统导入氩气，使镀膜机真空腔体中气压达到标准大气压，然后取出镀膜完成后的玻璃材料。此工序产生设备噪声N和废镀膜材料S2。</w:t>
            </w:r>
          </w:p>
          <w:p w14:paraId="7C7F4022">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s="Times New Roman" w:eastAsiaTheme="minorEastAsia"/>
                <w:color w:val="auto"/>
                <w:sz w:val="24"/>
                <w:szCs w:val="24"/>
                <w:highlight w:val="none"/>
                <w:lang w:val="en-US" w:eastAsia="zh-CN"/>
              </w:rPr>
              <w:t>真空蒸发镀膜技术工作原理：将基片放入真空室内，以电阻、电子束、激光等方法加热膜料，使膜料蒸发或升华，气化为具有一定能量（0.1～0.3eV）的粒子（原子、分子或原子团）。气态粒子以基本无碰撞的直线运动飞速传送至基片，到达基片表面的粒子一部分被反射，另一部分吸附在基片上并发生表面扩散，沉积原子之间产生二维碰撞，形成簇团，有的可能在表面短时停留后又蒸发。粒子簇团不断地与扩散粒子相碰撞，或吸附单粒子，或放出单粒子。此过程反复进行，当聚集的粒子数超过某一临界值时就变为稳定的核，再继续吸附扩散粒子而逐步长大，最终通过相邻稳定核的接触、合并，形成连续薄膜。</w:t>
            </w:r>
          </w:p>
          <w:p w14:paraId="05A259D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auto"/>
                <w:sz w:val="24"/>
                <w:highlight w:val="none"/>
                <w:lang w:val="en-US" w:eastAsia="zh-CN"/>
              </w:rPr>
            </w:pPr>
            <w:r>
              <w:rPr>
                <w:color w:val="auto"/>
                <w:sz w:val="24"/>
                <w:highlight w:val="none"/>
              </w:rPr>
              <w:t>（</w:t>
            </w:r>
            <w:r>
              <w:rPr>
                <w:rFonts w:hint="eastAsia"/>
                <w:color w:val="auto"/>
                <w:sz w:val="24"/>
                <w:highlight w:val="none"/>
                <w:lang w:val="en-US" w:eastAsia="zh-CN"/>
              </w:rPr>
              <w:t>3</w:t>
            </w:r>
            <w:r>
              <w:rPr>
                <w:color w:val="auto"/>
                <w:sz w:val="24"/>
                <w:highlight w:val="none"/>
              </w:rPr>
              <w:t>）</w:t>
            </w:r>
            <w:r>
              <w:rPr>
                <w:rFonts w:hint="eastAsia"/>
                <w:color w:val="auto"/>
                <w:sz w:val="24"/>
                <w:highlight w:val="none"/>
                <w:lang w:val="en-US" w:eastAsia="zh-CN"/>
              </w:rPr>
              <w:t>胶合</w:t>
            </w:r>
            <w:r>
              <w:rPr>
                <w:color w:val="auto"/>
                <w:sz w:val="24"/>
                <w:highlight w:val="none"/>
              </w:rPr>
              <w:t>：</w:t>
            </w:r>
            <w:r>
              <w:rPr>
                <w:rFonts w:hint="eastAsia"/>
                <w:color w:val="auto"/>
                <w:sz w:val="24"/>
                <w:highlight w:val="none"/>
                <w:lang w:eastAsia="zh-CN"/>
              </w:rPr>
              <w:t>采用人工方式对产品用</w:t>
            </w:r>
            <w:r>
              <w:rPr>
                <w:rFonts w:hint="eastAsia"/>
                <w:color w:val="auto"/>
                <w:sz w:val="24"/>
                <w:highlight w:val="none"/>
              </w:rPr>
              <w:t>光学专用胶进行</w:t>
            </w:r>
            <w:r>
              <w:rPr>
                <w:rFonts w:hint="eastAsia"/>
                <w:color w:val="auto"/>
                <w:sz w:val="24"/>
                <w:highlight w:val="none"/>
                <w:lang w:eastAsia="zh-CN"/>
              </w:rPr>
              <w:t>粘合，此过程在常温下进行</w:t>
            </w:r>
            <w:r>
              <w:rPr>
                <w:rFonts w:hint="eastAsia"/>
                <w:color w:val="auto"/>
                <w:sz w:val="24"/>
                <w:highlight w:val="none"/>
              </w:rPr>
              <w:t>。</w:t>
            </w:r>
            <w:r>
              <w:rPr>
                <w:rFonts w:hint="eastAsia" w:ascii="宋体" w:hAnsi="宋体" w:cs="宋体"/>
                <w:color w:val="auto"/>
                <w:sz w:val="24"/>
                <w:szCs w:val="24"/>
                <w:highlight w:val="none"/>
              </w:rPr>
              <w:t>此工序产生</w:t>
            </w:r>
            <w:r>
              <w:rPr>
                <w:rFonts w:hint="eastAsia" w:ascii="宋体" w:hAnsi="宋体" w:cs="宋体"/>
                <w:color w:val="auto"/>
                <w:sz w:val="24"/>
                <w:szCs w:val="24"/>
                <w:highlight w:val="none"/>
                <w:lang w:eastAsia="zh-CN"/>
              </w:rPr>
              <w:t>少量胶合</w:t>
            </w:r>
            <w:r>
              <w:rPr>
                <w:rFonts w:hint="eastAsia" w:ascii="宋体" w:hAnsi="宋体" w:cs="宋体"/>
                <w:color w:val="auto"/>
                <w:sz w:val="24"/>
                <w:szCs w:val="24"/>
                <w:highlight w:val="none"/>
              </w:rPr>
              <w:t>废气</w:t>
            </w:r>
            <w:r>
              <w:rPr>
                <w:color w:val="auto"/>
                <w:sz w:val="24"/>
                <w:szCs w:val="24"/>
                <w:highlight w:val="none"/>
              </w:rPr>
              <w:t>G</w:t>
            </w:r>
            <w:r>
              <w:rPr>
                <w:rFonts w:hint="eastAsia"/>
                <w:color w:val="auto"/>
                <w:sz w:val="24"/>
                <w:szCs w:val="24"/>
                <w:highlight w:val="none"/>
                <w:lang w:val="en-US" w:eastAsia="zh-CN"/>
              </w:rPr>
              <w:t>2</w:t>
            </w:r>
            <w:r>
              <w:rPr>
                <w:rFonts w:hint="eastAsia"/>
                <w:color w:val="auto"/>
                <w:sz w:val="24"/>
                <w:szCs w:val="24"/>
                <w:highlight w:val="none"/>
                <w:lang w:eastAsia="zh-CN"/>
              </w:rPr>
              <w:t>，产生量较小，拟于车间无组织排放</w:t>
            </w:r>
            <w:r>
              <w:rPr>
                <w:rFonts w:hint="eastAsia"/>
                <w:color w:val="auto"/>
                <w:sz w:val="24"/>
                <w:highlight w:val="none"/>
              </w:rPr>
              <w:t>。</w:t>
            </w:r>
          </w:p>
          <w:p w14:paraId="247A0C0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（4）超声波清洗</w:t>
            </w:r>
            <w:r>
              <w:rPr>
                <w:color w:val="auto"/>
                <w:sz w:val="24"/>
                <w:highlight w:val="none"/>
              </w:rPr>
              <w:t>：</w:t>
            </w:r>
            <w:r>
              <w:rPr>
                <w:rFonts w:hint="eastAsia"/>
                <w:color w:val="auto"/>
                <w:sz w:val="24"/>
                <w:highlight w:val="none"/>
                <w:lang w:val="en-US" w:eastAsia="zh-CN"/>
              </w:rPr>
              <w:t>胶合后的工件需要用超声波清洗机清洗，清洗不使用清洗剂，仅使用自来水清洗，此工序清洗废水W1。</w:t>
            </w:r>
          </w:p>
          <w:p w14:paraId="7F10EF6A">
            <w:pPr>
              <w:adjustRightInd w:val="0"/>
              <w:snapToGrid w:val="0"/>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（5）检验：利用干涉仪等检测设备对清洗好的成品进行检测，合格品进行入库，不合格品继续进行返工处理。</w:t>
            </w:r>
          </w:p>
          <w:p w14:paraId="63AD04E0">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hAnsi="Times New Roman" w:cs="Times New Roman" w:eastAsiaTheme="minorEastAsia"/>
                <w:color w:val="auto"/>
                <w:sz w:val="24"/>
                <w:szCs w:val="24"/>
                <w:highlight w:val="none"/>
                <w:lang w:val="en-US" w:eastAsia="zh-CN"/>
              </w:rPr>
            </w:pPr>
            <w:r>
              <w:rPr>
                <w:rFonts w:hint="default" w:hAnsi="Times New Roman" w:cs="Times New Roman" w:eastAsiaTheme="minorEastAsia"/>
                <w:color w:val="auto"/>
                <w:sz w:val="24"/>
                <w:szCs w:val="24"/>
                <w:highlight w:val="none"/>
                <w:lang w:val="en-US" w:eastAsia="zh-CN"/>
              </w:rPr>
              <w:t>（</w:t>
            </w:r>
            <w:r>
              <w:rPr>
                <w:rFonts w:hint="eastAsia" w:cs="Times New Roman" w:eastAsiaTheme="minorEastAsia"/>
                <w:color w:val="auto"/>
                <w:sz w:val="24"/>
                <w:szCs w:val="24"/>
                <w:highlight w:val="none"/>
                <w:lang w:val="en-US" w:eastAsia="zh-CN"/>
              </w:rPr>
              <w:t>6</w:t>
            </w:r>
            <w:r>
              <w:rPr>
                <w:rFonts w:hint="default" w:hAnsi="Times New Roman" w:cs="Times New Roman" w:eastAsiaTheme="minorEastAsia"/>
                <w:color w:val="auto"/>
                <w:sz w:val="24"/>
                <w:szCs w:val="24"/>
                <w:highlight w:val="none"/>
                <w:lang w:val="en-US" w:eastAsia="zh-CN"/>
              </w:rPr>
              <w:t>）成品入库</w:t>
            </w:r>
            <w:r>
              <w:rPr>
                <w:rFonts w:hint="eastAsia" w:cs="Times New Roman" w:eastAsiaTheme="minorEastAsia"/>
                <w:color w:val="auto"/>
                <w:sz w:val="24"/>
                <w:szCs w:val="24"/>
                <w:highlight w:val="none"/>
                <w:lang w:val="en-US" w:eastAsia="zh-CN"/>
              </w:rPr>
              <w:t>：</w:t>
            </w:r>
            <w:r>
              <w:rPr>
                <w:rFonts w:hint="default" w:hAnsi="Times New Roman" w:cs="Times New Roman" w:eastAsiaTheme="minorEastAsia"/>
                <w:color w:val="auto"/>
                <w:sz w:val="24"/>
                <w:szCs w:val="24"/>
                <w:highlight w:val="none"/>
                <w:lang w:val="en-US" w:eastAsia="zh-CN"/>
              </w:rPr>
              <w:t>将最终成品</w:t>
            </w:r>
            <w:r>
              <w:rPr>
                <w:rFonts w:hint="eastAsia" w:cs="Times New Roman" w:eastAsiaTheme="minorEastAsia"/>
                <w:color w:val="auto"/>
                <w:sz w:val="24"/>
                <w:szCs w:val="24"/>
                <w:highlight w:val="none"/>
                <w:lang w:val="en-US" w:eastAsia="zh-CN"/>
              </w:rPr>
              <w:t>包装</w:t>
            </w:r>
            <w:r>
              <w:rPr>
                <w:rFonts w:hint="default" w:hAnsi="Times New Roman" w:cs="Times New Roman" w:eastAsiaTheme="minorEastAsia"/>
                <w:color w:val="auto"/>
                <w:sz w:val="24"/>
                <w:szCs w:val="24"/>
                <w:highlight w:val="none"/>
                <w:lang w:val="en-US" w:eastAsia="zh-CN"/>
              </w:rPr>
              <w:t>入库。</w:t>
            </w:r>
          </w:p>
          <w:p w14:paraId="00CBB689">
            <w:pPr>
              <w:widowControl/>
              <w:adjustRightInd w:val="0"/>
              <w:snapToGrid w:val="0"/>
              <w:spacing w:line="360" w:lineRule="auto"/>
              <w:ind w:firstLine="241" w:firstLineChars="100"/>
              <w:jc w:val="both"/>
              <w:rPr>
                <w:b/>
                <w:bCs/>
                <w:color w:val="auto"/>
                <w:sz w:val="24"/>
                <w:szCs w:val="21"/>
                <w:highlight w:val="none"/>
              </w:rPr>
            </w:pPr>
            <w:r>
              <w:rPr>
                <w:b/>
                <w:bCs/>
                <w:color w:val="auto"/>
                <w:sz w:val="24"/>
                <w:szCs w:val="21"/>
                <w:highlight w:val="none"/>
              </w:rPr>
              <w:t>（二）主要污染工序</w:t>
            </w:r>
          </w:p>
          <w:p w14:paraId="10552105">
            <w:pPr>
              <w:pStyle w:val="33"/>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rPr>
                <w:rFonts w:ascii="Times New Roman" w:hAnsi="Times New Roman"/>
                <w:color w:val="auto"/>
                <w:highlight w:val="none"/>
              </w:rPr>
            </w:pPr>
            <w:r>
              <w:rPr>
                <w:rFonts w:ascii="Times New Roman" w:hAnsi="Times New Roman"/>
                <w:color w:val="auto"/>
                <w:highlight w:val="none"/>
              </w:rPr>
              <w:t>本项目运营期主要污染源分布详见下表2-</w:t>
            </w:r>
            <w:r>
              <w:rPr>
                <w:rFonts w:hint="eastAsia" w:ascii="Times New Roman" w:hAnsi="Times New Roman"/>
                <w:color w:val="auto"/>
                <w:highlight w:val="none"/>
                <w:lang w:val="en-US" w:eastAsia="zh-CN"/>
              </w:rPr>
              <w:t>6</w:t>
            </w:r>
            <w:r>
              <w:rPr>
                <w:rFonts w:ascii="Times New Roman" w:hAnsi="Times New Roman"/>
                <w:color w:val="auto"/>
                <w:highlight w:val="none"/>
              </w:rPr>
              <w:t>。</w:t>
            </w:r>
          </w:p>
          <w:p w14:paraId="7EFD886E">
            <w:pPr>
              <w:adjustRightInd w:val="0"/>
              <w:snapToGrid w:val="0"/>
              <w:jc w:val="center"/>
              <w:rPr>
                <w:bCs/>
                <w:color w:val="auto"/>
                <w:sz w:val="32"/>
                <w:szCs w:val="21"/>
                <w:highlight w:val="none"/>
              </w:rPr>
            </w:pPr>
            <w:r>
              <w:rPr>
                <w:b/>
                <w:color w:val="auto"/>
                <w:sz w:val="24"/>
                <w:highlight w:val="none"/>
              </w:rPr>
              <w:t>表2-</w:t>
            </w:r>
            <w:r>
              <w:rPr>
                <w:rFonts w:hint="eastAsia"/>
                <w:b/>
                <w:color w:val="auto"/>
                <w:sz w:val="24"/>
                <w:highlight w:val="none"/>
                <w:lang w:val="en-US" w:eastAsia="zh-CN"/>
              </w:rPr>
              <w:t>6</w:t>
            </w:r>
            <w:r>
              <w:rPr>
                <w:b/>
                <w:color w:val="auto"/>
                <w:sz w:val="24"/>
                <w:highlight w:val="none"/>
              </w:rPr>
              <w:t xml:space="preserve"> </w:t>
            </w:r>
            <w:r>
              <w:rPr>
                <w:rFonts w:hint="eastAsia"/>
                <w:b/>
                <w:color w:val="auto"/>
                <w:sz w:val="24"/>
                <w:highlight w:val="none"/>
                <w:lang w:val="en-US" w:eastAsia="zh-CN"/>
              </w:rPr>
              <w:t>本</w:t>
            </w:r>
            <w:r>
              <w:rPr>
                <w:b/>
                <w:color w:val="auto"/>
                <w:sz w:val="24"/>
                <w:highlight w:val="none"/>
              </w:rPr>
              <w:t>项目主要污染物分布情况一览表</w:t>
            </w:r>
          </w:p>
          <w:tbl>
            <w:tblPr>
              <w:tblStyle w:val="3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1916"/>
              <w:gridCol w:w="2549"/>
              <w:gridCol w:w="2065"/>
            </w:tblGrid>
            <w:tr w14:paraId="37B51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tcBorders>
                    <w:top w:val="single" w:color="auto" w:sz="12" w:space="0"/>
                    <w:bottom w:val="single" w:color="auto" w:sz="12" w:space="0"/>
                  </w:tcBorders>
                  <w:shd w:val="clear" w:color="auto" w:fill="auto"/>
                  <w:vAlign w:val="center"/>
                </w:tcPr>
                <w:p w14:paraId="5AABA72C">
                  <w:pPr>
                    <w:jc w:val="center"/>
                    <w:rPr>
                      <w:b/>
                      <w:color w:val="auto"/>
                      <w:szCs w:val="21"/>
                      <w:highlight w:val="none"/>
                    </w:rPr>
                  </w:pPr>
                  <w:r>
                    <w:rPr>
                      <w:b/>
                      <w:color w:val="auto"/>
                      <w:szCs w:val="21"/>
                      <w:highlight w:val="none"/>
                    </w:rPr>
                    <w:t>污染物类别</w:t>
                  </w:r>
                </w:p>
              </w:tc>
              <w:tc>
                <w:tcPr>
                  <w:tcW w:w="1916" w:type="dxa"/>
                  <w:tcBorders>
                    <w:top w:val="single" w:color="auto" w:sz="12" w:space="0"/>
                    <w:bottom w:val="single" w:color="auto" w:sz="12" w:space="0"/>
                  </w:tcBorders>
                  <w:shd w:val="clear" w:color="auto" w:fill="auto"/>
                  <w:vAlign w:val="center"/>
                </w:tcPr>
                <w:p w14:paraId="427DE485">
                  <w:pPr>
                    <w:jc w:val="center"/>
                    <w:rPr>
                      <w:b/>
                      <w:color w:val="auto"/>
                      <w:szCs w:val="21"/>
                      <w:highlight w:val="none"/>
                    </w:rPr>
                  </w:pPr>
                  <w:r>
                    <w:rPr>
                      <w:b/>
                      <w:color w:val="auto"/>
                      <w:szCs w:val="21"/>
                      <w:highlight w:val="none"/>
                    </w:rPr>
                    <w:t>编号</w:t>
                  </w:r>
                </w:p>
              </w:tc>
              <w:tc>
                <w:tcPr>
                  <w:tcW w:w="2549" w:type="dxa"/>
                  <w:tcBorders>
                    <w:top w:val="single" w:color="auto" w:sz="12" w:space="0"/>
                    <w:bottom w:val="single" w:color="auto" w:sz="12" w:space="0"/>
                  </w:tcBorders>
                  <w:shd w:val="clear" w:color="auto" w:fill="auto"/>
                  <w:vAlign w:val="center"/>
                </w:tcPr>
                <w:p w14:paraId="00340538">
                  <w:pPr>
                    <w:jc w:val="center"/>
                    <w:rPr>
                      <w:b/>
                      <w:color w:val="auto"/>
                      <w:szCs w:val="21"/>
                      <w:highlight w:val="none"/>
                    </w:rPr>
                  </w:pPr>
                  <w:r>
                    <w:rPr>
                      <w:b/>
                      <w:color w:val="auto"/>
                      <w:szCs w:val="21"/>
                      <w:highlight w:val="none"/>
                    </w:rPr>
                    <w:t>排放源</w:t>
                  </w:r>
                </w:p>
              </w:tc>
              <w:tc>
                <w:tcPr>
                  <w:tcW w:w="2065" w:type="dxa"/>
                  <w:tcBorders>
                    <w:top w:val="single" w:color="auto" w:sz="12" w:space="0"/>
                    <w:bottom w:val="single" w:color="auto" w:sz="12" w:space="0"/>
                  </w:tcBorders>
                  <w:shd w:val="clear" w:color="auto" w:fill="auto"/>
                  <w:vAlign w:val="center"/>
                </w:tcPr>
                <w:p w14:paraId="57A06673">
                  <w:pPr>
                    <w:jc w:val="center"/>
                    <w:rPr>
                      <w:b/>
                      <w:color w:val="auto"/>
                      <w:szCs w:val="21"/>
                      <w:highlight w:val="none"/>
                    </w:rPr>
                  </w:pPr>
                  <w:r>
                    <w:rPr>
                      <w:b/>
                      <w:color w:val="auto"/>
                      <w:szCs w:val="21"/>
                      <w:highlight w:val="none"/>
                    </w:rPr>
                    <w:t>污染物名称</w:t>
                  </w:r>
                </w:p>
              </w:tc>
            </w:tr>
            <w:tr w14:paraId="4E443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Merge w:val="restart"/>
                  <w:shd w:val="clear" w:color="auto" w:fill="auto"/>
                  <w:vAlign w:val="center"/>
                </w:tcPr>
                <w:p w14:paraId="27379790">
                  <w:pPr>
                    <w:adjustRightInd w:val="0"/>
                    <w:snapToGrid w:val="0"/>
                    <w:jc w:val="center"/>
                    <w:rPr>
                      <w:bCs/>
                      <w:color w:val="auto"/>
                      <w:szCs w:val="21"/>
                      <w:highlight w:val="none"/>
                    </w:rPr>
                  </w:pPr>
                  <w:r>
                    <w:rPr>
                      <w:rFonts w:hint="eastAsia"/>
                      <w:bCs/>
                      <w:color w:val="auto"/>
                      <w:szCs w:val="21"/>
                      <w:highlight w:val="none"/>
                    </w:rPr>
                    <w:t>废气</w:t>
                  </w:r>
                </w:p>
              </w:tc>
              <w:tc>
                <w:tcPr>
                  <w:tcW w:w="1916" w:type="dxa"/>
                  <w:shd w:val="clear" w:color="auto" w:fill="auto"/>
                  <w:vAlign w:val="center"/>
                </w:tcPr>
                <w:p w14:paraId="789CFFEC">
                  <w:pPr>
                    <w:adjustRightInd w:val="0"/>
                    <w:snapToGrid w:val="0"/>
                    <w:jc w:val="center"/>
                    <w:rPr>
                      <w:rFonts w:hint="eastAsia"/>
                      <w:bCs/>
                      <w:color w:val="auto"/>
                      <w:sz w:val="21"/>
                      <w:szCs w:val="21"/>
                      <w:highlight w:val="none"/>
                      <w:lang w:val="en-US" w:eastAsia="zh-CN"/>
                    </w:rPr>
                  </w:pPr>
                  <w:r>
                    <w:rPr>
                      <w:rFonts w:hint="eastAsia"/>
                      <w:bCs/>
                      <w:color w:val="auto"/>
                      <w:sz w:val="21"/>
                      <w:szCs w:val="21"/>
                      <w:highlight w:val="none"/>
                      <w:lang w:val="en-US" w:eastAsia="zh-CN"/>
                    </w:rPr>
                    <w:t>G1</w:t>
                  </w:r>
                </w:p>
              </w:tc>
              <w:tc>
                <w:tcPr>
                  <w:tcW w:w="2549" w:type="dxa"/>
                  <w:shd w:val="clear" w:color="auto" w:fill="auto"/>
                  <w:vAlign w:val="center"/>
                </w:tcPr>
                <w:p w14:paraId="3F9915C2">
                  <w:pPr>
                    <w:adjustRightInd w:val="0"/>
                    <w:snapToGrid w:val="0"/>
                    <w:jc w:val="center"/>
                    <w:rPr>
                      <w:rFonts w:hint="eastAsia"/>
                      <w:bCs/>
                      <w:color w:val="auto"/>
                      <w:sz w:val="21"/>
                      <w:szCs w:val="21"/>
                      <w:highlight w:val="none"/>
                      <w:lang w:val="en-US" w:eastAsia="zh-CN"/>
                    </w:rPr>
                  </w:pPr>
                  <w:r>
                    <w:rPr>
                      <w:rFonts w:hint="eastAsia"/>
                      <w:bCs/>
                      <w:color w:val="auto"/>
                      <w:sz w:val="21"/>
                      <w:szCs w:val="21"/>
                      <w:highlight w:val="none"/>
                      <w:lang w:val="en-US" w:eastAsia="zh-CN"/>
                    </w:rPr>
                    <w:t>擦拭工序</w:t>
                  </w:r>
                </w:p>
              </w:tc>
              <w:tc>
                <w:tcPr>
                  <w:tcW w:w="2065" w:type="dxa"/>
                  <w:shd w:val="clear" w:color="auto" w:fill="auto"/>
                  <w:vAlign w:val="center"/>
                </w:tcPr>
                <w:p w14:paraId="609742D9">
                  <w:pPr>
                    <w:adjustRightInd w:val="0"/>
                    <w:snapToGrid w:val="0"/>
                    <w:jc w:val="center"/>
                    <w:rPr>
                      <w:rFonts w:hint="eastAsia"/>
                      <w:bCs/>
                      <w:color w:val="auto"/>
                      <w:sz w:val="21"/>
                      <w:szCs w:val="21"/>
                      <w:highlight w:val="none"/>
                    </w:rPr>
                  </w:pPr>
                  <w:r>
                    <w:rPr>
                      <w:rFonts w:hint="eastAsia"/>
                      <w:bCs/>
                      <w:color w:val="auto"/>
                      <w:sz w:val="21"/>
                      <w:szCs w:val="21"/>
                      <w:highlight w:val="none"/>
                    </w:rPr>
                    <w:t>非甲烷总烃</w:t>
                  </w:r>
                </w:p>
              </w:tc>
            </w:tr>
            <w:tr w14:paraId="6E354A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Merge w:val="continue"/>
                  <w:shd w:val="clear" w:color="auto" w:fill="auto"/>
                  <w:vAlign w:val="center"/>
                </w:tcPr>
                <w:p w14:paraId="1081227F">
                  <w:pPr>
                    <w:adjustRightInd w:val="0"/>
                    <w:snapToGrid w:val="0"/>
                    <w:jc w:val="center"/>
                    <w:rPr>
                      <w:bCs/>
                      <w:color w:val="auto"/>
                      <w:szCs w:val="21"/>
                      <w:highlight w:val="none"/>
                    </w:rPr>
                  </w:pPr>
                </w:p>
              </w:tc>
              <w:tc>
                <w:tcPr>
                  <w:tcW w:w="1916" w:type="dxa"/>
                  <w:shd w:val="clear" w:color="auto" w:fill="auto"/>
                  <w:vAlign w:val="center"/>
                </w:tcPr>
                <w:p w14:paraId="1B5CB1C1">
                  <w:pPr>
                    <w:adjustRightInd w:val="0"/>
                    <w:snapToGrid w:val="0"/>
                    <w:jc w:val="center"/>
                    <w:rPr>
                      <w:rFonts w:hint="eastAsia" w:eastAsia="宋体"/>
                      <w:bCs/>
                      <w:color w:val="auto"/>
                      <w:sz w:val="21"/>
                      <w:szCs w:val="21"/>
                      <w:highlight w:val="none"/>
                      <w:lang w:val="en-US" w:eastAsia="zh-CN"/>
                    </w:rPr>
                  </w:pPr>
                  <w:r>
                    <w:rPr>
                      <w:rFonts w:hint="eastAsia"/>
                      <w:bCs/>
                      <w:color w:val="auto"/>
                      <w:sz w:val="21"/>
                      <w:szCs w:val="21"/>
                      <w:highlight w:val="none"/>
                    </w:rPr>
                    <w:t>G</w:t>
                  </w:r>
                  <w:r>
                    <w:rPr>
                      <w:rFonts w:hint="eastAsia"/>
                      <w:bCs/>
                      <w:color w:val="auto"/>
                      <w:sz w:val="21"/>
                      <w:szCs w:val="21"/>
                      <w:highlight w:val="none"/>
                      <w:lang w:val="en-US" w:eastAsia="zh-CN"/>
                    </w:rPr>
                    <w:t>2</w:t>
                  </w:r>
                </w:p>
              </w:tc>
              <w:tc>
                <w:tcPr>
                  <w:tcW w:w="2549" w:type="dxa"/>
                  <w:shd w:val="clear" w:color="auto" w:fill="auto"/>
                  <w:vAlign w:val="center"/>
                </w:tcPr>
                <w:p w14:paraId="4409E1CF">
                  <w:pPr>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胶合工序</w:t>
                  </w:r>
                </w:p>
              </w:tc>
              <w:tc>
                <w:tcPr>
                  <w:tcW w:w="2065" w:type="dxa"/>
                  <w:shd w:val="clear" w:color="auto" w:fill="auto"/>
                  <w:vAlign w:val="center"/>
                </w:tcPr>
                <w:p w14:paraId="2E9C0F5D">
                  <w:pPr>
                    <w:adjustRightInd w:val="0"/>
                    <w:snapToGrid w:val="0"/>
                    <w:jc w:val="center"/>
                    <w:rPr>
                      <w:bCs/>
                      <w:color w:val="auto"/>
                      <w:sz w:val="21"/>
                      <w:szCs w:val="21"/>
                      <w:highlight w:val="none"/>
                    </w:rPr>
                  </w:pPr>
                  <w:r>
                    <w:rPr>
                      <w:rFonts w:hint="eastAsia"/>
                      <w:bCs/>
                      <w:color w:val="auto"/>
                      <w:sz w:val="21"/>
                      <w:szCs w:val="21"/>
                      <w:highlight w:val="none"/>
                    </w:rPr>
                    <w:t>非甲烷总烃</w:t>
                  </w:r>
                </w:p>
              </w:tc>
            </w:tr>
            <w:tr w14:paraId="2C574A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shd w:val="clear" w:color="auto" w:fill="auto"/>
                  <w:vAlign w:val="center"/>
                </w:tcPr>
                <w:p w14:paraId="2E2E1A1B">
                  <w:pPr>
                    <w:adjustRightInd w:val="0"/>
                    <w:snapToGrid w:val="0"/>
                    <w:jc w:val="center"/>
                    <w:rPr>
                      <w:bCs/>
                      <w:color w:val="auto"/>
                      <w:szCs w:val="21"/>
                      <w:highlight w:val="none"/>
                    </w:rPr>
                  </w:pPr>
                  <w:r>
                    <w:rPr>
                      <w:bCs/>
                      <w:color w:val="auto"/>
                      <w:szCs w:val="21"/>
                      <w:highlight w:val="none"/>
                    </w:rPr>
                    <w:t>噪声</w:t>
                  </w:r>
                </w:p>
              </w:tc>
              <w:tc>
                <w:tcPr>
                  <w:tcW w:w="1916" w:type="dxa"/>
                  <w:shd w:val="clear" w:color="auto" w:fill="auto"/>
                  <w:vAlign w:val="center"/>
                </w:tcPr>
                <w:p w14:paraId="66A507DA">
                  <w:pPr>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eastAsia="宋体"/>
                      <w:bCs/>
                      <w:color w:val="auto"/>
                      <w:sz w:val="21"/>
                      <w:szCs w:val="21"/>
                      <w:highlight w:val="none"/>
                      <w:lang w:val="en-US" w:eastAsia="zh-CN"/>
                    </w:rPr>
                    <w:t>N</w:t>
                  </w:r>
                </w:p>
              </w:tc>
              <w:tc>
                <w:tcPr>
                  <w:tcW w:w="2549" w:type="dxa"/>
                  <w:shd w:val="clear" w:color="auto" w:fill="auto"/>
                  <w:vAlign w:val="center"/>
                </w:tcPr>
                <w:p w14:paraId="2E579D24">
                  <w:pPr>
                    <w:adjustRightInd w:val="0"/>
                    <w:snapToGrid w:val="0"/>
                    <w:jc w:val="center"/>
                    <w:rPr>
                      <w:bCs/>
                      <w:color w:val="auto"/>
                      <w:sz w:val="21"/>
                      <w:szCs w:val="21"/>
                      <w:highlight w:val="none"/>
                    </w:rPr>
                  </w:pPr>
                  <w:r>
                    <w:rPr>
                      <w:bCs/>
                      <w:color w:val="auto"/>
                      <w:sz w:val="21"/>
                      <w:szCs w:val="21"/>
                      <w:highlight w:val="none"/>
                    </w:rPr>
                    <w:t>设备噪声</w:t>
                  </w:r>
                </w:p>
              </w:tc>
              <w:tc>
                <w:tcPr>
                  <w:tcW w:w="2065" w:type="dxa"/>
                  <w:shd w:val="clear" w:color="auto" w:fill="auto"/>
                  <w:vAlign w:val="center"/>
                </w:tcPr>
                <w:p w14:paraId="30AA59D0">
                  <w:pPr>
                    <w:adjustRightInd w:val="0"/>
                    <w:snapToGrid w:val="0"/>
                    <w:jc w:val="center"/>
                    <w:rPr>
                      <w:bCs/>
                      <w:color w:val="auto"/>
                      <w:sz w:val="21"/>
                      <w:szCs w:val="21"/>
                      <w:highlight w:val="none"/>
                    </w:rPr>
                  </w:pPr>
                  <w:r>
                    <w:rPr>
                      <w:bCs/>
                      <w:color w:val="auto"/>
                      <w:sz w:val="21"/>
                      <w:szCs w:val="21"/>
                      <w:highlight w:val="none"/>
                    </w:rPr>
                    <w:t>噪声</w:t>
                  </w:r>
                </w:p>
              </w:tc>
            </w:tr>
            <w:tr w14:paraId="24936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Merge w:val="restart"/>
                  <w:shd w:val="clear" w:color="auto" w:fill="auto"/>
                  <w:vAlign w:val="center"/>
                </w:tcPr>
                <w:p w14:paraId="5BCFFF47">
                  <w:pPr>
                    <w:adjustRightInd w:val="0"/>
                    <w:snapToGrid w:val="0"/>
                    <w:jc w:val="center"/>
                    <w:rPr>
                      <w:bCs/>
                      <w:color w:val="auto"/>
                      <w:szCs w:val="21"/>
                      <w:highlight w:val="none"/>
                    </w:rPr>
                  </w:pPr>
                  <w:r>
                    <w:rPr>
                      <w:bCs/>
                      <w:color w:val="auto"/>
                      <w:szCs w:val="21"/>
                      <w:highlight w:val="none"/>
                    </w:rPr>
                    <w:t>固废</w:t>
                  </w:r>
                </w:p>
              </w:tc>
              <w:tc>
                <w:tcPr>
                  <w:tcW w:w="1916" w:type="dxa"/>
                  <w:shd w:val="clear" w:color="auto" w:fill="auto"/>
                  <w:vAlign w:val="center"/>
                </w:tcPr>
                <w:p w14:paraId="3A7DD8B3">
                  <w:pPr>
                    <w:adjustRightInd w:val="0"/>
                    <w:snapToGrid w:val="0"/>
                    <w:jc w:val="center"/>
                    <w:rPr>
                      <w:rFonts w:hint="eastAsia" w:eastAsia="宋体"/>
                      <w:bCs/>
                      <w:color w:val="auto"/>
                      <w:sz w:val="21"/>
                      <w:szCs w:val="21"/>
                      <w:highlight w:val="none"/>
                      <w:lang w:eastAsia="zh-CN"/>
                    </w:rPr>
                  </w:pPr>
                  <w:r>
                    <w:rPr>
                      <w:bCs/>
                      <w:color w:val="auto"/>
                      <w:sz w:val="21"/>
                      <w:szCs w:val="21"/>
                      <w:highlight w:val="none"/>
                    </w:rPr>
                    <w:t>S1</w:t>
                  </w:r>
                </w:p>
              </w:tc>
              <w:tc>
                <w:tcPr>
                  <w:tcW w:w="2549" w:type="dxa"/>
                  <w:shd w:val="clear" w:color="auto" w:fill="auto"/>
                  <w:vAlign w:val="center"/>
                </w:tcPr>
                <w:p w14:paraId="1600C9E3">
                  <w:pPr>
                    <w:adjustRightInd w:val="0"/>
                    <w:snapToGrid w:val="0"/>
                    <w:jc w:val="center"/>
                    <w:rPr>
                      <w:rFonts w:hint="eastAsia" w:eastAsia="宋体"/>
                      <w:bCs/>
                      <w:color w:val="auto"/>
                      <w:sz w:val="21"/>
                      <w:szCs w:val="21"/>
                      <w:highlight w:val="none"/>
                      <w:lang w:eastAsia="zh-CN"/>
                    </w:rPr>
                  </w:pPr>
                  <w:r>
                    <w:rPr>
                      <w:rFonts w:hint="eastAsia"/>
                      <w:bCs/>
                      <w:color w:val="auto"/>
                      <w:sz w:val="21"/>
                      <w:szCs w:val="21"/>
                      <w:highlight w:val="none"/>
                      <w:lang w:val="en-US" w:eastAsia="zh-CN"/>
                    </w:rPr>
                    <w:t>擦片</w:t>
                  </w:r>
                  <w:r>
                    <w:rPr>
                      <w:rFonts w:hint="eastAsia"/>
                      <w:bCs/>
                      <w:color w:val="auto"/>
                      <w:sz w:val="21"/>
                      <w:szCs w:val="21"/>
                      <w:highlight w:val="none"/>
                      <w:lang w:eastAsia="zh-CN"/>
                    </w:rPr>
                    <w:t>工序</w:t>
                  </w:r>
                </w:p>
              </w:tc>
              <w:tc>
                <w:tcPr>
                  <w:tcW w:w="2065" w:type="dxa"/>
                  <w:shd w:val="clear" w:color="auto" w:fill="auto"/>
                  <w:vAlign w:val="center"/>
                </w:tcPr>
                <w:p w14:paraId="09E37C3C">
                  <w:pPr>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eastAsia="zh-CN"/>
                    </w:rPr>
                    <w:t>废</w:t>
                  </w:r>
                  <w:r>
                    <w:rPr>
                      <w:rFonts w:hint="eastAsia"/>
                      <w:bCs/>
                      <w:color w:val="auto"/>
                      <w:sz w:val="21"/>
                      <w:szCs w:val="21"/>
                      <w:highlight w:val="none"/>
                      <w:lang w:val="en-US" w:eastAsia="zh-CN"/>
                    </w:rPr>
                    <w:t>无尘纸/布</w:t>
                  </w:r>
                </w:p>
              </w:tc>
            </w:tr>
            <w:tr w14:paraId="59622F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Merge w:val="continue"/>
                  <w:shd w:val="clear" w:color="auto" w:fill="auto"/>
                  <w:vAlign w:val="center"/>
                </w:tcPr>
                <w:p w14:paraId="4A51F502">
                  <w:pPr>
                    <w:adjustRightInd w:val="0"/>
                    <w:snapToGrid w:val="0"/>
                    <w:jc w:val="center"/>
                    <w:rPr>
                      <w:bCs/>
                      <w:color w:val="auto"/>
                      <w:szCs w:val="21"/>
                      <w:highlight w:val="none"/>
                    </w:rPr>
                  </w:pPr>
                </w:p>
              </w:tc>
              <w:tc>
                <w:tcPr>
                  <w:tcW w:w="1916" w:type="dxa"/>
                  <w:shd w:val="clear" w:color="auto" w:fill="auto"/>
                  <w:vAlign w:val="center"/>
                </w:tcPr>
                <w:p w14:paraId="6D5E788E">
                  <w:pPr>
                    <w:adjustRightInd w:val="0"/>
                    <w:snapToGrid w:val="0"/>
                    <w:jc w:val="center"/>
                    <w:rPr>
                      <w:rFonts w:hint="default" w:eastAsia="宋体"/>
                      <w:bCs/>
                      <w:color w:val="auto"/>
                      <w:sz w:val="21"/>
                      <w:szCs w:val="21"/>
                      <w:highlight w:val="none"/>
                      <w:lang w:val="en-US" w:eastAsia="zh-CN"/>
                    </w:rPr>
                  </w:pPr>
                  <w:r>
                    <w:rPr>
                      <w:bCs/>
                      <w:color w:val="auto"/>
                      <w:sz w:val="21"/>
                      <w:szCs w:val="21"/>
                      <w:highlight w:val="none"/>
                    </w:rPr>
                    <w:t>S</w:t>
                  </w:r>
                  <w:r>
                    <w:rPr>
                      <w:rFonts w:hint="eastAsia"/>
                      <w:bCs/>
                      <w:color w:val="auto"/>
                      <w:sz w:val="21"/>
                      <w:szCs w:val="21"/>
                      <w:highlight w:val="none"/>
                      <w:lang w:val="en-US" w:eastAsia="zh-CN"/>
                    </w:rPr>
                    <w:t>2</w:t>
                  </w:r>
                </w:p>
              </w:tc>
              <w:tc>
                <w:tcPr>
                  <w:tcW w:w="2549" w:type="dxa"/>
                  <w:shd w:val="clear" w:color="auto" w:fill="auto"/>
                  <w:vAlign w:val="center"/>
                </w:tcPr>
                <w:p w14:paraId="34CAAEE0">
                  <w:pPr>
                    <w:adjustRightInd w:val="0"/>
                    <w:snapToGrid w:val="0"/>
                    <w:jc w:val="center"/>
                    <w:rPr>
                      <w:bCs/>
                      <w:color w:val="auto"/>
                      <w:sz w:val="21"/>
                      <w:szCs w:val="21"/>
                      <w:highlight w:val="none"/>
                    </w:rPr>
                  </w:pPr>
                  <w:r>
                    <w:rPr>
                      <w:rFonts w:hint="eastAsia"/>
                      <w:bCs/>
                      <w:color w:val="auto"/>
                      <w:sz w:val="21"/>
                      <w:szCs w:val="21"/>
                      <w:highlight w:val="none"/>
                      <w:lang w:val="en-US" w:eastAsia="zh-CN"/>
                    </w:rPr>
                    <w:t>镀膜工序</w:t>
                  </w:r>
                </w:p>
              </w:tc>
              <w:tc>
                <w:tcPr>
                  <w:tcW w:w="2065" w:type="dxa"/>
                  <w:shd w:val="clear" w:color="auto" w:fill="auto"/>
                  <w:vAlign w:val="center"/>
                </w:tcPr>
                <w:p w14:paraId="0FB06180">
                  <w:pPr>
                    <w:adjustRightInd w:val="0"/>
                    <w:snapToGrid w:val="0"/>
                    <w:jc w:val="center"/>
                    <w:rPr>
                      <w:rFonts w:hint="default"/>
                      <w:bCs/>
                      <w:color w:val="auto"/>
                      <w:sz w:val="21"/>
                      <w:szCs w:val="21"/>
                      <w:highlight w:val="none"/>
                      <w:lang w:val="en-US"/>
                    </w:rPr>
                  </w:pPr>
                  <w:r>
                    <w:rPr>
                      <w:bCs/>
                      <w:color w:val="auto"/>
                      <w:sz w:val="21"/>
                      <w:szCs w:val="21"/>
                      <w:highlight w:val="none"/>
                    </w:rPr>
                    <w:t>废</w:t>
                  </w:r>
                  <w:r>
                    <w:rPr>
                      <w:rFonts w:hint="eastAsia"/>
                      <w:bCs/>
                      <w:color w:val="auto"/>
                      <w:sz w:val="21"/>
                      <w:szCs w:val="21"/>
                      <w:highlight w:val="none"/>
                      <w:lang w:val="en-US" w:eastAsia="zh-CN"/>
                    </w:rPr>
                    <w:t>镀膜材料</w:t>
                  </w:r>
                </w:p>
              </w:tc>
            </w:tr>
            <w:tr w14:paraId="619047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Merge w:val="continue"/>
                  <w:shd w:val="clear" w:color="auto" w:fill="auto"/>
                  <w:vAlign w:val="center"/>
                </w:tcPr>
                <w:p w14:paraId="0A6265F3">
                  <w:pPr>
                    <w:adjustRightInd w:val="0"/>
                    <w:snapToGrid w:val="0"/>
                    <w:jc w:val="center"/>
                    <w:rPr>
                      <w:bCs/>
                      <w:color w:val="auto"/>
                      <w:szCs w:val="21"/>
                      <w:highlight w:val="none"/>
                    </w:rPr>
                  </w:pPr>
                </w:p>
              </w:tc>
              <w:tc>
                <w:tcPr>
                  <w:tcW w:w="1916" w:type="dxa"/>
                  <w:shd w:val="clear" w:color="auto" w:fill="auto"/>
                  <w:vAlign w:val="center"/>
                </w:tcPr>
                <w:p w14:paraId="1AEB9F06">
                  <w:pPr>
                    <w:adjustRightInd w:val="0"/>
                    <w:snapToGrid w:val="0"/>
                    <w:jc w:val="center"/>
                    <w:rPr>
                      <w:rFonts w:hint="eastAsia" w:eastAsia="宋体"/>
                      <w:bCs/>
                      <w:color w:val="auto"/>
                      <w:sz w:val="21"/>
                      <w:szCs w:val="21"/>
                      <w:highlight w:val="none"/>
                      <w:lang w:eastAsia="zh-CN"/>
                    </w:rPr>
                  </w:pPr>
                  <w:r>
                    <w:rPr>
                      <w:bCs/>
                      <w:color w:val="auto"/>
                      <w:sz w:val="21"/>
                      <w:szCs w:val="21"/>
                      <w:highlight w:val="none"/>
                    </w:rPr>
                    <w:t>S</w:t>
                  </w:r>
                  <w:r>
                    <w:rPr>
                      <w:rFonts w:hint="eastAsia"/>
                      <w:bCs/>
                      <w:color w:val="auto"/>
                      <w:sz w:val="21"/>
                      <w:szCs w:val="21"/>
                      <w:highlight w:val="none"/>
                      <w:lang w:val="en-US" w:eastAsia="zh-CN"/>
                    </w:rPr>
                    <w:t>3</w:t>
                  </w:r>
                </w:p>
              </w:tc>
              <w:tc>
                <w:tcPr>
                  <w:tcW w:w="2549" w:type="dxa"/>
                  <w:shd w:val="clear" w:color="auto" w:fill="auto"/>
                  <w:vAlign w:val="center"/>
                </w:tcPr>
                <w:p w14:paraId="52C25FC9">
                  <w:pPr>
                    <w:adjustRightInd w:val="0"/>
                    <w:snapToGrid w:val="0"/>
                    <w:jc w:val="center"/>
                    <w:rPr>
                      <w:rFonts w:hint="eastAsia" w:eastAsia="宋体"/>
                      <w:bCs/>
                      <w:color w:val="auto"/>
                      <w:sz w:val="21"/>
                      <w:szCs w:val="21"/>
                      <w:highlight w:val="none"/>
                      <w:lang w:eastAsia="zh-CN"/>
                    </w:rPr>
                  </w:pPr>
                  <w:r>
                    <w:rPr>
                      <w:rFonts w:hint="eastAsia"/>
                      <w:bCs/>
                      <w:color w:val="auto"/>
                      <w:sz w:val="21"/>
                      <w:szCs w:val="21"/>
                      <w:highlight w:val="none"/>
                      <w:lang w:val="en-US" w:eastAsia="zh-CN"/>
                    </w:rPr>
                    <w:t>设备润滑</w:t>
                  </w:r>
                </w:p>
              </w:tc>
              <w:tc>
                <w:tcPr>
                  <w:tcW w:w="2065" w:type="dxa"/>
                  <w:shd w:val="clear" w:color="auto" w:fill="auto"/>
                  <w:vAlign w:val="center"/>
                </w:tcPr>
                <w:p w14:paraId="351137FD">
                  <w:pPr>
                    <w:adjustRightInd w:val="0"/>
                    <w:snapToGrid w:val="0"/>
                    <w:jc w:val="center"/>
                    <w:rPr>
                      <w:bCs/>
                      <w:color w:val="auto"/>
                      <w:sz w:val="21"/>
                      <w:szCs w:val="21"/>
                      <w:highlight w:val="none"/>
                    </w:rPr>
                  </w:pPr>
                  <w:r>
                    <w:rPr>
                      <w:bCs/>
                      <w:color w:val="auto"/>
                      <w:sz w:val="21"/>
                      <w:szCs w:val="21"/>
                      <w:highlight w:val="none"/>
                    </w:rPr>
                    <w:t>废</w:t>
                  </w:r>
                  <w:r>
                    <w:rPr>
                      <w:rFonts w:hint="eastAsia"/>
                      <w:bCs/>
                      <w:color w:val="auto"/>
                      <w:sz w:val="21"/>
                      <w:szCs w:val="21"/>
                      <w:highlight w:val="none"/>
                      <w:lang w:val="en-US" w:eastAsia="zh-CN"/>
                    </w:rPr>
                    <w:t>润滑</w:t>
                  </w:r>
                  <w:r>
                    <w:rPr>
                      <w:bCs/>
                      <w:color w:val="auto"/>
                      <w:sz w:val="21"/>
                      <w:szCs w:val="21"/>
                      <w:highlight w:val="none"/>
                    </w:rPr>
                    <w:t>油</w:t>
                  </w:r>
                </w:p>
              </w:tc>
            </w:tr>
            <w:tr w14:paraId="319C6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727" w:type="dxa"/>
                  <w:vMerge w:val="continue"/>
                  <w:shd w:val="clear" w:color="auto" w:fill="auto"/>
                  <w:vAlign w:val="center"/>
                </w:tcPr>
                <w:p w14:paraId="3DD69CEC">
                  <w:pPr>
                    <w:adjustRightInd w:val="0"/>
                    <w:snapToGrid w:val="0"/>
                    <w:jc w:val="center"/>
                    <w:rPr>
                      <w:bCs/>
                      <w:color w:val="auto"/>
                      <w:szCs w:val="21"/>
                      <w:highlight w:val="none"/>
                    </w:rPr>
                  </w:pPr>
                </w:p>
              </w:tc>
              <w:tc>
                <w:tcPr>
                  <w:tcW w:w="1916" w:type="dxa"/>
                  <w:shd w:val="clear" w:color="auto" w:fill="auto"/>
                  <w:vAlign w:val="center"/>
                </w:tcPr>
                <w:p w14:paraId="7890C664">
                  <w:pPr>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S4</w:t>
                  </w:r>
                </w:p>
              </w:tc>
              <w:tc>
                <w:tcPr>
                  <w:tcW w:w="2549" w:type="dxa"/>
                  <w:shd w:val="clear" w:color="auto" w:fill="auto"/>
                  <w:vAlign w:val="center"/>
                </w:tcPr>
                <w:p w14:paraId="0A9FEC46">
                  <w:pPr>
                    <w:adjustRightInd w:val="0"/>
                    <w:snapToGrid w:val="0"/>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员工生活</w:t>
                  </w:r>
                </w:p>
              </w:tc>
              <w:tc>
                <w:tcPr>
                  <w:tcW w:w="2065" w:type="dxa"/>
                  <w:shd w:val="clear" w:color="auto" w:fill="auto"/>
                  <w:vAlign w:val="center"/>
                </w:tcPr>
                <w:p w14:paraId="7D3B51B0">
                  <w:pPr>
                    <w:adjustRightInd w:val="0"/>
                    <w:snapToGrid w:val="0"/>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生活垃圾</w:t>
                  </w:r>
                </w:p>
              </w:tc>
            </w:tr>
            <w:tr w14:paraId="6AA0A2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Merge w:val="continue"/>
                  <w:shd w:val="clear" w:color="auto" w:fill="auto"/>
                  <w:vAlign w:val="center"/>
                </w:tcPr>
                <w:p w14:paraId="27B6EABD">
                  <w:pPr>
                    <w:adjustRightInd w:val="0"/>
                    <w:snapToGrid w:val="0"/>
                    <w:jc w:val="center"/>
                    <w:rPr>
                      <w:bCs/>
                      <w:color w:val="auto"/>
                      <w:szCs w:val="21"/>
                      <w:highlight w:val="none"/>
                    </w:rPr>
                  </w:pPr>
                </w:p>
              </w:tc>
              <w:tc>
                <w:tcPr>
                  <w:tcW w:w="1916" w:type="dxa"/>
                  <w:shd w:val="clear" w:color="auto" w:fill="auto"/>
                  <w:vAlign w:val="center"/>
                </w:tcPr>
                <w:p w14:paraId="56A6631A">
                  <w:pPr>
                    <w:adjustRightInd w:val="0"/>
                    <w:snapToGrid w:val="0"/>
                    <w:jc w:val="center"/>
                    <w:rPr>
                      <w:rFonts w:hint="default"/>
                      <w:bCs/>
                      <w:color w:val="auto"/>
                      <w:sz w:val="21"/>
                      <w:szCs w:val="21"/>
                      <w:highlight w:val="none"/>
                      <w:lang w:val="en-US" w:eastAsia="zh-CN"/>
                    </w:rPr>
                  </w:pPr>
                  <w:r>
                    <w:rPr>
                      <w:rFonts w:hint="eastAsia"/>
                      <w:bCs/>
                      <w:color w:val="auto"/>
                      <w:sz w:val="21"/>
                      <w:szCs w:val="21"/>
                      <w:highlight w:val="none"/>
                      <w:lang w:val="en-US" w:eastAsia="zh-CN"/>
                    </w:rPr>
                    <w:t>S5</w:t>
                  </w:r>
                </w:p>
              </w:tc>
              <w:tc>
                <w:tcPr>
                  <w:tcW w:w="2549" w:type="dxa"/>
                  <w:shd w:val="clear" w:color="auto" w:fill="auto"/>
                  <w:vAlign w:val="center"/>
                </w:tcPr>
                <w:p w14:paraId="2D5D7B54">
                  <w:pPr>
                    <w:adjustRightInd w:val="0"/>
                    <w:snapToGrid w:val="0"/>
                    <w:jc w:val="center"/>
                    <w:rPr>
                      <w:rFonts w:hint="eastAsia"/>
                      <w:bCs/>
                      <w:color w:val="auto"/>
                      <w:sz w:val="21"/>
                      <w:szCs w:val="21"/>
                      <w:highlight w:val="none"/>
                      <w:lang w:val="en-US" w:eastAsia="zh-CN"/>
                    </w:rPr>
                  </w:pPr>
                  <w:r>
                    <w:rPr>
                      <w:rFonts w:hint="eastAsia"/>
                      <w:bCs/>
                      <w:color w:val="auto"/>
                      <w:sz w:val="21"/>
                      <w:szCs w:val="21"/>
                      <w:highlight w:val="none"/>
                      <w:lang w:val="en-US" w:eastAsia="zh-CN"/>
                    </w:rPr>
                    <w:t>原辅材料包装</w:t>
                  </w:r>
                </w:p>
              </w:tc>
              <w:tc>
                <w:tcPr>
                  <w:tcW w:w="2065" w:type="dxa"/>
                  <w:shd w:val="clear" w:color="auto" w:fill="auto"/>
                  <w:vAlign w:val="center"/>
                </w:tcPr>
                <w:p w14:paraId="3F31C976">
                  <w:pPr>
                    <w:adjustRightInd w:val="0"/>
                    <w:snapToGrid w:val="0"/>
                    <w:jc w:val="center"/>
                    <w:rPr>
                      <w:rFonts w:hint="eastAsia"/>
                      <w:bCs/>
                      <w:color w:val="auto"/>
                      <w:sz w:val="21"/>
                      <w:szCs w:val="21"/>
                      <w:highlight w:val="none"/>
                      <w:lang w:val="en-US" w:eastAsia="zh-CN"/>
                    </w:rPr>
                  </w:pPr>
                  <w:r>
                    <w:rPr>
                      <w:rFonts w:hint="eastAsia"/>
                      <w:bCs/>
                      <w:color w:val="auto"/>
                      <w:sz w:val="21"/>
                      <w:szCs w:val="21"/>
                      <w:highlight w:val="none"/>
                      <w:lang w:val="en-US" w:eastAsia="zh-CN"/>
                    </w:rPr>
                    <w:t>废包装材料</w:t>
                  </w:r>
                </w:p>
              </w:tc>
            </w:tr>
            <w:tr w14:paraId="61599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727" w:type="dxa"/>
                  <w:vMerge w:val="continue"/>
                  <w:shd w:val="clear" w:color="auto" w:fill="auto"/>
                  <w:vAlign w:val="center"/>
                </w:tcPr>
                <w:p w14:paraId="0266DF02">
                  <w:pPr>
                    <w:adjustRightInd w:val="0"/>
                    <w:snapToGrid w:val="0"/>
                    <w:jc w:val="center"/>
                    <w:rPr>
                      <w:bCs/>
                      <w:color w:val="auto"/>
                      <w:szCs w:val="21"/>
                      <w:highlight w:val="none"/>
                    </w:rPr>
                  </w:pPr>
                </w:p>
              </w:tc>
              <w:tc>
                <w:tcPr>
                  <w:tcW w:w="1916" w:type="dxa"/>
                  <w:shd w:val="clear" w:color="auto" w:fill="auto"/>
                  <w:vAlign w:val="center"/>
                </w:tcPr>
                <w:p w14:paraId="5AD0D996">
                  <w:pPr>
                    <w:adjustRightInd w:val="0"/>
                    <w:snapToGrid w:val="0"/>
                    <w:jc w:val="center"/>
                    <w:rPr>
                      <w:rFonts w:hint="default"/>
                      <w:bCs/>
                      <w:color w:val="auto"/>
                      <w:sz w:val="21"/>
                      <w:szCs w:val="21"/>
                      <w:highlight w:val="none"/>
                      <w:lang w:val="en-US" w:eastAsia="zh-CN"/>
                    </w:rPr>
                  </w:pPr>
                  <w:r>
                    <w:rPr>
                      <w:rFonts w:hint="eastAsia"/>
                      <w:bCs/>
                      <w:color w:val="auto"/>
                      <w:sz w:val="21"/>
                      <w:szCs w:val="21"/>
                      <w:highlight w:val="none"/>
                      <w:lang w:val="en-US" w:eastAsia="zh-CN"/>
                    </w:rPr>
                    <w:t>S6</w:t>
                  </w:r>
                </w:p>
              </w:tc>
              <w:tc>
                <w:tcPr>
                  <w:tcW w:w="2549" w:type="dxa"/>
                  <w:shd w:val="clear" w:color="auto" w:fill="auto"/>
                  <w:vAlign w:val="center"/>
                </w:tcPr>
                <w:p w14:paraId="04EF9436">
                  <w:pPr>
                    <w:adjustRightInd w:val="0"/>
                    <w:snapToGrid w:val="0"/>
                    <w:jc w:val="center"/>
                    <w:rPr>
                      <w:rFonts w:hint="eastAsia"/>
                      <w:bCs/>
                      <w:color w:val="auto"/>
                      <w:sz w:val="21"/>
                      <w:szCs w:val="21"/>
                      <w:highlight w:val="none"/>
                      <w:lang w:val="en-US" w:eastAsia="zh-CN"/>
                    </w:rPr>
                  </w:pPr>
                  <w:r>
                    <w:rPr>
                      <w:rFonts w:hint="eastAsia"/>
                      <w:bCs/>
                      <w:color w:val="auto"/>
                      <w:sz w:val="21"/>
                      <w:szCs w:val="21"/>
                      <w:highlight w:val="none"/>
                      <w:lang w:val="en-US" w:eastAsia="zh-CN"/>
                    </w:rPr>
                    <w:t>设备润滑</w:t>
                  </w:r>
                </w:p>
              </w:tc>
              <w:tc>
                <w:tcPr>
                  <w:tcW w:w="2065" w:type="dxa"/>
                  <w:shd w:val="clear" w:color="auto" w:fill="auto"/>
                  <w:vAlign w:val="center"/>
                </w:tcPr>
                <w:p w14:paraId="741820AB">
                  <w:pPr>
                    <w:adjustRightInd w:val="0"/>
                    <w:snapToGrid w:val="0"/>
                    <w:jc w:val="center"/>
                    <w:rPr>
                      <w:rFonts w:hint="eastAsia"/>
                      <w:bCs/>
                      <w:color w:val="auto"/>
                      <w:sz w:val="21"/>
                      <w:szCs w:val="21"/>
                      <w:highlight w:val="none"/>
                      <w:lang w:val="en-US" w:eastAsia="zh-CN"/>
                    </w:rPr>
                  </w:pPr>
                  <w:r>
                    <w:rPr>
                      <w:rFonts w:hint="eastAsia"/>
                      <w:bCs/>
                      <w:color w:val="auto"/>
                      <w:sz w:val="21"/>
                      <w:szCs w:val="21"/>
                      <w:highlight w:val="none"/>
                      <w:lang w:val="en-US" w:eastAsia="zh-CN"/>
                    </w:rPr>
                    <w:t>废油桶</w:t>
                  </w:r>
                </w:p>
              </w:tc>
            </w:tr>
            <w:tr w14:paraId="176B3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727" w:type="dxa"/>
                  <w:vMerge w:val="continue"/>
                  <w:shd w:val="clear" w:color="auto" w:fill="auto"/>
                  <w:vAlign w:val="center"/>
                </w:tcPr>
                <w:p w14:paraId="3C6D3D81">
                  <w:pPr>
                    <w:adjustRightInd w:val="0"/>
                    <w:snapToGrid w:val="0"/>
                    <w:jc w:val="center"/>
                    <w:rPr>
                      <w:bCs/>
                      <w:color w:val="auto"/>
                      <w:szCs w:val="21"/>
                      <w:highlight w:val="none"/>
                    </w:rPr>
                  </w:pPr>
                </w:p>
              </w:tc>
              <w:tc>
                <w:tcPr>
                  <w:tcW w:w="1916" w:type="dxa"/>
                  <w:shd w:val="clear" w:color="auto" w:fill="auto"/>
                  <w:vAlign w:val="center"/>
                </w:tcPr>
                <w:p w14:paraId="597BB6AD">
                  <w:pPr>
                    <w:adjustRightInd w:val="0"/>
                    <w:snapToGrid w:val="0"/>
                    <w:jc w:val="center"/>
                    <w:rPr>
                      <w:rFonts w:hint="default"/>
                      <w:bCs/>
                      <w:color w:val="auto"/>
                      <w:sz w:val="21"/>
                      <w:szCs w:val="21"/>
                      <w:highlight w:val="none"/>
                      <w:lang w:val="en-US" w:eastAsia="zh-CN"/>
                    </w:rPr>
                  </w:pPr>
                  <w:r>
                    <w:rPr>
                      <w:rFonts w:hint="eastAsia"/>
                      <w:bCs/>
                      <w:color w:val="auto"/>
                      <w:sz w:val="21"/>
                      <w:szCs w:val="21"/>
                      <w:highlight w:val="none"/>
                      <w:lang w:val="en-US" w:eastAsia="zh-CN"/>
                    </w:rPr>
                    <w:t>S7</w:t>
                  </w:r>
                </w:p>
              </w:tc>
              <w:tc>
                <w:tcPr>
                  <w:tcW w:w="2549" w:type="dxa"/>
                  <w:shd w:val="clear" w:color="auto" w:fill="auto"/>
                  <w:vAlign w:val="center"/>
                </w:tcPr>
                <w:p w14:paraId="1A6D3BD4">
                  <w:pPr>
                    <w:adjustRightInd w:val="0"/>
                    <w:snapToGrid w:val="0"/>
                    <w:jc w:val="center"/>
                    <w:rPr>
                      <w:rFonts w:hint="eastAsia"/>
                      <w:bCs/>
                      <w:color w:val="auto"/>
                      <w:sz w:val="21"/>
                      <w:szCs w:val="21"/>
                      <w:highlight w:val="none"/>
                      <w:lang w:val="en-US" w:eastAsia="zh-CN"/>
                    </w:rPr>
                  </w:pPr>
                  <w:r>
                    <w:rPr>
                      <w:rFonts w:hint="eastAsia"/>
                      <w:bCs/>
                      <w:color w:val="auto"/>
                      <w:sz w:val="21"/>
                      <w:szCs w:val="21"/>
                      <w:highlight w:val="none"/>
                      <w:lang w:val="en-US" w:eastAsia="zh-CN"/>
                    </w:rPr>
                    <w:t>原辅材料包装</w:t>
                  </w:r>
                </w:p>
              </w:tc>
              <w:tc>
                <w:tcPr>
                  <w:tcW w:w="2065" w:type="dxa"/>
                  <w:shd w:val="clear" w:color="auto" w:fill="auto"/>
                  <w:vAlign w:val="center"/>
                </w:tcPr>
                <w:p w14:paraId="63387F43">
                  <w:pPr>
                    <w:adjustRightInd w:val="0"/>
                    <w:snapToGrid w:val="0"/>
                    <w:jc w:val="center"/>
                    <w:rPr>
                      <w:rFonts w:hint="default"/>
                      <w:bCs/>
                      <w:color w:val="auto"/>
                      <w:sz w:val="21"/>
                      <w:szCs w:val="21"/>
                      <w:highlight w:val="none"/>
                      <w:lang w:val="en-US" w:eastAsia="zh-CN"/>
                    </w:rPr>
                  </w:pPr>
                  <w:r>
                    <w:rPr>
                      <w:rFonts w:hint="eastAsia"/>
                      <w:bCs/>
                      <w:color w:val="auto"/>
                      <w:sz w:val="21"/>
                      <w:szCs w:val="21"/>
                      <w:highlight w:val="none"/>
                      <w:lang w:val="en-US" w:eastAsia="zh-CN"/>
                    </w:rPr>
                    <w:t>废包装瓶</w:t>
                  </w:r>
                </w:p>
              </w:tc>
            </w:tr>
            <w:tr w14:paraId="78EAA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Merge w:val="restart"/>
                  <w:shd w:val="clear" w:color="auto" w:fill="auto"/>
                  <w:vAlign w:val="center"/>
                </w:tcPr>
                <w:p w14:paraId="663DEF33">
                  <w:pPr>
                    <w:adjustRightInd w:val="0"/>
                    <w:snapToGrid w:val="0"/>
                    <w:jc w:val="center"/>
                    <w:rPr>
                      <w:rFonts w:hint="eastAsia" w:eastAsia="宋体"/>
                      <w:bCs/>
                      <w:color w:val="auto"/>
                      <w:szCs w:val="21"/>
                      <w:highlight w:val="none"/>
                      <w:lang w:eastAsia="zh-CN"/>
                    </w:rPr>
                  </w:pPr>
                  <w:r>
                    <w:rPr>
                      <w:rFonts w:hint="eastAsia"/>
                      <w:bCs/>
                      <w:color w:val="auto"/>
                      <w:szCs w:val="21"/>
                      <w:highlight w:val="none"/>
                      <w:lang w:eastAsia="zh-CN"/>
                    </w:rPr>
                    <w:t>废水</w:t>
                  </w:r>
                </w:p>
              </w:tc>
              <w:tc>
                <w:tcPr>
                  <w:tcW w:w="1916" w:type="dxa"/>
                  <w:shd w:val="clear" w:color="auto" w:fill="auto"/>
                  <w:vAlign w:val="center"/>
                </w:tcPr>
                <w:p w14:paraId="42C8972D">
                  <w:pPr>
                    <w:adjustRightInd w:val="0"/>
                    <w:snapToGrid w:val="0"/>
                    <w:jc w:val="center"/>
                    <w:rPr>
                      <w:rFonts w:hint="default"/>
                      <w:bCs/>
                      <w:color w:val="auto"/>
                      <w:sz w:val="21"/>
                      <w:szCs w:val="21"/>
                      <w:highlight w:val="none"/>
                      <w:lang w:val="en-US" w:eastAsia="zh-CN"/>
                    </w:rPr>
                  </w:pPr>
                  <w:r>
                    <w:rPr>
                      <w:rFonts w:hint="eastAsia"/>
                      <w:bCs/>
                      <w:color w:val="auto"/>
                      <w:sz w:val="21"/>
                      <w:szCs w:val="21"/>
                      <w:highlight w:val="none"/>
                      <w:lang w:val="en-US" w:eastAsia="zh-CN"/>
                    </w:rPr>
                    <w:t>W1</w:t>
                  </w:r>
                </w:p>
              </w:tc>
              <w:tc>
                <w:tcPr>
                  <w:tcW w:w="2549" w:type="dxa"/>
                  <w:shd w:val="clear" w:color="auto" w:fill="auto"/>
                  <w:vAlign w:val="center"/>
                </w:tcPr>
                <w:p w14:paraId="49BC733B">
                  <w:pPr>
                    <w:adjustRightInd w:val="0"/>
                    <w:snapToGrid w:val="0"/>
                    <w:jc w:val="center"/>
                    <w:rPr>
                      <w:rFonts w:hint="eastAsia"/>
                      <w:bCs/>
                      <w:color w:val="auto"/>
                      <w:sz w:val="21"/>
                      <w:szCs w:val="21"/>
                      <w:highlight w:val="none"/>
                      <w:lang w:val="en-US" w:eastAsia="zh-CN"/>
                    </w:rPr>
                  </w:pPr>
                  <w:r>
                    <w:rPr>
                      <w:rFonts w:hint="eastAsia"/>
                      <w:bCs/>
                      <w:color w:val="auto"/>
                      <w:sz w:val="21"/>
                      <w:szCs w:val="21"/>
                      <w:highlight w:val="none"/>
                      <w:lang w:val="en-US" w:eastAsia="zh-CN"/>
                    </w:rPr>
                    <w:t>超声波工序</w:t>
                  </w:r>
                </w:p>
              </w:tc>
              <w:tc>
                <w:tcPr>
                  <w:tcW w:w="2065" w:type="dxa"/>
                  <w:shd w:val="clear" w:color="auto" w:fill="auto"/>
                  <w:vAlign w:val="center"/>
                </w:tcPr>
                <w:p w14:paraId="1260268C">
                  <w:pPr>
                    <w:adjustRightInd w:val="0"/>
                    <w:snapToGrid w:val="0"/>
                    <w:jc w:val="center"/>
                    <w:rPr>
                      <w:rFonts w:hint="eastAsia"/>
                      <w:bCs/>
                      <w:color w:val="auto"/>
                      <w:sz w:val="21"/>
                      <w:szCs w:val="21"/>
                      <w:highlight w:val="none"/>
                      <w:lang w:val="en-US" w:eastAsia="zh-CN"/>
                    </w:rPr>
                  </w:pPr>
                  <w:r>
                    <w:rPr>
                      <w:rFonts w:hint="eastAsia"/>
                      <w:bCs/>
                      <w:color w:val="auto"/>
                      <w:sz w:val="21"/>
                      <w:szCs w:val="21"/>
                      <w:highlight w:val="none"/>
                      <w:lang w:val="en-US" w:eastAsia="zh-CN"/>
                    </w:rPr>
                    <w:t>清洗废水</w:t>
                  </w:r>
                </w:p>
              </w:tc>
            </w:tr>
            <w:tr w14:paraId="67162E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Merge w:val="continue"/>
                  <w:shd w:val="clear" w:color="auto" w:fill="auto"/>
                  <w:vAlign w:val="center"/>
                </w:tcPr>
                <w:p w14:paraId="378B41E3">
                  <w:pPr>
                    <w:adjustRightInd w:val="0"/>
                    <w:snapToGrid w:val="0"/>
                    <w:jc w:val="center"/>
                    <w:rPr>
                      <w:bCs/>
                      <w:color w:val="auto"/>
                      <w:szCs w:val="21"/>
                      <w:highlight w:val="none"/>
                    </w:rPr>
                  </w:pPr>
                </w:p>
              </w:tc>
              <w:tc>
                <w:tcPr>
                  <w:tcW w:w="1916" w:type="dxa"/>
                  <w:shd w:val="clear" w:color="auto" w:fill="auto"/>
                  <w:vAlign w:val="center"/>
                </w:tcPr>
                <w:p w14:paraId="3A0759B6">
                  <w:pPr>
                    <w:adjustRightInd w:val="0"/>
                    <w:snapToGrid w:val="0"/>
                    <w:jc w:val="center"/>
                    <w:rPr>
                      <w:rFonts w:hint="default"/>
                      <w:bCs/>
                      <w:color w:val="auto"/>
                      <w:sz w:val="21"/>
                      <w:szCs w:val="21"/>
                      <w:highlight w:val="none"/>
                      <w:lang w:val="en-US" w:eastAsia="zh-CN"/>
                    </w:rPr>
                  </w:pPr>
                  <w:r>
                    <w:rPr>
                      <w:rFonts w:hint="eastAsia"/>
                      <w:bCs/>
                      <w:color w:val="auto"/>
                      <w:sz w:val="21"/>
                      <w:szCs w:val="21"/>
                      <w:highlight w:val="none"/>
                      <w:lang w:val="en-US" w:eastAsia="zh-CN"/>
                    </w:rPr>
                    <w:t>W2</w:t>
                  </w:r>
                </w:p>
              </w:tc>
              <w:tc>
                <w:tcPr>
                  <w:tcW w:w="2549" w:type="dxa"/>
                  <w:shd w:val="clear" w:color="auto" w:fill="auto"/>
                  <w:vAlign w:val="center"/>
                </w:tcPr>
                <w:p w14:paraId="69CD168E">
                  <w:pPr>
                    <w:adjustRightInd w:val="0"/>
                    <w:snapToGrid w:val="0"/>
                    <w:jc w:val="center"/>
                    <w:rPr>
                      <w:rFonts w:hint="eastAsia"/>
                      <w:bCs/>
                      <w:color w:val="auto"/>
                      <w:sz w:val="21"/>
                      <w:szCs w:val="21"/>
                      <w:highlight w:val="none"/>
                      <w:lang w:val="en-US" w:eastAsia="zh-CN"/>
                    </w:rPr>
                  </w:pPr>
                  <w:r>
                    <w:rPr>
                      <w:rFonts w:hint="eastAsia"/>
                      <w:bCs/>
                      <w:color w:val="auto"/>
                      <w:sz w:val="21"/>
                      <w:szCs w:val="21"/>
                      <w:highlight w:val="none"/>
                      <w:lang w:val="en-US" w:eastAsia="zh-CN"/>
                    </w:rPr>
                    <w:t>员工生活</w:t>
                  </w:r>
                </w:p>
              </w:tc>
              <w:tc>
                <w:tcPr>
                  <w:tcW w:w="2065" w:type="dxa"/>
                  <w:shd w:val="clear" w:color="auto" w:fill="auto"/>
                  <w:vAlign w:val="center"/>
                </w:tcPr>
                <w:p w14:paraId="1B82009F">
                  <w:pPr>
                    <w:adjustRightInd w:val="0"/>
                    <w:snapToGrid w:val="0"/>
                    <w:jc w:val="center"/>
                    <w:rPr>
                      <w:rFonts w:hint="eastAsia"/>
                      <w:bCs/>
                      <w:color w:val="auto"/>
                      <w:sz w:val="21"/>
                      <w:szCs w:val="21"/>
                      <w:highlight w:val="none"/>
                      <w:lang w:val="en-US" w:eastAsia="zh-CN"/>
                    </w:rPr>
                  </w:pPr>
                  <w:r>
                    <w:rPr>
                      <w:rFonts w:hint="eastAsia"/>
                      <w:bCs/>
                      <w:color w:val="auto"/>
                      <w:sz w:val="21"/>
                      <w:szCs w:val="21"/>
                      <w:highlight w:val="none"/>
                      <w:lang w:val="en-US" w:eastAsia="zh-CN"/>
                    </w:rPr>
                    <w:t>生活污水</w:t>
                  </w:r>
                </w:p>
              </w:tc>
            </w:tr>
          </w:tbl>
          <w:p w14:paraId="7FD68E5A">
            <w:pPr>
              <w:pStyle w:val="19"/>
              <w:rPr>
                <w:rFonts w:hint="default"/>
                <w:color w:val="auto"/>
                <w:highlight w:val="none"/>
                <w:lang w:val="en-US" w:eastAsia="zh-CN"/>
              </w:rPr>
            </w:pPr>
          </w:p>
        </w:tc>
      </w:tr>
    </w:tbl>
    <w:p w14:paraId="7BB5DAA7">
      <w:pPr>
        <w:pStyle w:val="33"/>
        <w:adjustRightInd w:val="0"/>
        <w:snapToGrid w:val="0"/>
        <w:spacing w:before="0" w:beforeAutospacing="0" w:after="0" w:afterAutospacing="0"/>
        <w:jc w:val="center"/>
        <w:rPr>
          <w:rFonts w:ascii="Times New Roman" w:hAnsi="Times New Roman" w:eastAsiaTheme="minorEastAsia"/>
          <w:b/>
          <w:bCs/>
          <w:color w:val="auto"/>
          <w:sz w:val="21"/>
          <w:szCs w:val="21"/>
          <w:highlight w:val="none"/>
        </w:rPr>
        <w:sectPr>
          <w:footerReference r:id="rId8"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634"/>
      </w:tblGrid>
      <w:tr w14:paraId="06046E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911" w:hRule="atLeast"/>
          <w:jc w:val="center"/>
        </w:trPr>
        <w:tc>
          <w:tcPr>
            <w:tcW w:w="427" w:type="dxa"/>
            <w:vAlign w:val="center"/>
          </w:tcPr>
          <w:p w14:paraId="4B2463B9">
            <w:pPr>
              <w:pStyle w:val="33"/>
              <w:adjustRightInd w:val="0"/>
              <w:snapToGrid w:val="0"/>
              <w:spacing w:before="0" w:beforeAutospacing="0" w:after="0" w:afterAutospacing="0"/>
              <w:jc w:val="center"/>
              <w:rPr>
                <w:rFonts w:ascii="Times New Roman" w:hAnsi="Times New Roman" w:eastAsiaTheme="minorEastAsia"/>
                <w:b/>
                <w:bCs/>
                <w:color w:val="auto"/>
                <w:sz w:val="21"/>
                <w:szCs w:val="21"/>
                <w:highlight w:val="none"/>
              </w:rPr>
            </w:pPr>
            <w:r>
              <w:rPr>
                <w:rFonts w:ascii="Times New Roman" w:hAnsi="Times New Roman" w:eastAsiaTheme="minorEastAsia"/>
                <w:b/>
                <w:bCs/>
                <w:color w:val="auto"/>
                <w:sz w:val="21"/>
                <w:szCs w:val="21"/>
                <w:highlight w:val="none"/>
              </w:rPr>
              <w:t>与项目有关的原有环境污染问题</w:t>
            </w:r>
          </w:p>
        </w:tc>
        <w:tc>
          <w:tcPr>
            <w:tcW w:w="8634" w:type="dxa"/>
          </w:tcPr>
          <w:p w14:paraId="05FB4994">
            <w:pPr>
              <w:widowControl/>
              <w:adjustRightInd w:val="0"/>
              <w:snapToGrid w:val="0"/>
              <w:spacing w:line="360" w:lineRule="auto"/>
              <w:ind w:firstLine="480" w:firstLineChars="200"/>
              <w:jc w:val="left"/>
              <w:rPr>
                <w:rFonts w:hint="default" w:ascii="Times New Roman" w:hAnsi="Times New Roman" w:eastAsia="宋体" w:cs="Times New Roman"/>
                <w:b w:val="0"/>
                <w:bCs w:val="0"/>
                <w:color w:val="0070C0"/>
                <w:kern w:val="0"/>
                <w:sz w:val="24"/>
                <w:lang w:val="en-US" w:eastAsia="zh-CN" w:bidi="ar"/>
              </w:rPr>
            </w:pPr>
            <w:r>
              <w:rPr>
                <w:rFonts w:hint="default" w:ascii="Times New Roman" w:hAnsi="Times New Roman" w:cs="Times New Roman" w:eastAsiaTheme="minorEastAsia"/>
                <w:b w:val="0"/>
                <w:bCs w:val="0"/>
                <w:color w:val="0070C0"/>
                <w:kern w:val="0"/>
                <w:sz w:val="24"/>
              </w:rPr>
              <w:t>本项目购买</w:t>
            </w:r>
            <w:r>
              <w:rPr>
                <w:rFonts w:hint="default" w:ascii="Times New Roman" w:hAnsi="Times New Roman" w:cs="Times New Roman" w:eastAsiaTheme="minorEastAsia"/>
                <w:b w:val="0"/>
                <w:bCs w:val="0"/>
                <w:color w:val="0070C0"/>
                <w:kern w:val="0"/>
                <w:sz w:val="24"/>
                <w:lang w:eastAsia="zh-CN"/>
              </w:rPr>
              <w:t>镇江市句容市郭庄镇空港大道9号35幢</w:t>
            </w:r>
            <w:r>
              <w:rPr>
                <w:rFonts w:hint="default" w:ascii="Times New Roman" w:hAnsi="Times New Roman" w:cs="Times New Roman" w:eastAsiaTheme="minorEastAsia"/>
                <w:b w:val="0"/>
                <w:bCs w:val="0"/>
                <w:color w:val="0070C0"/>
                <w:kern w:val="0"/>
                <w:sz w:val="24"/>
              </w:rPr>
              <w:t>现有标准厂房建设</w:t>
            </w:r>
            <w:r>
              <w:rPr>
                <w:rFonts w:hint="default" w:ascii="Times New Roman" w:hAnsi="Times New Roman" w:cs="Times New Roman" w:eastAsiaTheme="minorEastAsia"/>
                <w:b w:val="0"/>
                <w:bCs w:val="0"/>
                <w:color w:val="0070C0"/>
                <w:kern w:val="0"/>
                <w:sz w:val="24"/>
                <w:lang w:eastAsia="zh-CN"/>
              </w:rPr>
              <w:t>年产30万件光学元器件项目</w:t>
            </w:r>
            <w:r>
              <w:rPr>
                <w:rFonts w:hint="default" w:ascii="Times New Roman" w:hAnsi="Times New Roman" w:cs="Times New Roman" w:eastAsiaTheme="minorEastAsia"/>
                <w:b w:val="0"/>
                <w:bCs w:val="0"/>
                <w:color w:val="0070C0"/>
                <w:kern w:val="0"/>
                <w:sz w:val="24"/>
              </w:rPr>
              <w:t>，项目建设前为空置厂房，因此</w:t>
            </w:r>
            <w:r>
              <w:rPr>
                <w:rFonts w:hint="default" w:ascii="Times New Roman" w:hAnsi="Times New Roman" w:cs="Times New Roman" w:eastAsiaTheme="minorEastAsia"/>
                <w:b w:val="0"/>
                <w:bCs w:val="0"/>
                <w:color w:val="0070C0"/>
                <w:kern w:val="0"/>
                <w:sz w:val="24"/>
                <w:lang w:eastAsia="zh-CN"/>
              </w:rPr>
              <w:t>不涉及</w:t>
            </w:r>
            <w:r>
              <w:rPr>
                <w:rFonts w:hint="default" w:ascii="Times New Roman" w:hAnsi="Times New Roman" w:cs="Times New Roman" w:eastAsiaTheme="minorEastAsia"/>
                <w:b w:val="0"/>
                <w:bCs w:val="0"/>
                <w:color w:val="0070C0"/>
                <w:kern w:val="0"/>
                <w:sz w:val="24"/>
              </w:rPr>
              <w:t>与建设项目有关的原有污染情况及主要环境问题。</w:t>
            </w:r>
            <w:r>
              <w:rPr>
                <w:rFonts w:hint="default" w:ascii="Times New Roman" w:hAnsi="Times New Roman" w:cs="Times New Roman"/>
                <w:b w:val="0"/>
                <w:bCs w:val="0"/>
                <w:color w:val="0070C0"/>
                <w:kern w:val="0"/>
                <w:sz w:val="24"/>
                <w:lang w:val="en-US" w:eastAsia="zh-CN" w:bidi="ar"/>
              </w:rPr>
              <w:t>企</w:t>
            </w:r>
            <w:r>
              <w:commentReference w:id="9"/>
            </w:r>
            <w:r>
              <w:rPr>
                <w:rFonts w:hint="default" w:ascii="Times New Roman" w:hAnsi="Times New Roman" w:cs="Times New Roman"/>
                <w:b w:val="0"/>
                <w:bCs w:val="0"/>
                <w:color w:val="0070C0"/>
                <w:kern w:val="0"/>
                <w:sz w:val="24"/>
                <w:lang w:val="en-US" w:eastAsia="zh-CN" w:bidi="ar"/>
              </w:rPr>
              <w:t>业现状为未批先建停工状态，目前尚未进行生产。</w:t>
            </w:r>
          </w:p>
          <w:p w14:paraId="20746299">
            <w:pPr>
              <w:widowControl/>
              <w:adjustRightInd w:val="0"/>
              <w:snapToGrid w:val="0"/>
              <w:spacing w:line="360" w:lineRule="auto"/>
              <w:jc w:val="center"/>
              <w:rPr>
                <w:color w:val="auto"/>
                <w:highlight w:val="none"/>
              </w:rPr>
            </w:pPr>
          </w:p>
          <w:p w14:paraId="2BA2B9FF">
            <w:pPr>
              <w:widowControl/>
              <w:adjustRightInd w:val="0"/>
              <w:snapToGrid w:val="0"/>
              <w:spacing w:line="360" w:lineRule="auto"/>
              <w:ind w:firstLine="420" w:firstLineChars="200"/>
              <w:rPr>
                <w:rFonts w:hAnsi="Times New Roman" w:cs="Times New Roman" w:eastAsiaTheme="minorEastAsia"/>
                <w:color w:val="auto"/>
                <w:highlight w:val="none"/>
              </w:rPr>
            </w:pPr>
          </w:p>
        </w:tc>
      </w:tr>
    </w:tbl>
    <w:p w14:paraId="4D38B5A3">
      <w:pPr>
        <w:pStyle w:val="33"/>
        <w:adjustRightInd w:val="0"/>
        <w:snapToGrid w:val="0"/>
        <w:spacing w:before="0" w:beforeAutospacing="0" w:after="0" w:afterAutospacing="0"/>
        <w:jc w:val="center"/>
        <w:rPr>
          <w:rFonts w:ascii="Times New Roman" w:hAnsi="Times New Roman" w:eastAsiaTheme="minorEastAsia"/>
          <w:b/>
          <w:bCs/>
          <w:color w:val="auto"/>
          <w:kern w:val="2"/>
          <w:sz w:val="21"/>
          <w:szCs w:val="21"/>
          <w:highlight w:val="none"/>
        </w:rPr>
        <w:sectPr>
          <w:pgSz w:w="11907" w:h="16840"/>
          <w:pgMar w:top="1701" w:right="1531" w:bottom="2126" w:left="1531" w:header="851" w:footer="851" w:gutter="0"/>
          <w:pgBorders>
            <w:top w:val="none" w:sz="0" w:space="0"/>
            <w:left w:val="none" w:sz="0" w:space="0"/>
            <w:bottom w:val="none" w:sz="0" w:space="0"/>
            <w:right w:val="none" w:sz="0" w:space="0"/>
          </w:pgBorders>
          <w:cols w:space="720" w:num="1"/>
          <w:docGrid w:linePitch="312" w:charSpace="0"/>
        </w:sectPr>
      </w:pPr>
    </w:p>
    <w:p w14:paraId="762E89AC">
      <w:pPr>
        <w:pStyle w:val="33"/>
        <w:spacing w:before="0" w:beforeAutospacing="0" w:after="0" w:afterAutospacing="0"/>
        <w:jc w:val="center"/>
        <w:outlineLvl w:val="0"/>
        <w:rPr>
          <w:rFonts w:ascii="Times New Roman" w:hAnsi="Times New Roman" w:eastAsiaTheme="minorEastAsia"/>
          <w:b/>
          <w:snapToGrid w:val="0"/>
          <w:color w:val="auto"/>
          <w:sz w:val="30"/>
          <w:szCs w:val="30"/>
          <w:highlight w:val="none"/>
        </w:rPr>
      </w:pPr>
      <w:bookmarkStart w:id="11" w:name="_Toc16184"/>
      <w:r>
        <w:rPr>
          <w:rFonts w:ascii="Times New Roman" w:hAnsi="Times New Roman" w:eastAsiaTheme="minorEastAsia"/>
          <w:b/>
          <w:snapToGrid w:val="0"/>
          <w:color w:val="auto"/>
          <w:sz w:val="30"/>
          <w:szCs w:val="30"/>
          <w:highlight w:val="none"/>
        </w:rPr>
        <w:t>三、区域环境质量现状、环境保护目标及评价标准</w:t>
      </w:r>
      <w:bookmarkEnd w:id="11"/>
    </w:p>
    <w:tbl>
      <w:tblPr>
        <w:tblStyle w:val="3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8"/>
        <w:gridCol w:w="8643"/>
      </w:tblGrid>
      <w:tr w14:paraId="00349A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33" w:type="pct"/>
            <w:vAlign w:val="center"/>
          </w:tcPr>
          <w:p w14:paraId="7EDAD6C3">
            <w:pPr>
              <w:adjustRightInd w:val="0"/>
              <w:snapToGrid w:val="0"/>
              <w:jc w:val="center"/>
              <w:rPr>
                <w:rFonts w:eastAsiaTheme="minorEastAsia"/>
                <w:b/>
                <w:bCs/>
                <w:color w:val="auto"/>
                <w:kern w:val="0"/>
                <w:szCs w:val="21"/>
                <w:highlight w:val="none"/>
              </w:rPr>
            </w:pPr>
            <w:r>
              <w:rPr>
                <w:rFonts w:eastAsiaTheme="minorEastAsia"/>
                <w:b/>
                <w:bCs/>
                <w:color w:val="auto"/>
                <w:kern w:val="0"/>
                <w:szCs w:val="21"/>
                <w:highlight w:val="none"/>
              </w:rPr>
              <w:t>区域</w:t>
            </w:r>
          </w:p>
          <w:p w14:paraId="2D10D365">
            <w:pPr>
              <w:adjustRightInd w:val="0"/>
              <w:snapToGrid w:val="0"/>
              <w:jc w:val="center"/>
              <w:rPr>
                <w:rFonts w:eastAsiaTheme="minorEastAsia"/>
                <w:b/>
                <w:bCs/>
                <w:color w:val="auto"/>
                <w:kern w:val="0"/>
                <w:szCs w:val="21"/>
                <w:highlight w:val="none"/>
              </w:rPr>
            </w:pPr>
            <w:r>
              <w:rPr>
                <w:rFonts w:eastAsiaTheme="minorEastAsia"/>
                <w:b/>
                <w:bCs/>
                <w:color w:val="auto"/>
                <w:kern w:val="0"/>
                <w:szCs w:val="21"/>
                <w:highlight w:val="none"/>
              </w:rPr>
              <w:t>环境</w:t>
            </w:r>
          </w:p>
          <w:p w14:paraId="7086BA58">
            <w:pPr>
              <w:adjustRightInd w:val="0"/>
              <w:snapToGrid w:val="0"/>
              <w:jc w:val="center"/>
              <w:rPr>
                <w:rFonts w:eastAsiaTheme="minorEastAsia"/>
                <w:b/>
                <w:bCs/>
                <w:color w:val="auto"/>
                <w:kern w:val="0"/>
                <w:szCs w:val="21"/>
                <w:highlight w:val="none"/>
              </w:rPr>
            </w:pPr>
            <w:r>
              <w:rPr>
                <w:rFonts w:eastAsiaTheme="minorEastAsia"/>
                <w:b/>
                <w:bCs/>
                <w:color w:val="auto"/>
                <w:kern w:val="0"/>
                <w:szCs w:val="21"/>
                <w:highlight w:val="none"/>
              </w:rPr>
              <w:t>质量</w:t>
            </w:r>
          </w:p>
          <w:p w14:paraId="6C8448EC">
            <w:pPr>
              <w:adjustRightInd w:val="0"/>
              <w:snapToGrid w:val="0"/>
              <w:jc w:val="center"/>
              <w:rPr>
                <w:rFonts w:eastAsiaTheme="minorEastAsia"/>
                <w:b/>
                <w:bCs/>
                <w:color w:val="auto"/>
                <w:kern w:val="0"/>
                <w:szCs w:val="21"/>
                <w:highlight w:val="none"/>
              </w:rPr>
            </w:pPr>
            <w:r>
              <w:rPr>
                <w:rFonts w:eastAsiaTheme="minorEastAsia"/>
                <w:b/>
                <w:bCs/>
                <w:color w:val="auto"/>
                <w:kern w:val="0"/>
                <w:szCs w:val="21"/>
                <w:highlight w:val="none"/>
              </w:rPr>
              <w:t>现状</w:t>
            </w:r>
          </w:p>
        </w:tc>
        <w:tc>
          <w:tcPr>
            <w:tcW w:w="4766" w:type="pct"/>
            <w:vAlign w:val="center"/>
          </w:tcPr>
          <w:p w14:paraId="24C97750">
            <w:pPr>
              <w:adjustRightInd w:val="0"/>
              <w:snapToGrid w:val="0"/>
              <w:spacing w:line="360" w:lineRule="auto"/>
              <w:rPr>
                <w:b/>
                <w:color w:val="auto"/>
                <w:sz w:val="24"/>
                <w:highlight w:val="none"/>
              </w:rPr>
            </w:pPr>
            <w:r>
              <w:rPr>
                <w:b/>
                <w:color w:val="auto"/>
                <w:sz w:val="24"/>
                <w:highlight w:val="none"/>
              </w:rPr>
              <w:t>（一）环境质量评价标准</w:t>
            </w:r>
          </w:p>
          <w:p w14:paraId="7495EA7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eastAsia="宋体"/>
                <w:b/>
                <w:color w:val="auto"/>
                <w:sz w:val="24"/>
                <w:highlight w:val="none"/>
                <w:lang w:eastAsia="zh-CN"/>
              </w:rPr>
            </w:pPr>
            <w:r>
              <w:rPr>
                <w:b/>
                <w:color w:val="auto"/>
                <w:sz w:val="24"/>
                <w:highlight w:val="none"/>
              </w:rPr>
              <w:t>1、</w:t>
            </w:r>
            <w:r>
              <w:rPr>
                <w:rFonts w:hint="eastAsia"/>
                <w:b/>
                <w:color w:val="auto"/>
                <w:sz w:val="24"/>
                <w:highlight w:val="none"/>
                <w:lang w:eastAsia="zh-CN"/>
              </w:rPr>
              <w:t>环境</w:t>
            </w:r>
            <w:r>
              <w:rPr>
                <w:b/>
                <w:color w:val="auto"/>
                <w:sz w:val="24"/>
                <w:highlight w:val="none"/>
              </w:rPr>
              <w:t>空气</w:t>
            </w:r>
            <w:r>
              <w:rPr>
                <w:rFonts w:hint="eastAsia"/>
                <w:b/>
                <w:color w:val="auto"/>
                <w:sz w:val="24"/>
                <w:highlight w:val="none"/>
                <w:lang w:eastAsia="zh-CN"/>
              </w:rPr>
              <w:t>质量现状</w:t>
            </w:r>
          </w:p>
          <w:p w14:paraId="2CFF52A3">
            <w:pPr>
              <w:keepNext w:val="0"/>
              <w:keepLines w:val="0"/>
              <w:pageBreakBefore w:val="0"/>
              <w:kinsoku/>
              <w:wordWrap/>
              <w:overflowPunct/>
              <w:topLinePunct w:val="0"/>
              <w:autoSpaceDE/>
              <w:autoSpaceDN/>
              <w:bidi w:val="0"/>
              <w:adjustRightInd/>
              <w:snapToGrid/>
              <w:spacing w:line="360" w:lineRule="auto"/>
              <w:ind w:firstLine="482"/>
              <w:textAlignment w:val="auto"/>
              <w:rPr>
                <w:color w:val="auto"/>
                <w:sz w:val="24"/>
                <w:szCs w:val="24"/>
                <w:highlight w:val="none"/>
              </w:rPr>
            </w:pPr>
            <w:r>
              <w:rPr>
                <w:color w:val="auto"/>
                <w:sz w:val="24"/>
                <w:szCs w:val="24"/>
                <w:highlight w:val="none"/>
              </w:rPr>
              <w:t>（1）基本污染物</w:t>
            </w:r>
          </w:p>
          <w:p w14:paraId="02A663D2">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default" w:ascii="Times New Roman" w:hAnsi="Times New Roman" w:cs="Times New Roman"/>
                <w:color w:val="auto"/>
                <w:kern w:val="0"/>
                <w:sz w:val="24"/>
                <w:szCs w:val="24"/>
                <w:highlight w:val="none"/>
                <w:lang w:bidi="ar"/>
              </w:rPr>
            </w:pPr>
            <w:r>
              <w:rPr>
                <w:rFonts w:hint="default" w:ascii="Times New Roman" w:hAnsi="Times New Roman" w:cs="Times New Roman"/>
                <w:color w:val="auto"/>
                <w:kern w:val="0"/>
                <w:sz w:val="24"/>
                <w:szCs w:val="24"/>
                <w:highlight w:val="none"/>
                <w:lang w:bidi="ar"/>
              </w:rPr>
              <w:t>项目所在区域达标情况判定优先采用国家或地方生态环境主管部门公开发布的环境质量公告或环境质量报告中的数据和结论。</w:t>
            </w:r>
          </w:p>
          <w:p w14:paraId="4430FD73">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right="0" w:firstLine="480" w:firstLineChars="200"/>
              <w:textAlignment w:val="auto"/>
              <w:outlineLvl w:val="9"/>
              <w:rPr>
                <w:rFonts w:hint="default" w:ascii="Times New Roman" w:hAnsi="Times New Roman" w:eastAsia="宋体" w:cs="Times New Roman"/>
                <w:color w:val="0070C0"/>
                <w:sz w:val="24"/>
                <w:szCs w:val="24"/>
                <w:lang w:val="en-US" w:eastAsia="zh-CN"/>
              </w:rPr>
            </w:pPr>
            <w:r>
              <w:rPr>
                <w:rFonts w:hint="default" w:ascii="Times New Roman" w:hAnsi="Times New Roman" w:cs="Times New Roman"/>
                <w:color w:val="auto"/>
                <w:kern w:val="0"/>
                <w:sz w:val="24"/>
                <w:szCs w:val="24"/>
                <w:lang w:bidi="ar"/>
              </w:rPr>
              <w:t>根据大气环境功能区划，本项目所在地区为二类区，大气环境质量执行《环境空气质量标准》(GB3095-2012)中的二级标准。</w:t>
            </w:r>
            <w:r>
              <w:rPr>
                <w:rFonts w:hint="default" w:ascii="Times New Roman" w:hAnsi="Times New Roman" w:eastAsia="宋体" w:cs="Times New Roman"/>
                <w:color w:val="0070C0"/>
                <w:sz w:val="24"/>
                <w:szCs w:val="24"/>
                <w:lang w:val="en-US" w:eastAsia="zh-CN"/>
              </w:rPr>
              <w:t>根据《2024年度镇江市生态环境状况公报》，2024年，镇江市环境空气中细颗粒物（PM</w:t>
            </w:r>
            <w:r>
              <w:rPr>
                <w:rFonts w:hint="default" w:ascii="Times New Roman" w:hAnsi="Times New Roman" w:eastAsia="宋体" w:cs="Times New Roman"/>
                <w:color w:val="0070C0"/>
                <w:sz w:val="24"/>
                <w:szCs w:val="24"/>
                <w:vertAlign w:val="subscript"/>
                <w:lang w:val="en-US" w:eastAsia="zh-CN"/>
              </w:rPr>
              <w:t>2.5</w:t>
            </w:r>
            <w:r>
              <w:rPr>
                <w:rFonts w:hint="default" w:ascii="Times New Roman" w:hAnsi="Times New Roman" w:eastAsia="宋体" w:cs="Times New Roman"/>
                <w:color w:val="0070C0"/>
                <w:sz w:val="24"/>
                <w:szCs w:val="24"/>
                <w:lang w:val="en-US" w:eastAsia="zh-CN"/>
              </w:rPr>
              <w:t>）</w:t>
            </w:r>
            <w:r>
              <w:rPr>
                <w:rFonts w:hint="default" w:ascii="Times New Roman" w:hAnsi="Times New Roman" w:cs="Times New Roman"/>
              </w:rPr>
              <w:commentReference w:id="10"/>
            </w:r>
            <w:r>
              <w:rPr>
                <w:rFonts w:hint="default" w:ascii="Times New Roman" w:hAnsi="Times New Roman" w:eastAsia="宋体" w:cs="Times New Roman"/>
                <w:color w:val="0070C0"/>
                <w:sz w:val="24"/>
                <w:szCs w:val="24"/>
                <w:lang w:val="en-US" w:eastAsia="zh-CN"/>
              </w:rPr>
              <w:t>、可吸入颗粒物（PM</w:t>
            </w:r>
            <w:r>
              <w:rPr>
                <w:rFonts w:hint="default" w:ascii="Times New Roman" w:hAnsi="Times New Roman" w:eastAsia="宋体" w:cs="Times New Roman"/>
                <w:color w:val="0070C0"/>
                <w:sz w:val="24"/>
                <w:szCs w:val="24"/>
                <w:vertAlign w:val="subscript"/>
                <w:lang w:val="en-US" w:eastAsia="zh-CN"/>
              </w:rPr>
              <w:t>10</w:t>
            </w:r>
            <w:r>
              <w:rPr>
                <w:rFonts w:hint="default" w:ascii="Times New Roman" w:hAnsi="Times New Roman" w:eastAsia="宋体" w:cs="Times New Roman"/>
                <w:color w:val="0070C0"/>
                <w:sz w:val="24"/>
                <w:szCs w:val="24"/>
                <w:lang w:val="en-US" w:eastAsia="zh-CN"/>
              </w:rPr>
              <w:t>）、二氧化氮（NO</w:t>
            </w:r>
            <w:r>
              <w:rPr>
                <w:rFonts w:hint="default" w:ascii="Times New Roman" w:hAnsi="Times New Roman" w:eastAsia="宋体" w:cs="Times New Roman"/>
                <w:color w:val="0070C0"/>
                <w:sz w:val="24"/>
                <w:szCs w:val="24"/>
                <w:vertAlign w:val="subscript"/>
                <w:lang w:val="en-US" w:eastAsia="zh-CN"/>
              </w:rPr>
              <w:t>2</w:t>
            </w:r>
            <w:r>
              <w:rPr>
                <w:rFonts w:hint="default" w:ascii="Times New Roman" w:hAnsi="Times New Roman" w:eastAsia="宋体" w:cs="Times New Roman"/>
                <w:color w:val="0070C0"/>
                <w:sz w:val="24"/>
                <w:szCs w:val="24"/>
                <w:lang w:val="en-US" w:eastAsia="zh-CN"/>
              </w:rPr>
              <w:t>）、一氧化碳24小时平均第90百分位数浓度（以下简称一氧化碳浓度）和臭氧日最大8小时滑动平均第90百分位数浓度（以下简称臭氧浓度）较上年均有所下降，二氧化硫（SO</w:t>
            </w:r>
            <w:r>
              <w:rPr>
                <w:rFonts w:hint="default" w:ascii="Times New Roman" w:hAnsi="Times New Roman" w:eastAsia="宋体" w:cs="Times New Roman"/>
                <w:color w:val="0070C0"/>
                <w:sz w:val="24"/>
                <w:szCs w:val="24"/>
                <w:vertAlign w:val="subscript"/>
                <w:lang w:val="en-US" w:eastAsia="zh-CN"/>
              </w:rPr>
              <w:t>2</w:t>
            </w:r>
            <w:r>
              <w:rPr>
                <w:rFonts w:hint="default" w:ascii="Times New Roman" w:hAnsi="Times New Roman" w:eastAsia="宋体" w:cs="Times New Roman"/>
                <w:color w:val="0070C0"/>
                <w:sz w:val="24"/>
                <w:szCs w:val="24"/>
                <w:lang w:val="en-US" w:eastAsia="zh-CN"/>
              </w:rPr>
              <w:t>）浓度与上年持平。镇江市区环境空气中细颗粒物（PM</w:t>
            </w:r>
            <w:r>
              <w:rPr>
                <w:rFonts w:hint="default" w:ascii="Times New Roman" w:hAnsi="Times New Roman" w:eastAsia="宋体" w:cs="Times New Roman"/>
                <w:color w:val="0070C0"/>
                <w:sz w:val="24"/>
                <w:szCs w:val="24"/>
                <w:vertAlign w:val="subscript"/>
                <w:lang w:val="en-US" w:eastAsia="zh-CN"/>
              </w:rPr>
              <w:t>2.5</w:t>
            </w:r>
            <w:r>
              <w:rPr>
                <w:rFonts w:hint="default" w:ascii="Times New Roman" w:hAnsi="Times New Roman" w:eastAsia="宋体" w:cs="Times New Roman"/>
                <w:color w:val="0070C0"/>
                <w:sz w:val="24"/>
                <w:szCs w:val="24"/>
                <w:lang w:val="en-US" w:eastAsia="zh-CN"/>
              </w:rPr>
              <w:t>）、可吸入颗粒物（PM</w:t>
            </w:r>
            <w:r>
              <w:rPr>
                <w:rFonts w:hint="default" w:ascii="Times New Roman" w:hAnsi="Times New Roman" w:eastAsia="宋体" w:cs="Times New Roman"/>
                <w:color w:val="0070C0"/>
                <w:sz w:val="24"/>
                <w:szCs w:val="24"/>
                <w:vertAlign w:val="subscript"/>
                <w:lang w:val="en-US" w:eastAsia="zh-CN"/>
              </w:rPr>
              <w:t>10</w:t>
            </w:r>
            <w:r>
              <w:rPr>
                <w:rFonts w:hint="default" w:ascii="Times New Roman" w:hAnsi="Times New Roman" w:eastAsia="宋体" w:cs="Times New Roman"/>
                <w:color w:val="0070C0"/>
                <w:sz w:val="24"/>
                <w:szCs w:val="24"/>
                <w:lang w:val="en-US" w:eastAsia="zh-CN"/>
              </w:rPr>
              <w:t>）、二氧化硫（SO</w:t>
            </w:r>
            <w:r>
              <w:rPr>
                <w:rFonts w:hint="default" w:ascii="Times New Roman" w:hAnsi="Times New Roman" w:eastAsia="宋体" w:cs="Times New Roman"/>
                <w:color w:val="0070C0"/>
                <w:sz w:val="24"/>
                <w:szCs w:val="24"/>
                <w:vertAlign w:val="subscript"/>
                <w:lang w:val="en-US" w:eastAsia="zh-CN"/>
              </w:rPr>
              <w:t>2</w:t>
            </w:r>
            <w:r>
              <w:rPr>
                <w:rFonts w:hint="default" w:ascii="Times New Roman" w:hAnsi="Times New Roman" w:eastAsia="宋体" w:cs="Times New Roman"/>
                <w:color w:val="0070C0"/>
                <w:sz w:val="24"/>
                <w:szCs w:val="24"/>
                <w:lang w:val="en-US" w:eastAsia="zh-CN"/>
              </w:rPr>
              <w:t>）、二氧化氮（NO</w:t>
            </w:r>
            <w:r>
              <w:rPr>
                <w:rFonts w:hint="default" w:ascii="Times New Roman" w:hAnsi="Times New Roman" w:eastAsia="宋体" w:cs="Times New Roman"/>
                <w:color w:val="0070C0"/>
                <w:sz w:val="24"/>
                <w:szCs w:val="24"/>
                <w:vertAlign w:val="subscript"/>
                <w:lang w:val="en-US" w:eastAsia="zh-CN"/>
              </w:rPr>
              <w:t>2</w:t>
            </w:r>
            <w:r>
              <w:rPr>
                <w:rFonts w:hint="default" w:ascii="Times New Roman" w:hAnsi="Times New Roman" w:eastAsia="宋体" w:cs="Times New Roman"/>
                <w:color w:val="0070C0"/>
                <w:sz w:val="24"/>
                <w:szCs w:val="24"/>
                <w:lang w:val="en-US" w:eastAsia="zh-CN"/>
              </w:rPr>
              <w:t>）浓度分别为35微克/立方米、51微克/立方米、6微克/立方米、27微克/立方米；一氧化碳浓度、臭氧浓度分别为0.8毫克/立方米、165微克/立方米。对照《环境空气质量标准》（GB 3095-2012）二级标准限值，臭氧未达要求。</w:t>
            </w:r>
          </w:p>
          <w:p w14:paraId="4F913BCB">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default" w:ascii="Times New Roman" w:hAnsi="Times New Roman" w:cs="Times New Roman"/>
                <w:color w:val="auto"/>
                <w:kern w:val="0"/>
                <w:sz w:val="24"/>
                <w:szCs w:val="24"/>
                <w:lang w:bidi="ar"/>
              </w:rPr>
            </w:pPr>
            <w:r>
              <w:rPr>
                <w:rFonts w:hint="default" w:ascii="Times New Roman" w:hAnsi="Times New Roman" w:cs="Times New Roman"/>
                <w:color w:val="auto"/>
                <w:kern w:val="0"/>
                <w:sz w:val="24"/>
                <w:szCs w:val="24"/>
                <w:lang w:bidi="ar"/>
              </w:rPr>
              <w:t>根据《环境影响评价技术导则</w:t>
            </w:r>
            <w:r>
              <w:rPr>
                <w:rFonts w:hint="default" w:ascii="Times New Roman" w:hAnsi="Times New Roman" w:cs="Times New Roman"/>
                <w:color w:val="auto"/>
                <w:kern w:val="0"/>
                <w:sz w:val="24"/>
                <w:szCs w:val="24"/>
                <w:lang w:val="en-US" w:eastAsia="zh-CN" w:bidi="ar"/>
              </w:rPr>
              <w:t xml:space="preserve"> </w:t>
            </w:r>
            <w:r>
              <w:rPr>
                <w:rFonts w:hint="default" w:ascii="Times New Roman" w:hAnsi="Times New Roman" w:cs="Times New Roman"/>
                <w:color w:val="auto"/>
                <w:kern w:val="0"/>
                <w:sz w:val="24"/>
                <w:szCs w:val="24"/>
                <w:lang w:bidi="ar"/>
              </w:rPr>
              <w:t>大气环境》(HJ2.2-2018)第6.4.1条，城市环境空气质量达标情况评价指标为SO</w:t>
            </w:r>
            <w:r>
              <w:rPr>
                <w:rFonts w:hint="default" w:ascii="Times New Roman" w:hAnsi="Times New Roman" w:cs="Times New Roman"/>
                <w:color w:val="auto"/>
                <w:kern w:val="0"/>
                <w:sz w:val="24"/>
                <w:szCs w:val="24"/>
                <w:vertAlign w:val="subscript"/>
                <w:lang w:val="en-US" w:eastAsia="zh-CN" w:bidi="ar"/>
              </w:rPr>
              <w:t>2</w:t>
            </w:r>
            <w:r>
              <w:rPr>
                <w:rFonts w:hint="default" w:ascii="Times New Roman" w:hAnsi="Times New Roman" w:cs="Times New Roman"/>
                <w:color w:val="auto"/>
                <w:kern w:val="0"/>
                <w:sz w:val="24"/>
                <w:szCs w:val="24"/>
                <w:lang w:bidi="ar"/>
              </w:rPr>
              <w:t>、NO</w:t>
            </w:r>
            <w:r>
              <w:rPr>
                <w:rFonts w:hint="default" w:ascii="Times New Roman" w:hAnsi="Times New Roman" w:cs="Times New Roman"/>
                <w:color w:val="auto"/>
                <w:kern w:val="0"/>
                <w:sz w:val="24"/>
                <w:szCs w:val="24"/>
                <w:vertAlign w:val="subscript"/>
                <w:lang w:val="en-US" w:eastAsia="zh-CN" w:bidi="ar"/>
              </w:rPr>
              <w:t>2</w:t>
            </w:r>
            <w:r>
              <w:rPr>
                <w:rFonts w:hint="default" w:ascii="Times New Roman" w:hAnsi="Times New Roman" w:cs="Times New Roman"/>
                <w:color w:val="auto"/>
                <w:kern w:val="0"/>
                <w:sz w:val="24"/>
                <w:szCs w:val="24"/>
                <w:lang w:bidi="ar"/>
              </w:rPr>
              <w:t>、PM</w:t>
            </w:r>
            <w:r>
              <w:rPr>
                <w:rFonts w:hint="default" w:ascii="Times New Roman" w:hAnsi="Times New Roman" w:cs="Times New Roman"/>
                <w:color w:val="auto"/>
                <w:kern w:val="0"/>
                <w:sz w:val="24"/>
                <w:szCs w:val="24"/>
                <w:vertAlign w:val="subscript"/>
                <w:lang w:val="en-US" w:eastAsia="zh-CN" w:bidi="ar"/>
              </w:rPr>
              <w:t>2</w:t>
            </w:r>
            <w:r>
              <w:rPr>
                <w:rFonts w:hint="default" w:ascii="Times New Roman" w:hAnsi="Times New Roman" w:cs="Times New Roman"/>
                <w:color w:val="auto"/>
                <w:kern w:val="0"/>
                <w:sz w:val="24"/>
                <w:szCs w:val="24"/>
                <w:vertAlign w:val="subscript"/>
                <w:lang w:bidi="ar"/>
              </w:rPr>
              <w:t>.5</w:t>
            </w:r>
            <w:r>
              <w:rPr>
                <w:rFonts w:hint="default" w:ascii="Times New Roman" w:hAnsi="Times New Roman" w:cs="Times New Roman"/>
                <w:color w:val="auto"/>
                <w:kern w:val="0"/>
                <w:sz w:val="24"/>
                <w:szCs w:val="24"/>
                <w:lang w:bidi="ar"/>
              </w:rPr>
              <w:t>、PM</w:t>
            </w:r>
            <w:r>
              <w:rPr>
                <w:rFonts w:hint="default" w:ascii="Times New Roman" w:hAnsi="Times New Roman" w:cs="Times New Roman"/>
                <w:color w:val="auto"/>
                <w:kern w:val="0"/>
                <w:sz w:val="24"/>
                <w:szCs w:val="24"/>
                <w:vertAlign w:val="subscript"/>
                <w:lang w:val="en-US" w:eastAsia="zh-CN" w:bidi="ar"/>
              </w:rPr>
              <w:t>1</w:t>
            </w:r>
            <w:r>
              <w:rPr>
                <w:rFonts w:hint="default" w:ascii="Times New Roman" w:hAnsi="Times New Roman" w:cs="Times New Roman"/>
                <w:color w:val="auto"/>
                <w:kern w:val="0"/>
                <w:sz w:val="24"/>
                <w:szCs w:val="24"/>
                <w:vertAlign w:val="subscript"/>
                <w:lang w:bidi="ar"/>
              </w:rPr>
              <w:t>0</w:t>
            </w:r>
            <w:r>
              <w:rPr>
                <w:rFonts w:hint="default" w:ascii="Times New Roman" w:hAnsi="Times New Roman" w:cs="Times New Roman"/>
                <w:color w:val="auto"/>
                <w:kern w:val="0"/>
                <w:sz w:val="24"/>
                <w:szCs w:val="24"/>
                <w:lang w:bidi="ar"/>
              </w:rPr>
              <w:t>、CO、</w:t>
            </w:r>
            <w:r>
              <w:rPr>
                <w:rFonts w:hint="default" w:ascii="Times New Roman" w:hAnsi="Times New Roman" w:cs="Times New Roman"/>
                <w:color w:val="auto"/>
                <w:kern w:val="0"/>
                <w:sz w:val="24"/>
                <w:szCs w:val="24"/>
                <w:lang w:val="en-US" w:eastAsia="zh-CN" w:bidi="ar"/>
              </w:rPr>
              <w:t>O</w:t>
            </w:r>
            <w:r>
              <w:rPr>
                <w:rFonts w:hint="default" w:ascii="Times New Roman" w:hAnsi="Times New Roman" w:cs="Times New Roman"/>
                <w:color w:val="auto"/>
                <w:kern w:val="0"/>
                <w:sz w:val="24"/>
                <w:szCs w:val="24"/>
                <w:vertAlign w:val="subscript"/>
                <w:lang w:val="en-US" w:eastAsia="zh-CN" w:bidi="ar"/>
              </w:rPr>
              <w:t>3</w:t>
            </w:r>
            <w:r>
              <w:rPr>
                <w:rFonts w:hint="default" w:ascii="Times New Roman" w:hAnsi="Times New Roman" w:cs="Times New Roman"/>
                <w:color w:val="auto"/>
                <w:kern w:val="0"/>
                <w:sz w:val="24"/>
                <w:szCs w:val="24"/>
                <w:lang w:val="en-US" w:eastAsia="zh-CN" w:bidi="ar"/>
              </w:rPr>
              <w:t>，</w:t>
            </w:r>
            <w:r>
              <w:rPr>
                <w:rFonts w:hint="default" w:ascii="Times New Roman" w:hAnsi="Times New Roman" w:cs="Times New Roman"/>
                <w:color w:val="auto"/>
                <w:kern w:val="0"/>
                <w:sz w:val="24"/>
                <w:szCs w:val="24"/>
                <w:lang w:bidi="ar"/>
              </w:rPr>
              <w:t>六项污染物全部达标即为城市环境空气质量达标。202</w:t>
            </w:r>
            <w:r>
              <w:rPr>
                <w:rFonts w:hint="eastAsia" w:ascii="Times New Roman" w:hAnsi="Times New Roman" w:cs="Times New Roman"/>
                <w:color w:val="auto"/>
                <w:kern w:val="0"/>
                <w:sz w:val="24"/>
                <w:szCs w:val="24"/>
                <w:lang w:val="en-US" w:eastAsia="zh-CN" w:bidi="ar"/>
              </w:rPr>
              <w:t>4</w:t>
            </w:r>
            <w:r>
              <w:rPr>
                <w:rFonts w:hint="default" w:ascii="Times New Roman" w:hAnsi="Times New Roman" w:cs="Times New Roman"/>
                <w:color w:val="auto"/>
                <w:kern w:val="0"/>
                <w:sz w:val="24"/>
                <w:szCs w:val="24"/>
                <w:lang w:bidi="ar"/>
              </w:rPr>
              <w:t>年度项目所在区域</w:t>
            </w:r>
            <w:r>
              <w:rPr>
                <w:rFonts w:hint="default" w:ascii="Times New Roman" w:hAnsi="Times New Roman" w:cs="Times New Roman"/>
                <w:color w:val="auto"/>
                <w:kern w:val="0"/>
                <w:sz w:val="24"/>
                <w:szCs w:val="24"/>
                <w:lang w:val="en-US" w:eastAsia="zh-CN" w:bidi="ar"/>
              </w:rPr>
              <w:t>O</w:t>
            </w:r>
            <w:r>
              <w:rPr>
                <w:rFonts w:hint="default" w:ascii="Times New Roman" w:hAnsi="Times New Roman" w:cs="Times New Roman"/>
                <w:color w:val="auto"/>
                <w:kern w:val="0"/>
                <w:sz w:val="24"/>
                <w:szCs w:val="24"/>
                <w:vertAlign w:val="subscript"/>
                <w:lang w:val="en-US" w:eastAsia="zh-CN" w:bidi="ar"/>
              </w:rPr>
              <w:t>3</w:t>
            </w:r>
            <w:r>
              <w:rPr>
                <w:rFonts w:hint="default" w:ascii="Times New Roman" w:hAnsi="Times New Roman" w:cs="Times New Roman"/>
                <w:color w:val="auto"/>
                <w:kern w:val="0"/>
                <w:sz w:val="24"/>
                <w:szCs w:val="24"/>
                <w:lang w:bidi="ar"/>
              </w:rPr>
              <w:t>超标，因此判定为不达标区。</w:t>
            </w:r>
          </w:p>
          <w:p w14:paraId="4E57CD07">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lang w:bidi="ar"/>
              </w:rPr>
              <w:t>根据《</w:t>
            </w:r>
            <w:r>
              <w:rPr>
                <w:rFonts w:hint="default" w:ascii="Times New Roman" w:hAnsi="Times New Roman" w:cs="Times New Roman"/>
                <w:color w:val="auto"/>
                <w:kern w:val="0"/>
                <w:sz w:val="24"/>
                <w:szCs w:val="24"/>
                <w:lang w:val="en-US" w:eastAsia="zh-CN" w:bidi="ar"/>
              </w:rPr>
              <w:t>句容</w:t>
            </w:r>
            <w:r>
              <w:rPr>
                <w:rFonts w:hint="default" w:ascii="Times New Roman" w:hAnsi="Times New Roman" w:cs="Times New Roman"/>
                <w:color w:val="auto"/>
                <w:kern w:val="0"/>
                <w:sz w:val="24"/>
                <w:szCs w:val="24"/>
                <w:lang w:bidi="ar"/>
              </w:rPr>
              <w:t>市202</w:t>
            </w:r>
            <w:r>
              <w:rPr>
                <w:rFonts w:hint="default" w:ascii="Times New Roman" w:hAnsi="Times New Roman" w:cs="Times New Roman"/>
                <w:color w:val="auto"/>
                <w:kern w:val="0"/>
                <w:sz w:val="24"/>
                <w:szCs w:val="24"/>
                <w:lang w:val="en-US" w:eastAsia="zh-CN" w:bidi="ar"/>
              </w:rPr>
              <w:t>4</w:t>
            </w:r>
            <w:r>
              <w:rPr>
                <w:rFonts w:hint="default" w:ascii="Times New Roman" w:hAnsi="Times New Roman" w:cs="Times New Roman"/>
                <w:color w:val="auto"/>
                <w:kern w:val="0"/>
                <w:sz w:val="24"/>
                <w:szCs w:val="24"/>
                <w:lang w:bidi="ar"/>
              </w:rPr>
              <w:t>年大气污染防治工作计划》提出通过调整“优化</w:t>
            </w:r>
            <w:r>
              <w:rPr>
                <w:rFonts w:hint="default" w:ascii="Times New Roman" w:hAnsi="Times New Roman" w:cs="Times New Roman"/>
                <w:color w:val="auto"/>
                <w:kern w:val="0"/>
                <w:sz w:val="24"/>
                <w:szCs w:val="24"/>
                <w:lang w:val="en-US" w:eastAsia="zh-CN" w:bidi="ar"/>
              </w:rPr>
              <w:t>产业</w:t>
            </w:r>
            <w:r>
              <w:rPr>
                <w:rFonts w:hint="default" w:ascii="Times New Roman" w:hAnsi="Times New Roman" w:cs="Times New Roman"/>
                <w:color w:val="auto"/>
                <w:kern w:val="0"/>
                <w:sz w:val="24"/>
                <w:szCs w:val="24"/>
                <w:lang w:bidi="ar"/>
              </w:rPr>
              <w:t>结构，</w:t>
            </w:r>
            <w:r>
              <w:rPr>
                <w:rFonts w:hint="default" w:ascii="Times New Roman" w:hAnsi="Times New Roman" w:cs="Times New Roman"/>
                <w:color w:val="auto"/>
                <w:kern w:val="0"/>
                <w:sz w:val="24"/>
                <w:szCs w:val="24"/>
                <w:lang w:val="en-US" w:eastAsia="zh-CN" w:bidi="ar"/>
              </w:rPr>
              <w:t>促进产业产品绿色升级</w:t>
            </w:r>
            <w:r>
              <w:rPr>
                <w:rFonts w:hint="default" w:ascii="Times New Roman" w:hAnsi="Times New Roman" w:cs="Times New Roman"/>
                <w:color w:val="auto"/>
                <w:kern w:val="0"/>
                <w:sz w:val="24"/>
                <w:szCs w:val="24"/>
                <w:lang w:bidi="ar"/>
              </w:rPr>
              <w:t>”“</w:t>
            </w:r>
            <w:r>
              <w:rPr>
                <w:rFonts w:hint="default" w:ascii="Times New Roman" w:hAnsi="Times New Roman" w:cs="Times New Roman"/>
                <w:color w:val="auto"/>
                <w:kern w:val="0"/>
                <w:sz w:val="24"/>
                <w:szCs w:val="24"/>
                <w:lang w:val="en-US" w:eastAsia="zh-CN" w:bidi="ar"/>
              </w:rPr>
              <w:t>优化能源结构</w:t>
            </w:r>
            <w:r>
              <w:rPr>
                <w:rFonts w:hint="default" w:ascii="Times New Roman" w:hAnsi="Times New Roman" w:cs="Times New Roman"/>
                <w:color w:val="auto"/>
                <w:kern w:val="0"/>
                <w:sz w:val="24"/>
                <w:szCs w:val="24"/>
                <w:lang w:bidi="ar"/>
              </w:rPr>
              <w:t>，</w:t>
            </w:r>
            <w:r>
              <w:rPr>
                <w:rFonts w:hint="default" w:ascii="Times New Roman" w:hAnsi="Times New Roman" w:cs="Times New Roman"/>
                <w:color w:val="auto"/>
                <w:kern w:val="0"/>
                <w:sz w:val="24"/>
                <w:szCs w:val="24"/>
                <w:lang w:val="en-US" w:eastAsia="zh-CN" w:bidi="ar"/>
              </w:rPr>
              <w:t>加速能源清洁低碳高效发展</w:t>
            </w:r>
            <w:r>
              <w:rPr>
                <w:rFonts w:hint="default" w:ascii="Times New Roman" w:hAnsi="Times New Roman" w:cs="Times New Roman"/>
                <w:color w:val="auto"/>
                <w:kern w:val="0"/>
                <w:sz w:val="24"/>
                <w:szCs w:val="24"/>
                <w:lang w:bidi="ar"/>
              </w:rPr>
              <w:t>”、“</w:t>
            </w:r>
            <w:r>
              <w:rPr>
                <w:rFonts w:hint="default" w:ascii="Times New Roman" w:hAnsi="Times New Roman" w:cs="Times New Roman"/>
                <w:color w:val="auto"/>
                <w:kern w:val="0"/>
                <w:sz w:val="24"/>
                <w:szCs w:val="24"/>
                <w:lang w:val="en-US" w:eastAsia="zh-CN" w:bidi="ar"/>
              </w:rPr>
              <w:t>优化交通结构，大力发展绿色运输体系</w:t>
            </w:r>
            <w:r>
              <w:rPr>
                <w:rFonts w:hint="default" w:ascii="Times New Roman" w:hAnsi="Times New Roman" w:cs="Times New Roman"/>
                <w:color w:val="auto"/>
                <w:kern w:val="0"/>
                <w:sz w:val="24"/>
                <w:szCs w:val="24"/>
                <w:lang w:bidi="ar"/>
              </w:rPr>
              <w:t>”、“</w:t>
            </w:r>
            <w:r>
              <w:rPr>
                <w:rFonts w:hint="default" w:ascii="Times New Roman" w:hAnsi="Times New Roman" w:cs="Times New Roman"/>
                <w:color w:val="auto"/>
                <w:kern w:val="0"/>
                <w:sz w:val="24"/>
                <w:szCs w:val="24"/>
                <w:lang w:val="en-US" w:eastAsia="zh-CN" w:bidi="ar"/>
              </w:rPr>
              <w:t>聚焦重点行业</w:t>
            </w:r>
            <w:r>
              <w:rPr>
                <w:rFonts w:hint="default" w:ascii="Times New Roman" w:hAnsi="Times New Roman" w:cs="Times New Roman"/>
                <w:color w:val="auto"/>
                <w:kern w:val="0"/>
                <w:sz w:val="24"/>
                <w:szCs w:val="24"/>
                <w:lang w:bidi="ar"/>
              </w:rPr>
              <w:t>，</w:t>
            </w:r>
            <w:r>
              <w:rPr>
                <w:rFonts w:hint="default" w:ascii="Times New Roman" w:hAnsi="Times New Roman" w:cs="Times New Roman"/>
                <w:color w:val="auto"/>
                <w:kern w:val="0"/>
                <w:sz w:val="24"/>
                <w:szCs w:val="24"/>
                <w:lang w:val="en-US" w:eastAsia="zh-CN" w:bidi="ar"/>
              </w:rPr>
              <w:t>推进大气污染综合治理</w:t>
            </w:r>
            <w:r>
              <w:rPr>
                <w:rFonts w:hint="default" w:ascii="Times New Roman" w:hAnsi="Times New Roman" w:cs="Times New Roman"/>
                <w:color w:val="auto"/>
                <w:kern w:val="0"/>
                <w:sz w:val="24"/>
                <w:szCs w:val="24"/>
                <w:lang w:bidi="ar"/>
              </w:rPr>
              <w:t>”、“</w:t>
            </w:r>
            <w:r>
              <w:rPr>
                <w:rFonts w:hint="default" w:ascii="Times New Roman" w:hAnsi="Times New Roman" w:cs="Times New Roman"/>
                <w:color w:val="auto"/>
                <w:kern w:val="0"/>
                <w:sz w:val="24"/>
                <w:szCs w:val="24"/>
                <w:lang w:val="en-US" w:eastAsia="zh-CN" w:bidi="ar"/>
              </w:rPr>
              <w:t>开展VOCs大会战，持续压降VOCs浓度</w:t>
            </w:r>
            <w:r>
              <w:rPr>
                <w:rFonts w:hint="default" w:ascii="Times New Roman" w:hAnsi="Times New Roman" w:cs="Times New Roman"/>
                <w:color w:val="auto"/>
                <w:kern w:val="0"/>
                <w:sz w:val="24"/>
                <w:szCs w:val="24"/>
                <w:lang w:bidi="ar"/>
              </w:rPr>
              <w:t>”、“</w:t>
            </w:r>
            <w:r>
              <w:rPr>
                <w:rFonts w:hint="default" w:ascii="Times New Roman" w:hAnsi="Times New Roman" w:cs="Times New Roman"/>
                <w:color w:val="auto"/>
                <w:kern w:val="0"/>
                <w:sz w:val="24"/>
                <w:szCs w:val="24"/>
                <w:lang w:val="en-US" w:eastAsia="zh-CN" w:bidi="ar"/>
              </w:rPr>
              <w:t>强化面源污染治理，提升精细化管理水平</w:t>
            </w:r>
            <w:r>
              <w:rPr>
                <w:rFonts w:hint="default" w:ascii="Times New Roman" w:hAnsi="Times New Roman" w:cs="Times New Roman"/>
                <w:color w:val="auto"/>
                <w:kern w:val="0"/>
                <w:sz w:val="24"/>
                <w:szCs w:val="24"/>
                <w:lang w:bidi="ar"/>
              </w:rPr>
              <w:t>”、“强化</w:t>
            </w:r>
            <w:r>
              <w:rPr>
                <w:rFonts w:hint="default" w:ascii="Times New Roman" w:hAnsi="Times New Roman" w:cs="Times New Roman"/>
                <w:color w:val="auto"/>
                <w:kern w:val="0"/>
                <w:sz w:val="24"/>
                <w:szCs w:val="24"/>
                <w:lang w:val="en-US" w:eastAsia="zh-CN" w:bidi="ar"/>
              </w:rPr>
              <w:t>执法检查和监督帮扶，加强污染过程应对</w:t>
            </w:r>
            <w:r>
              <w:rPr>
                <w:rFonts w:hint="default" w:ascii="Times New Roman" w:hAnsi="Times New Roman" w:cs="Times New Roman"/>
                <w:color w:val="auto"/>
                <w:kern w:val="0"/>
                <w:sz w:val="24"/>
                <w:szCs w:val="24"/>
                <w:lang w:bidi="ar"/>
              </w:rPr>
              <w:t>”</w:t>
            </w:r>
            <w:r>
              <w:rPr>
                <w:rFonts w:hint="default" w:ascii="Times New Roman" w:hAnsi="Times New Roman" w:cs="Times New Roman"/>
                <w:color w:val="auto"/>
                <w:kern w:val="0"/>
                <w:sz w:val="24"/>
                <w:szCs w:val="24"/>
                <w:lang w:eastAsia="zh-CN" w:bidi="ar"/>
              </w:rPr>
              <w:t>、“</w:t>
            </w:r>
            <w:r>
              <w:rPr>
                <w:rFonts w:hint="default" w:ascii="Times New Roman" w:hAnsi="Times New Roman" w:cs="Times New Roman"/>
                <w:color w:val="auto"/>
                <w:kern w:val="0"/>
                <w:sz w:val="24"/>
                <w:szCs w:val="24"/>
                <w:lang w:val="en-US" w:eastAsia="zh-CN" w:bidi="ar"/>
              </w:rPr>
              <w:t>加强能力建设，健全标准体系</w:t>
            </w:r>
            <w:r>
              <w:rPr>
                <w:rFonts w:hint="default" w:ascii="Times New Roman" w:hAnsi="Times New Roman" w:cs="Times New Roman"/>
                <w:color w:val="auto"/>
                <w:kern w:val="0"/>
                <w:sz w:val="24"/>
                <w:szCs w:val="24"/>
                <w:lang w:eastAsia="zh-CN" w:bidi="ar"/>
              </w:rPr>
              <w:t>”、“</w:t>
            </w:r>
            <w:r>
              <w:rPr>
                <w:rFonts w:hint="default" w:ascii="Times New Roman" w:hAnsi="Times New Roman" w:cs="Times New Roman"/>
                <w:color w:val="auto"/>
                <w:kern w:val="0"/>
                <w:sz w:val="24"/>
                <w:szCs w:val="24"/>
                <w:lang w:val="en-US" w:eastAsia="zh-CN" w:bidi="ar"/>
              </w:rPr>
              <w:t>强化激励约束，落实各方责任</w:t>
            </w:r>
            <w:r>
              <w:rPr>
                <w:rFonts w:hint="default" w:ascii="Times New Roman" w:hAnsi="Times New Roman" w:cs="Times New Roman"/>
                <w:color w:val="auto"/>
                <w:kern w:val="0"/>
                <w:sz w:val="24"/>
                <w:szCs w:val="24"/>
                <w:lang w:eastAsia="zh-CN" w:bidi="ar"/>
              </w:rPr>
              <w:t>”</w:t>
            </w:r>
            <w:r>
              <w:rPr>
                <w:rFonts w:hint="default" w:ascii="Times New Roman" w:hAnsi="Times New Roman" w:cs="Times New Roman"/>
                <w:color w:val="auto"/>
                <w:kern w:val="0"/>
                <w:sz w:val="24"/>
                <w:szCs w:val="24"/>
                <w:lang w:bidi="ar"/>
              </w:rPr>
              <w:t>等重点任务，通过上述大气污染防治工作的实施，预计大气环境质量状况可以得到逐步改善。</w:t>
            </w:r>
          </w:p>
          <w:p w14:paraId="01174F6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w:t>
            </w:r>
            <w:r>
              <w:rPr>
                <w:rFonts w:hint="default" w:ascii="Times New Roman" w:hAnsi="Times New Roman" w:cs="Times New Roman"/>
                <w:color w:val="auto"/>
                <w:sz w:val="24"/>
                <w:szCs w:val="24"/>
                <w:highlight w:val="none"/>
                <w:lang w:eastAsia="zh-CN"/>
              </w:rPr>
              <w:t>特征</w:t>
            </w:r>
            <w:r>
              <w:rPr>
                <w:rFonts w:hint="default" w:ascii="Times New Roman" w:hAnsi="Times New Roman" w:eastAsia="宋体" w:cs="Times New Roman"/>
                <w:color w:val="auto"/>
                <w:sz w:val="24"/>
                <w:szCs w:val="24"/>
                <w:highlight w:val="none"/>
              </w:rPr>
              <w:t>污染物环境质量现状</w:t>
            </w:r>
          </w:p>
          <w:p w14:paraId="50A6C7DF">
            <w:pPr>
              <w:keepNext w:val="0"/>
              <w:keepLines w:val="0"/>
              <w:pageBreakBefore w:val="0"/>
              <w:widowControl/>
              <w:kinsoku/>
              <w:wordWrap/>
              <w:overflowPunct/>
              <w:topLinePunct w:val="0"/>
              <w:autoSpaceDE/>
              <w:autoSpaceDN/>
              <w:bidi w:val="0"/>
              <w:adjustRightInd/>
              <w:snapToGrid/>
              <w:spacing w:line="360" w:lineRule="auto"/>
              <w:ind w:firstLine="482"/>
              <w:jc w:val="both"/>
              <w:textAlignment w:val="auto"/>
              <w:rPr>
                <w:rFonts w:hint="default" w:ascii="Times New Roman" w:hAnsi="Times New Roman" w:eastAsia="宋体" w:cs="Times New Roman"/>
                <w:color w:val="auto"/>
                <w:kern w:val="0"/>
                <w:sz w:val="24"/>
                <w:szCs w:val="24"/>
                <w:lang w:eastAsia="zh-CN" w:bidi="ar"/>
              </w:rPr>
            </w:pPr>
            <w:r>
              <w:rPr>
                <w:rFonts w:hint="default" w:ascii="Times New Roman" w:hAnsi="Times New Roman" w:cs="Times New Roman"/>
                <w:color w:val="auto"/>
                <w:kern w:val="0"/>
                <w:sz w:val="24"/>
                <w:szCs w:val="24"/>
                <w:lang w:bidi="ar"/>
              </w:rPr>
              <w:t>根据《环境影响评价技术导则</w:t>
            </w:r>
            <w:r>
              <w:rPr>
                <w:rFonts w:hint="default" w:ascii="Times New Roman" w:hAnsi="Times New Roman" w:cs="Times New Roman"/>
                <w:color w:val="auto"/>
                <w:kern w:val="0"/>
                <w:sz w:val="24"/>
                <w:szCs w:val="24"/>
                <w:lang w:val="en-US" w:eastAsia="zh-CN" w:bidi="ar"/>
              </w:rPr>
              <w:t xml:space="preserve"> </w:t>
            </w:r>
            <w:r>
              <w:rPr>
                <w:rFonts w:hint="default" w:ascii="Times New Roman" w:hAnsi="Times New Roman" w:cs="Times New Roman"/>
                <w:color w:val="auto"/>
                <w:kern w:val="0"/>
                <w:sz w:val="24"/>
                <w:szCs w:val="24"/>
                <w:lang w:bidi="ar"/>
              </w:rPr>
              <w:t>大气环境》(HJ2.2-2018)以及《建设项目环境影响报告表编制技术指南(污染影响类)》，特征污染物可引用建设项目周边5km范围内近3年的现有监测数据</w:t>
            </w:r>
            <w:r>
              <w:rPr>
                <w:rFonts w:hint="default" w:ascii="Times New Roman" w:hAnsi="Times New Roman" w:cs="Times New Roman"/>
                <w:color w:val="auto"/>
                <w:kern w:val="0"/>
                <w:sz w:val="24"/>
                <w:szCs w:val="24"/>
                <w:lang w:eastAsia="zh-CN" w:bidi="ar"/>
              </w:rPr>
              <w:t>。</w:t>
            </w:r>
          </w:p>
          <w:p w14:paraId="32270CF8">
            <w:pPr>
              <w:keepNext w:val="0"/>
              <w:keepLines w:val="0"/>
              <w:pageBreakBefore w:val="0"/>
              <w:widowControl/>
              <w:kinsoku/>
              <w:wordWrap/>
              <w:overflowPunct/>
              <w:topLinePunct w:val="0"/>
              <w:autoSpaceDE/>
              <w:autoSpaceDN/>
              <w:bidi w:val="0"/>
              <w:adjustRightInd/>
              <w:snapToGrid/>
              <w:spacing w:line="360" w:lineRule="auto"/>
              <w:ind w:firstLine="482"/>
              <w:jc w:val="both"/>
              <w:textAlignment w:val="auto"/>
              <w:rPr>
                <w:rFonts w:hint="default" w:ascii="Times New Roman" w:hAnsi="Times New Roman" w:cs="Times New Roman"/>
                <w:color w:val="0070C0"/>
                <w:sz w:val="24"/>
                <w:szCs w:val="24"/>
              </w:rPr>
            </w:pPr>
            <w:r>
              <w:rPr>
                <w:rFonts w:hint="default" w:ascii="Times New Roman" w:hAnsi="Times New Roman" w:cs="Times New Roman"/>
                <w:color w:val="0070C0"/>
                <w:kern w:val="0"/>
                <w:sz w:val="24"/>
                <w:szCs w:val="24"/>
                <w:lang w:bidi="ar"/>
              </w:rPr>
              <w:t>本项目排放的特征污染物主要为</w:t>
            </w:r>
            <w:r>
              <w:rPr>
                <w:rFonts w:hint="default" w:ascii="Times New Roman" w:hAnsi="Times New Roman" w:cs="Times New Roman"/>
                <w:color w:val="0070C0"/>
                <w:kern w:val="0"/>
                <w:sz w:val="24"/>
                <w:szCs w:val="24"/>
                <w:lang w:val="en-US" w:eastAsia="zh-CN" w:bidi="ar"/>
              </w:rPr>
              <w:t>非甲烷总烃</w:t>
            </w:r>
            <w:r>
              <w:rPr>
                <w:rFonts w:hint="default" w:ascii="Times New Roman" w:hAnsi="Times New Roman" w:cs="Times New Roman"/>
                <w:color w:val="0070C0"/>
                <w:kern w:val="0"/>
                <w:sz w:val="24"/>
                <w:szCs w:val="24"/>
                <w:lang w:bidi="ar"/>
              </w:rPr>
              <w:t>，为了解项目所在地特征污染物环境质量现状，本次引用《江苏省句容高新技术产业开</w:t>
            </w:r>
            <w:r>
              <w:rPr>
                <w:rFonts w:hint="default" w:ascii="Times New Roman" w:hAnsi="Times New Roman" w:cs="Times New Roman"/>
              </w:rPr>
              <w:commentReference w:id="11"/>
            </w:r>
            <w:r>
              <w:rPr>
                <w:rFonts w:hint="default" w:ascii="Times New Roman" w:hAnsi="Times New Roman" w:cs="Times New Roman"/>
                <w:color w:val="0070C0"/>
                <w:kern w:val="0"/>
                <w:sz w:val="24"/>
                <w:szCs w:val="24"/>
                <w:lang w:bidi="ar"/>
              </w:rPr>
              <w:t>发区（筹）开发建设规划（2024-2035）环境影响报告书》</w:t>
            </w:r>
            <w:r>
              <w:rPr>
                <w:rFonts w:hint="default" w:ascii="Times New Roman" w:hAnsi="Times New Roman" w:cs="Times New Roman"/>
                <w:color w:val="0070C0"/>
                <w:kern w:val="0"/>
                <w:sz w:val="24"/>
                <w:szCs w:val="24"/>
                <w:lang w:val="en-US" w:eastAsia="zh-CN" w:bidi="ar"/>
              </w:rPr>
              <w:t>中G2点位</w:t>
            </w:r>
            <w:r>
              <w:rPr>
                <w:rFonts w:hint="default" w:ascii="Times New Roman" w:hAnsi="Times New Roman" w:cs="Times New Roman"/>
                <w:color w:val="0070C0"/>
                <w:kern w:val="0"/>
                <w:sz w:val="24"/>
                <w:szCs w:val="24"/>
                <w:lang w:bidi="ar"/>
              </w:rPr>
              <w:t>的环境质量现状监测数据，监测点位为碧桂园世纪城邦</w:t>
            </w:r>
            <w:r>
              <w:rPr>
                <w:rFonts w:hint="default" w:ascii="Times New Roman" w:hAnsi="Times New Roman" w:cs="Times New Roman"/>
                <w:color w:val="0070C0"/>
                <w:kern w:val="0"/>
                <w:sz w:val="24"/>
                <w:szCs w:val="24"/>
                <w:lang w:eastAsia="zh-CN" w:bidi="ar"/>
              </w:rPr>
              <w:t>，</w:t>
            </w:r>
            <w:r>
              <w:rPr>
                <w:rFonts w:hint="default" w:ascii="Times New Roman" w:hAnsi="Times New Roman" w:cs="Times New Roman"/>
                <w:color w:val="0070C0"/>
                <w:kern w:val="0"/>
                <w:sz w:val="24"/>
                <w:szCs w:val="24"/>
                <w:lang w:val="en-US" w:eastAsia="zh-CN" w:bidi="ar"/>
              </w:rPr>
              <w:t>位于</w:t>
            </w:r>
            <w:r>
              <w:rPr>
                <w:rFonts w:hint="default" w:ascii="Times New Roman" w:hAnsi="Times New Roman" w:cs="Times New Roman"/>
                <w:color w:val="0070C0"/>
                <w:kern w:val="0"/>
                <w:sz w:val="24"/>
                <w:szCs w:val="24"/>
                <w:lang w:bidi="ar"/>
              </w:rPr>
              <w:t>本项目西</w:t>
            </w:r>
            <w:r>
              <w:rPr>
                <w:rFonts w:hint="default" w:ascii="Times New Roman" w:hAnsi="Times New Roman" w:cs="Times New Roman"/>
                <w:color w:val="0070C0"/>
                <w:kern w:val="0"/>
                <w:sz w:val="24"/>
                <w:szCs w:val="24"/>
                <w:lang w:val="en-US" w:eastAsia="zh-CN" w:bidi="ar"/>
              </w:rPr>
              <w:t>南侧</w:t>
            </w:r>
            <w:r>
              <w:rPr>
                <w:rFonts w:hint="default" w:ascii="Times New Roman" w:hAnsi="Times New Roman" w:cs="Times New Roman"/>
                <w:color w:val="0070C0"/>
                <w:kern w:val="0"/>
                <w:sz w:val="24"/>
                <w:szCs w:val="24"/>
                <w:lang w:bidi="ar"/>
              </w:rPr>
              <w:t>约</w:t>
            </w:r>
            <w:r>
              <w:rPr>
                <w:rFonts w:hint="default" w:ascii="Times New Roman" w:hAnsi="Times New Roman" w:cs="Times New Roman"/>
                <w:color w:val="0070C0"/>
                <w:kern w:val="0"/>
                <w:sz w:val="24"/>
                <w:szCs w:val="24"/>
                <w:lang w:val="en-US" w:eastAsia="zh-CN" w:bidi="ar"/>
              </w:rPr>
              <w:t>1.</w:t>
            </w:r>
            <w:r>
              <w:rPr>
                <w:rFonts w:hint="eastAsia" w:ascii="Times New Roman" w:hAnsi="Times New Roman" w:cs="Times New Roman"/>
                <w:color w:val="0070C0"/>
                <w:kern w:val="0"/>
                <w:sz w:val="24"/>
                <w:szCs w:val="24"/>
                <w:lang w:val="en-US" w:eastAsia="zh-CN" w:bidi="ar"/>
              </w:rPr>
              <w:t>5</w:t>
            </w:r>
            <w:r>
              <w:rPr>
                <w:rFonts w:hint="default" w:ascii="Times New Roman" w:hAnsi="Times New Roman" w:cs="Times New Roman"/>
                <w:color w:val="0070C0"/>
                <w:kern w:val="0"/>
                <w:sz w:val="24"/>
                <w:szCs w:val="24"/>
                <w:lang w:bidi="ar"/>
              </w:rPr>
              <w:t>km</w:t>
            </w:r>
            <w:r>
              <w:rPr>
                <w:rFonts w:hint="default" w:ascii="Times New Roman" w:hAnsi="Times New Roman" w:cs="Times New Roman"/>
                <w:color w:val="0070C0"/>
                <w:kern w:val="0"/>
                <w:sz w:val="24"/>
                <w:szCs w:val="24"/>
                <w:lang w:eastAsia="zh-CN" w:bidi="ar"/>
              </w:rPr>
              <w:t>，</w:t>
            </w:r>
            <w:r>
              <w:rPr>
                <w:rFonts w:hint="default" w:ascii="Times New Roman" w:hAnsi="Times New Roman" w:cs="Times New Roman"/>
                <w:color w:val="0070C0"/>
                <w:kern w:val="0"/>
                <w:sz w:val="24"/>
                <w:szCs w:val="24"/>
                <w:lang w:bidi="ar"/>
              </w:rPr>
              <w:t>监测时间为2024年11月13日</w:t>
            </w:r>
            <w:r>
              <w:rPr>
                <w:rFonts w:hint="default" w:ascii="Times New Roman" w:hAnsi="Times New Roman" w:cs="Times New Roman"/>
                <w:color w:val="0070C0"/>
                <w:kern w:val="0"/>
                <w:sz w:val="24"/>
                <w:szCs w:val="24"/>
                <w:lang w:val="en-US" w:eastAsia="zh-CN" w:bidi="ar"/>
              </w:rPr>
              <w:t>~</w:t>
            </w:r>
            <w:r>
              <w:rPr>
                <w:rFonts w:hint="default" w:ascii="Times New Roman" w:hAnsi="Times New Roman" w:cs="Times New Roman"/>
                <w:color w:val="0070C0"/>
                <w:kern w:val="0"/>
                <w:sz w:val="24"/>
                <w:szCs w:val="24"/>
                <w:lang w:bidi="ar"/>
              </w:rPr>
              <w:t>2024年11月20日，</w:t>
            </w:r>
            <w:r>
              <w:rPr>
                <w:rFonts w:hint="default" w:ascii="Times New Roman" w:hAnsi="Times New Roman" w:eastAsia="宋体" w:cs="Times New Roman"/>
                <w:color w:val="0070C0"/>
                <w:sz w:val="24"/>
                <w:szCs w:val="20"/>
                <w:highlight w:val="none"/>
              </w:rPr>
              <w:t>监测点位在本项目周边5千米范围内且监测数据在3年有效期内。</w:t>
            </w:r>
            <w:r>
              <w:rPr>
                <w:rFonts w:hint="default" w:ascii="Times New Roman" w:hAnsi="Times New Roman" w:eastAsia="宋体" w:cs="Times New Roman"/>
                <w:bCs/>
                <w:color w:val="0070C0"/>
                <w:sz w:val="24"/>
                <w:szCs w:val="24"/>
                <w:lang w:eastAsia="zh-CN"/>
              </w:rPr>
              <w:t>满足《建设项目环境影响报告表编制技术指南（污染影响类）》中引用要求，引用可行</w:t>
            </w:r>
            <w:r>
              <w:rPr>
                <w:rFonts w:hint="default" w:ascii="Times New Roman" w:hAnsi="Times New Roman" w:cs="Times New Roman"/>
                <w:color w:val="0070C0"/>
                <w:kern w:val="0"/>
                <w:sz w:val="24"/>
                <w:szCs w:val="24"/>
                <w:lang w:bidi="ar"/>
              </w:rPr>
              <w:t>。监测结果详见表3-</w:t>
            </w:r>
            <w:r>
              <w:rPr>
                <w:rFonts w:hint="default" w:ascii="Times New Roman" w:hAnsi="Times New Roman" w:cs="Times New Roman"/>
                <w:color w:val="0070C0"/>
                <w:kern w:val="0"/>
                <w:sz w:val="24"/>
                <w:szCs w:val="24"/>
                <w:lang w:val="en-US" w:eastAsia="zh-CN" w:bidi="ar"/>
              </w:rPr>
              <w:t>1</w:t>
            </w:r>
            <w:r>
              <w:rPr>
                <w:rFonts w:hint="default" w:ascii="Times New Roman" w:hAnsi="Times New Roman" w:cs="Times New Roman"/>
                <w:color w:val="0070C0"/>
                <w:kern w:val="0"/>
                <w:sz w:val="24"/>
                <w:szCs w:val="24"/>
                <w:lang w:bidi="ar"/>
              </w:rPr>
              <w:t>。</w:t>
            </w:r>
          </w:p>
          <w:p w14:paraId="41D11E65">
            <w:pPr>
              <w:jc w:val="center"/>
              <w:rPr>
                <w:rFonts w:hint="default" w:ascii="Times New Roman" w:hAnsi="Times New Roman" w:eastAsia="宋体" w:cs="Times New Roman"/>
                <w:b/>
                <w:color w:val="0070C0"/>
                <w:kern w:val="2"/>
                <w:sz w:val="24"/>
                <w:szCs w:val="24"/>
                <w:highlight w:val="none"/>
                <w:lang w:val="en-US" w:eastAsia="zh-CN" w:bidi="ar-SA"/>
              </w:rPr>
            </w:pPr>
            <w:r>
              <w:rPr>
                <w:rFonts w:hint="default" w:ascii="Times New Roman" w:hAnsi="Times New Roman" w:eastAsia="宋体" w:cs="Times New Roman"/>
                <w:b/>
                <w:color w:val="0070C0"/>
                <w:kern w:val="2"/>
                <w:sz w:val="24"/>
                <w:szCs w:val="24"/>
                <w:highlight w:val="none"/>
                <w:lang w:val="en-US" w:eastAsia="zh-CN" w:bidi="ar-SA"/>
              </w:rPr>
              <w:t>表3-</w:t>
            </w:r>
            <w:r>
              <w:rPr>
                <w:rFonts w:hint="default" w:ascii="Times New Roman" w:hAnsi="Times New Roman" w:cs="Times New Roman"/>
                <w:b/>
                <w:color w:val="0070C0"/>
                <w:kern w:val="2"/>
                <w:sz w:val="24"/>
                <w:szCs w:val="24"/>
                <w:highlight w:val="none"/>
                <w:lang w:val="en-US" w:eastAsia="zh-CN" w:bidi="ar-SA"/>
              </w:rPr>
              <w:t>1</w:t>
            </w:r>
            <w:r>
              <w:rPr>
                <w:rFonts w:hint="default" w:ascii="Times New Roman" w:hAnsi="Times New Roman" w:eastAsia="宋体" w:cs="Times New Roman"/>
                <w:b/>
                <w:color w:val="0070C0"/>
                <w:kern w:val="2"/>
                <w:sz w:val="24"/>
                <w:szCs w:val="24"/>
                <w:highlight w:val="none"/>
                <w:lang w:val="en-US" w:eastAsia="zh-CN" w:bidi="ar-SA"/>
              </w:rPr>
              <w:t xml:space="preserve"> 非甲烷总烃环境质量现状表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3424"/>
              <w:gridCol w:w="613"/>
              <w:gridCol w:w="971"/>
              <w:gridCol w:w="971"/>
              <w:gridCol w:w="615"/>
              <w:gridCol w:w="615"/>
              <w:gridCol w:w="207"/>
            </w:tblGrid>
            <w:tr w14:paraId="544B5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3" w:hRule="atLeast"/>
                <w:tblHeader/>
                <w:jc w:val="center"/>
              </w:trPr>
              <w:tc>
                <w:tcPr>
                  <w:tcW w:w="599" w:type="pct"/>
                  <w:tcBorders>
                    <w:bottom w:val="single" w:color="auto" w:sz="12" w:space="0"/>
                  </w:tcBorders>
                  <w:noWrap w:val="0"/>
                  <w:tcMar>
                    <w:top w:w="0" w:type="dxa"/>
                    <w:left w:w="0" w:type="dxa"/>
                    <w:bottom w:w="0" w:type="dxa"/>
                    <w:right w:w="0" w:type="dxa"/>
                  </w:tcMar>
                  <w:vAlign w:val="center"/>
                </w:tcPr>
                <w:p w14:paraId="3594C61B">
                  <w:pPr>
                    <w:adjustRightInd w:val="0"/>
                    <w:snapToGrid w:val="0"/>
                    <w:jc w:val="center"/>
                    <w:rPr>
                      <w:rFonts w:hint="default" w:ascii="Times New Roman" w:hAnsi="Times New Roman" w:eastAsia="宋体" w:cs="Times New Roman"/>
                      <w:b/>
                      <w:bCs/>
                      <w:color w:val="0070C0"/>
                      <w:szCs w:val="21"/>
                      <w:highlight w:val="none"/>
                    </w:rPr>
                  </w:pPr>
                  <w:r>
                    <w:rPr>
                      <w:rFonts w:hint="default" w:ascii="Times New Roman" w:hAnsi="Times New Roman" w:eastAsia="宋体" w:cs="Times New Roman"/>
                      <w:b/>
                      <w:bCs/>
                      <w:color w:val="0070C0"/>
                      <w:szCs w:val="21"/>
                      <w:highlight w:val="none"/>
                    </w:rPr>
                    <w:t>污染物</w:t>
                  </w:r>
                </w:p>
              </w:tc>
              <w:tc>
                <w:tcPr>
                  <w:tcW w:w="1078" w:type="pct"/>
                  <w:tcBorders>
                    <w:bottom w:val="single" w:color="auto" w:sz="12" w:space="0"/>
                  </w:tcBorders>
                  <w:noWrap w:val="0"/>
                  <w:tcMar>
                    <w:top w:w="0" w:type="dxa"/>
                    <w:left w:w="0" w:type="dxa"/>
                    <w:bottom w:w="0" w:type="dxa"/>
                    <w:right w:w="0" w:type="dxa"/>
                  </w:tcMar>
                  <w:vAlign w:val="center"/>
                </w:tcPr>
                <w:p w14:paraId="17481B1D">
                  <w:pPr>
                    <w:adjustRightInd w:val="0"/>
                    <w:snapToGrid w:val="0"/>
                    <w:jc w:val="center"/>
                    <w:rPr>
                      <w:rFonts w:hint="default" w:ascii="Times New Roman" w:hAnsi="Times New Roman" w:eastAsia="宋体" w:cs="Times New Roman"/>
                      <w:b/>
                      <w:bCs/>
                      <w:color w:val="0070C0"/>
                      <w:szCs w:val="21"/>
                      <w:highlight w:val="none"/>
                      <w:lang w:eastAsia="zh-CN"/>
                    </w:rPr>
                  </w:pPr>
                  <w:r>
                    <w:rPr>
                      <w:rFonts w:hint="default" w:ascii="Times New Roman" w:hAnsi="Times New Roman" w:cs="Times New Roman"/>
                      <w:b/>
                      <w:bCs/>
                      <w:color w:val="0070C0"/>
                      <w:szCs w:val="21"/>
                      <w:highlight w:val="none"/>
                      <w:lang w:eastAsia="zh-CN"/>
                    </w:rPr>
                    <w:t>监测时间</w:t>
                  </w:r>
                </w:p>
              </w:tc>
              <w:tc>
                <w:tcPr>
                  <w:tcW w:w="632" w:type="pct"/>
                  <w:tcBorders>
                    <w:bottom w:val="single" w:color="auto" w:sz="12" w:space="0"/>
                  </w:tcBorders>
                  <w:noWrap w:val="0"/>
                  <w:tcMar>
                    <w:top w:w="0" w:type="dxa"/>
                    <w:left w:w="0" w:type="dxa"/>
                    <w:bottom w:w="0" w:type="dxa"/>
                    <w:right w:w="0" w:type="dxa"/>
                  </w:tcMar>
                  <w:vAlign w:val="center"/>
                </w:tcPr>
                <w:p w14:paraId="4B9FBCA4">
                  <w:pPr>
                    <w:adjustRightInd w:val="0"/>
                    <w:snapToGrid w:val="0"/>
                    <w:jc w:val="center"/>
                    <w:rPr>
                      <w:rFonts w:hint="default" w:ascii="Times New Roman" w:hAnsi="Times New Roman" w:eastAsia="宋体" w:cs="Times New Roman"/>
                      <w:b/>
                      <w:bCs/>
                      <w:color w:val="0070C0"/>
                      <w:szCs w:val="21"/>
                      <w:highlight w:val="none"/>
                    </w:rPr>
                  </w:pPr>
                  <w:r>
                    <w:rPr>
                      <w:rFonts w:hint="default" w:ascii="Times New Roman" w:hAnsi="Times New Roman" w:eastAsia="宋体" w:cs="Times New Roman"/>
                      <w:b/>
                      <w:bCs/>
                      <w:color w:val="0070C0"/>
                      <w:szCs w:val="21"/>
                      <w:highlight w:val="none"/>
                    </w:rPr>
                    <w:t>平均</w:t>
                  </w:r>
                </w:p>
                <w:p w14:paraId="1D5F9234">
                  <w:pPr>
                    <w:adjustRightInd w:val="0"/>
                    <w:snapToGrid w:val="0"/>
                    <w:jc w:val="center"/>
                    <w:rPr>
                      <w:rFonts w:hint="default" w:ascii="Times New Roman" w:hAnsi="Times New Roman" w:eastAsia="宋体" w:cs="Times New Roman"/>
                      <w:b/>
                      <w:bCs/>
                      <w:color w:val="0070C0"/>
                      <w:szCs w:val="21"/>
                      <w:highlight w:val="none"/>
                    </w:rPr>
                  </w:pPr>
                  <w:r>
                    <w:rPr>
                      <w:rFonts w:hint="default" w:ascii="Times New Roman" w:hAnsi="Times New Roman" w:eastAsia="宋体" w:cs="Times New Roman"/>
                      <w:b/>
                      <w:bCs/>
                      <w:color w:val="0070C0"/>
                      <w:szCs w:val="21"/>
                      <w:highlight w:val="none"/>
                    </w:rPr>
                    <w:t>时间</w:t>
                  </w:r>
                </w:p>
              </w:tc>
              <w:tc>
                <w:tcPr>
                  <w:tcW w:w="730" w:type="pct"/>
                  <w:tcBorders>
                    <w:bottom w:val="single" w:color="auto" w:sz="12" w:space="0"/>
                  </w:tcBorders>
                  <w:shd w:val="clear" w:color="auto" w:fill="auto"/>
                  <w:noWrap w:val="0"/>
                  <w:tcMar>
                    <w:top w:w="0" w:type="dxa"/>
                    <w:left w:w="0" w:type="dxa"/>
                    <w:bottom w:w="0" w:type="dxa"/>
                    <w:right w:w="0" w:type="dxa"/>
                  </w:tcMar>
                  <w:vAlign w:val="center"/>
                </w:tcPr>
                <w:p w14:paraId="1662175F">
                  <w:pPr>
                    <w:adjustRightInd w:val="0"/>
                    <w:snapToGrid w:val="0"/>
                    <w:spacing w:line="240" w:lineRule="auto"/>
                    <w:ind w:firstLine="0" w:firstLineChars="0"/>
                    <w:jc w:val="center"/>
                    <w:rPr>
                      <w:rFonts w:hint="default" w:ascii="Times New Roman" w:hAnsi="Times New Roman" w:eastAsia="宋体" w:cs="Times New Roman"/>
                      <w:b/>
                      <w:bCs/>
                      <w:color w:val="0070C0"/>
                      <w:kern w:val="2"/>
                      <w:sz w:val="21"/>
                      <w:szCs w:val="21"/>
                      <w:lang w:val="en-US" w:eastAsia="zh-CN" w:bidi="ar-SA"/>
                    </w:rPr>
                  </w:pPr>
                  <w:r>
                    <w:rPr>
                      <w:rFonts w:hint="default" w:ascii="Times New Roman" w:hAnsi="Times New Roman" w:cs="Times New Roman"/>
                      <w:b/>
                      <w:bCs/>
                      <w:color w:val="0070C0"/>
                      <w:sz w:val="21"/>
                      <w:szCs w:val="21"/>
                    </w:rPr>
                    <w:t>浓度范围（mg/m</w:t>
                  </w:r>
                  <w:r>
                    <w:rPr>
                      <w:rFonts w:hint="default" w:ascii="Times New Roman" w:hAnsi="Times New Roman" w:cs="Times New Roman"/>
                      <w:b/>
                      <w:bCs/>
                      <w:color w:val="0070C0"/>
                      <w:sz w:val="21"/>
                      <w:szCs w:val="21"/>
                      <w:vertAlign w:val="superscript"/>
                    </w:rPr>
                    <w:t>3</w:t>
                  </w:r>
                  <w:r>
                    <w:rPr>
                      <w:rFonts w:hint="default" w:ascii="Times New Roman" w:hAnsi="Times New Roman" w:cs="Times New Roman"/>
                      <w:b/>
                      <w:bCs/>
                      <w:color w:val="0070C0"/>
                      <w:sz w:val="21"/>
                      <w:szCs w:val="21"/>
                    </w:rPr>
                    <w:t>）</w:t>
                  </w:r>
                </w:p>
              </w:tc>
              <w:tc>
                <w:tcPr>
                  <w:tcW w:w="623" w:type="pct"/>
                  <w:tcBorders>
                    <w:bottom w:val="single" w:color="auto" w:sz="12" w:space="0"/>
                  </w:tcBorders>
                  <w:shd w:val="clear" w:color="auto" w:fill="auto"/>
                  <w:noWrap w:val="0"/>
                  <w:tcMar>
                    <w:top w:w="0" w:type="dxa"/>
                    <w:left w:w="0" w:type="dxa"/>
                    <w:bottom w:w="0" w:type="dxa"/>
                    <w:right w:w="0" w:type="dxa"/>
                  </w:tcMar>
                  <w:vAlign w:val="center"/>
                </w:tcPr>
                <w:p w14:paraId="5F768C84">
                  <w:pPr>
                    <w:adjustRightInd w:val="0"/>
                    <w:snapToGrid w:val="0"/>
                    <w:spacing w:line="240" w:lineRule="auto"/>
                    <w:ind w:firstLine="0" w:firstLineChars="0"/>
                    <w:jc w:val="center"/>
                    <w:rPr>
                      <w:rFonts w:hint="default" w:ascii="Times New Roman" w:hAnsi="Times New Roman" w:eastAsia="宋体" w:cs="Times New Roman"/>
                      <w:b/>
                      <w:bCs/>
                      <w:color w:val="0070C0"/>
                      <w:kern w:val="2"/>
                      <w:sz w:val="21"/>
                      <w:szCs w:val="21"/>
                      <w:lang w:val="en-US" w:eastAsia="zh-CN" w:bidi="ar-SA"/>
                    </w:rPr>
                  </w:pPr>
                  <w:r>
                    <w:rPr>
                      <w:rFonts w:hint="default" w:ascii="Times New Roman" w:hAnsi="Times New Roman" w:cs="Times New Roman"/>
                      <w:b/>
                      <w:bCs/>
                      <w:color w:val="0070C0"/>
                      <w:sz w:val="21"/>
                      <w:szCs w:val="21"/>
                    </w:rPr>
                    <w:t>标准限值（mg/m</w:t>
                  </w:r>
                  <w:r>
                    <w:rPr>
                      <w:rFonts w:hint="default" w:ascii="Times New Roman" w:hAnsi="Times New Roman" w:cs="Times New Roman"/>
                      <w:b/>
                      <w:bCs/>
                      <w:color w:val="0070C0"/>
                      <w:sz w:val="21"/>
                      <w:szCs w:val="21"/>
                      <w:vertAlign w:val="superscript"/>
                    </w:rPr>
                    <w:t>3</w:t>
                  </w:r>
                  <w:r>
                    <w:rPr>
                      <w:rFonts w:hint="default" w:ascii="Times New Roman" w:hAnsi="Times New Roman" w:cs="Times New Roman"/>
                      <w:b/>
                      <w:bCs/>
                      <w:color w:val="0070C0"/>
                      <w:sz w:val="21"/>
                      <w:szCs w:val="21"/>
                    </w:rPr>
                    <w:t>）</w:t>
                  </w:r>
                </w:p>
              </w:tc>
              <w:tc>
                <w:tcPr>
                  <w:tcW w:w="587" w:type="pct"/>
                  <w:tcBorders>
                    <w:bottom w:val="single" w:color="auto" w:sz="12" w:space="0"/>
                  </w:tcBorders>
                  <w:shd w:val="clear" w:color="auto" w:fill="auto"/>
                  <w:noWrap w:val="0"/>
                  <w:tcMar>
                    <w:top w:w="0" w:type="dxa"/>
                    <w:left w:w="0" w:type="dxa"/>
                    <w:bottom w:w="0" w:type="dxa"/>
                    <w:right w:w="0" w:type="dxa"/>
                  </w:tcMar>
                  <w:vAlign w:val="center"/>
                </w:tcPr>
                <w:p w14:paraId="32731BB4">
                  <w:pPr>
                    <w:adjustRightInd w:val="0"/>
                    <w:snapToGrid w:val="0"/>
                    <w:spacing w:line="240" w:lineRule="auto"/>
                    <w:ind w:firstLine="0" w:firstLineChars="0"/>
                    <w:jc w:val="center"/>
                    <w:rPr>
                      <w:rFonts w:hint="default" w:ascii="Times New Roman" w:hAnsi="Times New Roman" w:eastAsia="宋体" w:cs="Times New Roman"/>
                      <w:b/>
                      <w:bCs/>
                      <w:color w:val="0070C0"/>
                      <w:kern w:val="2"/>
                      <w:sz w:val="21"/>
                      <w:szCs w:val="21"/>
                      <w:lang w:val="en-US" w:eastAsia="zh-CN" w:bidi="ar-SA"/>
                    </w:rPr>
                  </w:pPr>
                  <w:r>
                    <w:rPr>
                      <w:rFonts w:hint="default" w:ascii="Times New Roman" w:hAnsi="Times New Roman" w:cs="Times New Roman"/>
                      <w:b/>
                      <w:bCs/>
                      <w:color w:val="0070C0"/>
                      <w:sz w:val="21"/>
                      <w:szCs w:val="21"/>
                    </w:rPr>
                    <w:t>最大浓度占标率（%）</w:t>
                  </w:r>
                </w:p>
              </w:tc>
              <w:tc>
                <w:tcPr>
                  <w:tcW w:w="418" w:type="pct"/>
                  <w:tcBorders>
                    <w:bottom w:val="single" w:color="auto" w:sz="12" w:space="0"/>
                  </w:tcBorders>
                  <w:shd w:val="clear" w:color="auto" w:fill="auto"/>
                  <w:noWrap w:val="0"/>
                  <w:tcMar>
                    <w:top w:w="0" w:type="dxa"/>
                    <w:left w:w="0" w:type="dxa"/>
                    <w:bottom w:w="0" w:type="dxa"/>
                    <w:right w:w="0" w:type="dxa"/>
                  </w:tcMar>
                  <w:vAlign w:val="center"/>
                </w:tcPr>
                <w:p w14:paraId="5032309D">
                  <w:pPr>
                    <w:adjustRightInd w:val="0"/>
                    <w:snapToGrid w:val="0"/>
                    <w:spacing w:line="240" w:lineRule="auto"/>
                    <w:ind w:firstLine="0" w:firstLineChars="0"/>
                    <w:jc w:val="center"/>
                    <w:rPr>
                      <w:rFonts w:hint="default" w:ascii="Times New Roman" w:hAnsi="Times New Roman" w:eastAsia="宋体" w:cs="Times New Roman"/>
                      <w:b/>
                      <w:bCs/>
                      <w:color w:val="0070C0"/>
                      <w:kern w:val="2"/>
                      <w:sz w:val="21"/>
                      <w:szCs w:val="21"/>
                      <w:lang w:val="en-US" w:eastAsia="zh-CN" w:bidi="ar-SA"/>
                    </w:rPr>
                  </w:pPr>
                  <w:r>
                    <w:rPr>
                      <w:rFonts w:hint="default" w:ascii="Times New Roman" w:hAnsi="Times New Roman" w:cs="Times New Roman"/>
                      <w:b/>
                      <w:bCs/>
                      <w:color w:val="0070C0"/>
                      <w:sz w:val="21"/>
                      <w:szCs w:val="21"/>
                    </w:rPr>
                    <w:t>超标率（%）</w:t>
                  </w:r>
                </w:p>
              </w:tc>
              <w:tc>
                <w:tcPr>
                  <w:tcW w:w="330" w:type="pct"/>
                  <w:tcBorders>
                    <w:bottom w:val="single" w:color="auto" w:sz="12" w:space="0"/>
                  </w:tcBorders>
                  <w:noWrap w:val="0"/>
                  <w:tcMar>
                    <w:top w:w="0" w:type="dxa"/>
                    <w:left w:w="0" w:type="dxa"/>
                    <w:bottom w:w="0" w:type="dxa"/>
                    <w:right w:w="0" w:type="dxa"/>
                  </w:tcMar>
                  <w:vAlign w:val="center"/>
                </w:tcPr>
                <w:p w14:paraId="13C4034E">
                  <w:pPr>
                    <w:adjustRightInd w:val="0"/>
                    <w:snapToGrid w:val="0"/>
                    <w:jc w:val="center"/>
                    <w:rPr>
                      <w:rFonts w:hint="default" w:ascii="Times New Roman" w:hAnsi="Times New Roman" w:eastAsia="宋体" w:cs="Times New Roman"/>
                      <w:b/>
                      <w:bCs/>
                      <w:color w:val="0070C0"/>
                      <w:szCs w:val="21"/>
                      <w:highlight w:val="none"/>
                    </w:rPr>
                  </w:pPr>
                  <w:r>
                    <w:rPr>
                      <w:rFonts w:hint="default" w:ascii="Times New Roman" w:hAnsi="Times New Roman" w:eastAsia="宋体" w:cs="Times New Roman"/>
                      <w:b/>
                      <w:bCs/>
                      <w:color w:val="0070C0"/>
                      <w:szCs w:val="21"/>
                      <w:highlight w:val="none"/>
                    </w:rPr>
                    <w:t>达标</w:t>
                  </w:r>
                </w:p>
                <w:p w14:paraId="0CD5E1EF">
                  <w:pPr>
                    <w:adjustRightInd w:val="0"/>
                    <w:snapToGrid w:val="0"/>
                    <w:jc w:val="center"/>
                    <w:rPr>
                      <w:rFonts w:hint="default" w:ascii="Times New Roman" w:hAnsi="Times New Roman" w:eastAsia="宋体" w:cs="Times New Roman"/>
                      <w:b/>
                      <w:bCs/>
                      <w:color w:val="0070C0"/>
                      <w:szCs w:val="21"/>
                      <w:highlight w:val="none"/>
                    </w:rPr>
                  </w:pPr>
                  <w:r>
                    <w:rPr>
                      <w:rFonts w:hint="default" w:ascii="Times New Roman" w:hAnsi="Times New Roman" w:eastAsia="宋体" w:cs="Times New Roman"/>
                      <w:b/>
                      <w:bCs/>
                      <w:color w:val="0070C0"/>
                      <w:szCs w:val="21"/>
                      <w:highlight w:val="none"/>
                    </w:rPr>
                    <w:t>情况</w:t>
                  </w:r>
                </w:p>
              </w:tc>
            </w:tr>
            <w:tr w14:paraId="1555C1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99" w:type="pct"/>
                  <w:tcBorders>
                    <w:top w:val="single" w:color="auto" w:sz="12" w:space="0"/>
                  </w:tcBorders>
                  <w:noWrap/>
                  <w:tcMar>
                    <w:top w:w="0" w:type="dxa"/>
                    <w:left w:w="0" w:type="dxa"/>
                    <w:bottom w:w="0" w:type="dxa"/>
                    <w:right w:w="0" w:type="dxa"/>
                  </w:tcMar>
                  <w:vAlign w:val="center"/>
                </w:tcPr>
                <w:p w14:paraId="40DBCBC2">
                  <w:pPr>
                    <w:adjustRightInd w:val="0"/>
                    <w:snapToGrid w:val="0"/>
                    <w:jc w:val="center"/>
                    <w:rPr>
                      <w:rFonts w:hint="default" w:ascii="Times New Roman" w:hAnsi="Times New Roman" w:eastAsia="宋体" w:cs="Times New Roman"/>
                      <w:color w:val="0070C0"/>
                      <w:szCs w:val="21"/>
                      <w:highlight w:val="none"/>
                    </w:rPr>
                  </w:pPr>
                  <w:r>
                    <w:rPr>
                      <w:rFonts w:hint="default" w:ascii="Times New Roman" w:hAnsi="Times New Roman" w:eastAsia="宋体" w:cs="Times New Roman"/>
                      <w:color w:val="0070C0"/>
                      <w:szCs w:val="21"/>
                      <w:highlight w:val="none"/>
                    </w:rPr>
                    <w:t>非甲烷总烃</w:t>
                  </w:r>
                </w:p>
              </w:tc>
              <w:tc>
                <w:tcPr>
                  <w:tcW w:w="1078" w:type="pct"/>
                  <w:tcBorders>
                    <w:top w:val="single" w:color="auto" w:sz="12" w:space="0"/>
                  </w:tcBorders>
                  <w:noWrap/>
                  <w:tcMar>
                    <w:top w:w="0" w:type="dxa"/>
                    <w:left w:w="0" w:type="dxa"/>
                    <w:bottom w:w="0" w:type="dxa"/>
                    <w:right w:w="0" w:type="dxa"/>
                  </w:tcMar>
                  <w:vAlign w:val="center"/>
                </w:tcPr>
                <w:p w14:paraId="7F20A82E">
                  <w:pPr>
                    <w:adjustRightInd w:val="0"/>
                    <w:snapToGrid w:val="0"/>
                    <w:jc w:val="center"/>
                    <w:rPr>
                      <w:rFonts w:hint="default" w:ascii="Times New Roman" w:hAnsi="Times New Roman" w:eastAsia="宋体" w:cs="Times New Roman"/>
                      <w:color w:val="0070C0"/>
                      <w:szCs w:val="21"/>
                      <w:highlight w:val="none"/>
                      <w:lang w:val="en-US" w:eastAsia="zh-CN"/>
                    </w:rPr>
                  </w:pPr>
                  <w:r>
                    <w:rPr>
                      <w:rFonts w:hint="default" w:ascii="Times New Roman" w:hAnsi="Times New Roman" w:cs="Times New Roman"/>
                      <w:color w:val="0070C0"/>
                    </w:rPr>
                    <w:t>2024年11月13日~2024年11月20日</w:t>
                  </w:r>
                </w:p>
              </w:tc>
              <w:tc>
                <w:tcPr>
                  <w:tcW w:w="632" w:type="pct"/>
                  <w:tcBorders>
                    <w:top w:val="single" w:color="auto" w:sz="12" w:space="0"/>
                  </w:tcBorders>
                  <w:noWrap/>
                  <w:tcMar>
                    <w:top w:w="0" w:type="dxa"/>
                    <w:left w:w="0" w:type="dxa"/>
                    <w:bottom w:w="0" w:type="dxa"/>
                    <w:right w:w="0" w:type="dxa"/>
                  </w:tcMar>
                  <w:vAlign w:val="center"/>
                </w:tcPr>
                <w:p w14:paraId="190F9EC8">
                  <w:pPr>
                    <w:adjustRightInd w:val="0"/>
                    <w:snapToGrid w:val="0"/>
                    <w:jc w:val="center"/>
                    <w:rPr>
                      <w:rFonts w:hint="default" w:ascii="Times New Roman" w:hAnsi="Times New Roman" w:eastAsia="宋体" w:cs="Times New Roman"/>
                      <w:color w:val="0070C0"/>
                      <w:szCs w:val="21"/>
                      <w:highlight w:val="none"/>
                      <w:lang w:val="en-US" w:eastAsia="zh-CN"/>
                    </w:rPr>
                  </w:pPr>
                  <w:r>
                    <w:rPr>
                      <w:rFonts w:hint="default" w:ascii="Times New Roman" w:hAnsi="Times New Roman" w:cs="Times New Roman"/>
                      <w:bCs/>
                      <w:color w:val="0070C0"/>
                      <w:szCs w:val="21"/>
                      <w:highlight w:val="none"/>
                      <w:lang w:val="en-US" w:eastAsia="zh-CN"/>
                    </w:rPr>
                    <w:t>小时值</w:t>
                  </w:r>
                </w:p>
              </w:tc>
              <w:tc>
                <w:tcPr>
                  <w:tcW w:w="730" w:type="pct"/>
                  <w:tcBorders>
                    <w:top w:val="single" w:color="auto" w:sz="12" w:space="0"/>
                  </w:tcBorders>
                  <w:shd w:val="clear" w:color="auto" w:fill="auto"/>
                  <w:noWrap w:val="0"/>
                  <w:tcMar>
                    <w:top w:w="0" w:type="dxa"/>
                    <w:left w:w="0" w:type="dxa"/>
                    <w:bottom w:w="0" w:type="dxa"/>
                    <w:right w:w="0" w:type="dxa"/>
                  </w:tcMar>
                  <w:vAlign w:val="center"/>
                </w:tcPr>
                <w:p w14:paraId="7F0670F3">
                  <w:pPr>
                    <w:adjustRightInd w:val="0"/>
                    <w:snapToGrid w:val="0"/>
                    <w:spacing w:line="240" w:lineRule="auto"/>
                    <w:ind w:firstLine="0" w:firstLineChars="0"/>
                    <w:jc w:val="center"/>
                    <w:rPr>
                      <w:rFonts w:hint="default" w:ascii="Times New Roman" w:hAnsi="Times New Roman" w:eastAsia="宋体" w:cs="Times New Roman"/>
                      <w:color w:val="0070C0"/>
                      <w:kern w:val="2"/>
                      <w:sz w:val="21"/>
                      <w:szCs w:val="21"/>
                      <w:lang w:val="en-US" w:eastAsia="zh-CN" w:bidi="ar-SA"/>
                    </w:rPr>
                  </w:pPr>
                  <w:r>
                    <w:rPr>
                      <w:rFonts w:hint="default" w:ascii="Times New Roman" w:hAnsi="Times New Roman" w:cs="Times New Roman"/>
                      <w:color w:val="0070C0"/>
                      <w:sz w:val="21"/>
                      <w:szCs w:val="21"/>
                    </w:rPr>
                    <w:t>0.5-0.89</w:t>
                  </w:r>
                </w:p>
              </w:tc>
              <w:tc>
                <w:tcPr>
                  <w:tcW w:w="623" w:type="pct"/>
                  <w:tcBorders>
                    <w:top w:val="single" w:color="auto" w:sz="12" w:space="0"/>
                  </w:tcBorders>
                  <w:shd w:val="clear" w:color="auto" w:fill="auto"/>
                  <w:noWrap/>
                  <w:tcMar>
                    <w:top w:w="0" w:type="dxa"/>
                    <w:left w:w="0" w:type="dxa"/>
                    <w:bottom w:w="0" w:type="dxa"/>
                    <w:right w:w="0" w:type="dxa"/>
                  </w:tcMar>
                  <w:vAlign w:val="center"/>
                </w:tcPr>
                <w:p w14:paraId="2407C8BA">
                  <w:pPr>
                    <w:adjustRightInd w:val="0"/>
                    <w:snapToGrid w:val="0"/>
                    <w:spacing w:line="240" w:lineRule="auto"/>
                    <w:ind w:firstLine="0" w:firstLineChars="0"/>
                    <w:jc w:val="center"/>
                    <w:rPr>
                      <w:rFonts w:hint="default" w:ascii="Times New Roman" w:hAnsi="Times New Roman" w:eastAsia="宋体" w:cs="Times New Roman"/>
                      <w:color w:val="0070C0"/>
                      <w:kern w:val="2"/>
                      <w:sz w:val="21"/>
                      <w:szCs w:val="21"/>
                      <w:lang w:val="en-US" w:eastAsia="zh-CN" w:bidi="ar-SA"/>
                    </w:rPr>
                  </w:pPr>
                  <w:r>
                    <w:rPr>
                      <w:rFonts w:hint="default" w:ascii="Times New Roman" w:hAnsi="Times New Roman" w:cs="Times New Roman"/>
                      <w:color w:val="0070C0"/>
                      <w:sz w:val="21"/>
                      <w:szCs w:val="21"/>
                    </w:rPr>
                    <w:t>2</w:t>
                  </w:r>
                </w:p>
              </w:tc>
              <w:tc>
                <w:tcPr>
                  <w:tcW w:w="587" w:type="pct"/>
                  <w:tcBorders>
                    <w:top w:val="single" w:color="auto" w:sz="12" w:space="0"/>
                  </w:tcBorders>
                  <w:shd w:val="clear" w:color="auto" w:fill="auto"/>
                  <w:noWrap/>
                  <w:tcMar>
                    <w:top w:w="0" w:type="dxa"/>
                    <w:left w:w="0" w:type="dxa"/>
                    <w:bottom w:w="0" w:type="dxa"/>
                    <w:right w:w="0" w:type="dxa"/>
                  </w:tcMar>
                  <w:vAlign w:val="center"/>
                </w:tcPr>
                <w:p w14:paraId="293AD4F2">
                  <w:pPr>
                    <w:adjustRightInd w:val="0"/>
                    <w:snapToGrid w:val="0"/>
                    <w:spacing w:line="240" w:lineRule="auto"/>
                    <w:ind w:firstLine="0" w:firstLineChars="0"/>
                    <w:jc w:val="center"/>
                    <w:rPr>
                      <w:rFonts w:hint="default" w:ascii="Times New Roman" w:hAnsi="Times New Roman" w:eastAsia="宋体" w:cs="Times New Roman"/>
                      <w:color w:val="0070C0"/>
                      <w:kern w:val="2"/>
                      <w:sz w:val="21"/>
                      <w:szCs w:val="21"/>
                      <w:lang w:val="en-US" w:eastAsia="zh-CN" w:bidi="ar-SA"/>
                    </w:rPr>
                  </w:pPr>
                  <w:r>
                    <w:rPr>
                      <w:rFonts w:hint="default" w:ascii="Times New Roman" w:hAnsi="Times New Roman" w:cs="Times New Roman"/>
                      <w:color w:val="0070C0"/>
                      <w:sz w:val="21"/>
                      <w:szCs w:val="21"/>
                    </w:rPr>
                    <w:t>44.50</w:t>
                  </w:r>
                </w:p>
              </w:tc>
              <w:tc>
                <w:tcPr>
                  <w:tcW w:w="418" w:type="pct"/>
                  <w:tcBorders>
                    <w:top w:val="single" w:color="auto" w:sz="12" w:space="0"/>
                  </w:tcBorders>
                  <w:shd w:val="clear" w:color="auto" w:fill="auto"/>
                  <w:noWrap/>
                  <w:tcMar>
                    <w:top w:w="0" w:type="dxa"/>
                    <w:left w:w="0" w:type="dxa"/>
                    <w:bottom w:w="0" w:type="dxa"/>
                    <w:right w:w="0" w:type="dxa"/>
                  </w:tcMar>
                  <w:vAlign w:val="center"/>
                </w:tcPr>
                <w:p w14:paraId="12F4F325">
                  <w:pPr>
                    <w:adjustRightInd w:val="0"/>
                    <w:snapToGrid w:val="0"/>
                    <w:spacing w:line="240" w:lineRule="auto"/>
                    <w:ind w:firstLine="0" w:firstLineChars="0"/>
                    <w:jc w:val="center"/>
                    <w:rPr>
                      <w:rFonts w:hint="default" w:ascii="Times New Roman" w:hAnsi="Times New Roman" w:eastAsia="宋体" w:cs="Times New Roman"/>
                      <w:color w:val="0070C0"/>
                      <w:kern w:val="2"/>
                      <w:sz w:val="21"/>
                      <w:szCs w:val="21"/>
                      <w:lang w:val="en-US" w:eastAsia="zh-CN" w:bidi="ar-SA"/>
                    </w:rPr>
                  </w:pPr>
                  <w:r>
                    <w:rPr>
                      <w:rFonts w:hint="default" w:ascii="Times New Roman" w:hAnsi="Times New Roman" w:cs="Times New Roman"/>
                      <w:color w:val="0070C0"/>
                      <w:sz w:val="21"/>
                      <w:szCs w:val="21"/>
                    </w:rPr>
                    <w:t>0</w:t>
                  </w:r>
                </w:p>
              </w:tc>
              <w:tc>
                <w:tcPr>
                  <w:tcW w:w="330" w:type="pct"/>
                  <w:tcBorders>
                    <w:top w:val="single" w:color="auto" w:sz="12" w:space="0"/>
                  </w:tcBorders>
                  <w:noWrap w:val="0"/>
                  <w:tcMar>
                    <w:top w:w="0" w:type="dxa"/>
                    <w:left w:w="0" w:type="dxa"/>
                    <w:bottom w:w="0" w:type="dxa"/>
                    <w:right w:w="0" w:type="dxa"/>
                  </w:tcMar>
                  <w:vAlign w:val="center"/>
                </w:tcPr>
                <w:p w14:paraId="41B135A2">
                  <w:pPr>
                    <w:adjustRightInd w:val="0"/>
                    <w:snapToGrid w:val="0"/>
                    <w:jc w:val="center"/>
                    <w:rPr>
                      <w:rFonts w:hint="default" w:ascii="Times New Roman" w:hAnsi="Times New Roman" w:eastAsia="宋体" w:cs="Times New Roman"/>
                      <w:color w:val="0070C0"/>
                      <w:szCs w:val="21"/>
                      <w:highlight w:val="none"/>
                    </w:rPr>
                  </w:pPr>
                  <w:r>
                    <w:rPr>
                      <w:rFonts w:hint="default" w:ascii="Times New Roman" w:hAnsi="Times New Roman" w:eastAsia="宋体" w:cs="Times New Roman"/>
                      <w:color w:val="0070C0"/>
                      <w:szCs w:val="21"/>
                      <w:highlight w:val="none"/>
                    </w:rPr>
                    <w:t>达标</w:t>
                  </w:r>
                </w:p>
              </w:tc>
            </w:tr>
          </w:tbl>
          <w:p w14:paraId="63F80D6F">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default" w:ascii="Times New Roman" w:hAnsi="Times New Roman" w:cs="Times New Roman"/>
                <w:color w:val="0070C0"/>
                <w:sz w:val="24"/>
                <w:szCs w:val="24"/>
              </w:rPr>
            </w:pPr>
            <w:r>
              <w:rPr>
                <w:rFonts w:hint="default" w:ascii="Times New Roman" w:hAnsi="Times New Roman" w:cs="Times New Roman"/>
                <w:color w:val="0070C0"/>
                <w:kern w:val="0"/>
                <w:sz w:val="24"/>
                <w:szCs w:val="24"/>
                <w:lang w:bidi="ar"/>
              </w:rPr>
              <w:t>根据监测结果统计，评价区非甲烷总烃能满足《大气污染物综合排放标准详解》中参考标准限值。</w:t>
            </w:r>
          </w:p>
          <w:p w14:paraId="4B7D710E">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eastAsiaTheme="minorEastAsia"/>
                <w:b/>
                <w:color w:val="auto"/>
                <w:kern w:val="0"/>
                <w:sz w:val="24"/>
                <w:szCs w:val="24"/>
                <w:highlight w:val="none"/>
              </w:rPr>
            </w:pPr>
            <w:r>
              <w:rPr>
                <w:rFonts w:eastAsiaTheme="minorEastAsia"/>
                <w:b/>
                <w:color w:val="auto"/>
                <w:kern w:val="0"/>
                <w:sz w:val="24"/>
                <w:szCs w:val="24"/>
                <w:highlight w:val="none"/>
              </w:rPr>
              <w:t>2.地表水环境质量现状</w:t>
            </w:r>
          </w:p>
          <w:p w14:paraId="20758B3E">
            <w:pPr>
              <w:keepNext w:val="0"/>
              <w:keepLines w:val="0"/>
              <w:pageBreakBefore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color w:val="auto"/>
                <w:sz w:val="24"/>
                <w:szCs w:val="24"/>
              </w:rPr>
            </w:pPr>
            <w:r>
              <w:rPr>
                <w:rFonts w:hint="eastAsia" w:ascii="宋体" w:hAnsi="宋体" w:cs="宋体"/>
                <w:color w:val="auto"/>
                <w:kern w:val="0"/>
                <w:sz w:val="24"/>
                <w:szCs w:val="24"/>
                <w:highlight w:val="none"/>
                <w:lang w:bidi="ar"/>
              </w:rPr>
              <w:t>本项目</w:t>
            </w:r>
            <w:r>
              <w:rPr>
                <w:rFonts w:hint="eastAsia" w:ascii="宋体" w:hAnsi="宋体" w:cs="宋体"/>
                <w:color w:val="auto"/>
                <w:kern w:val="0"/>
                <w:sz w:val="24"/>
                <w:szCs w:val="24"/>
                <w:highlight w:val="none"/>
                <w:lang w:eastAsia="zh-CN" w:bidi="ar"/>
              </w:rPr>
              <w:t>废水主要</w:t>
            </w:r>
            <w:r>
              <w:rPr>
                <w:rFonts w:hint="eastAsia" w:ascii="宋体" w:hAnsi="宋体" w:cs="宋体"/>
                <w:color w:val="auto"/>
                <w:kern w:val="0"/>
                <w:sz w:val="24"/>
                <w:szCs w:val="24"/>
                <w:highlight w:val="none"/>
                <w:lang w:bidi="ar"/>
              </w:rPr>
              <w:t>为生活污水</w:t>
            </w:r>
            <w:r>
              <w:rPr>
                <w:rFonts w:hint="eastAsia" w:ascii="宋体" w:hAnsi="宋体" w:cs="宋体"/>
                <w:color w:val="auto"/>
                <w:kern w:val="0"/>
                <w:sz w:val="24"/>
                <w:szCs w:val="24"/>
                <w:highlight w:val="none"/>
                <w:lang w:eastAsia="zh-CN" w:bidi="ar"/>
              </w:rPr>
              <w:t>和生产废水（</w:t>
            </w:r>
            <w:r>
              <w:rPr>
                <w:rFonts w:hint="eastAsia" w:ascii="宋体" w:hAnsi="宋体" w:cs="宋体"/>
                <w:color w:val="auto"/>
                <w:kern w:val="0"/>
                <w:sz w:val="24"/>
                <w:szCs w:val="24"/>
                <w:highlight w:val="none"/>
                <w:lang w:val="en-US" w:eastAsia="zh-CN" w:bidi="ar"/>
              </w:rPr>
              <w:t>清洗</w:t>
            </w:r>
            <w:r>
              <w:rPr>
                <w:rFonts w:hint="eastAsia" w:ascii="宋体" w:hAnsi="宋体" w:cs="宋体"/>
                <w:color w:val="auto"/>
                <w:kern w:val="0"/>
                <w:sz w:val="24"/>
                <w:szCs w:val="24"/>
                <w:highlight w:val="none"/>
                <w:lang w:eastAsia="zh-CN" w:bidi="ar"/>
              </w:rPr>
              <w:t>废水）</w:t>
            </w:r>
            <w:r>
              <w:rPr>
                <w:rFonts w:hint="eastAsia" w:ascii="宋体" w:hAnsi="宋体" w:cs="宋体"/>
                <w:color w:val="auto"/>
                <w:kern w:val="0"/>
                <w:sz w:val="24"/>
                <w:szCs w:val="24"/>
                <w:highlight w:val="none"/>
                <w:lang w:bidi="ar"/>
              </w:rPr>
              <w:t>，经园区内化粪池预处理后，满足接管要求接管至句容市</w:t>
            </w:r>
            <w:r>
              <w:rPr>
                <w:rFonts w:hint="eastAsia" w:ascii="宋体" w:hAnsi="宋体" w:cs="宋体"/>
                <w:color w:val="auto"/>
                <w:kern w:val="0"/>
                <w:sz w:val="24"/>
                <w:szCs w:val="24"/>
                <w:highlight w:val="none"/>
                <w:lang w:eastAsia="zh-CN" w:bidi="ar"/>
              </w:rPr>
              <w:t>郭庄污水处理</w:t>
            </w:r>
            <w:r>
              <w:rPr>
                <w:rFonts w:hint="eastAsia" w:ascii="宋体" w:hAnsi="宋体" w:cs="宋体"/>
                <w:color w:val="auto"/>
                <w:kern w:val="0"/>
                <w:sz w:val="24"/>
                <w:szCs w:val="24"/>
                <w:highlight w:val="none"/>
                <w:lang w:bidi="ar"/>
              </w:rPr>
              <w:t>有限公司集中处理，废水最终排放至</w:t>
            </w:r>
            <w:r>
              <w:rPr>
                <w:rFonts w:hint="eastAsia" w:ascii="宋体" w:hAnsi="宋体" w:cs="宋体"/>
                <w:color w:val="auto"/>
                <w:kern w:val="0"/>
                <w:sz w:val="24"/>
                <w:szCs w:val="24"/>
                <w:highlight w:val="none"/>
                <w:lang w:eastAsia="zh-CN" w:bidi="ar"/>
              </w:rPr>
              <w:t>高阳河</w:t>
            </w:r>
            <w:r>
              <w:rPr>
                <w:rFonts w:hint="eastAsia" w:ascii="宋体" w:hAnsi="宋体" w:cs="宋体"/>
                <w:color w:val="auto"/>
                <w:kern w:val="0"/>
                <w:sz w:val="24"/>
                <w:szCs w:val="24"/>
                <w:highlight w:val="none"/>
                <w:lang w:bidi="ar"/>
              </w:rPr>
              <w:t>，属于间接排放。根据《环境影响评价技术导则地表水环境》（</w:t>
            </w:r>
            <w:r>
              <w:rPr>
                <w:color w:val="auto"/>
                <w:kern w:val="0"/>
                <w:sz w:val="24"/>
                <w:szCs w:val="24"/>
                <w:highlight w:val="none"/>
                <w:lang w:bidi="ar"/>
              </w:rPr>
              <w:t>HJ2.3-2018</w:t>
            </w:r>
            <w:r>
              <w:rPr>
                <w:rFonts w:hint="eastAsia" w:ascii="宋体" w:hAnsi="宋体" w:cs="宋体"/>
                <w:color w:val="auto"/>
                <w:kern w:val="0"/>
                <w:sz w:val="24"/>
                <w:szCs w:val="24"/>
                <w:highlight w:val="none"/>
                <w:lang w:bidi="ar"/>
              </w:rPr>
              <w:t>），本项目地表水评价等级为三级</w:t>
            </w:r>
            <w:r>
              <w:rPr>
                <w:color w:val="auto"/>
                <w:kern w:val="0"/>
                <w:sz w:val="24"/>
                <w:szCs w:val="24"/>
                <w:highlight w:val="none"/>
                <w:lang w:bidi="ar"/>
              </w:rPr>
              <w:t>B</w:t>
            </w:r>
            <w:r>
              <w:rPr>
                <w:rFonts w:hint="eastAsia" w:ascii="宋体" w:hAnsi="宋体" w:cs="宋体"/>
                <w:color w:val="auto"/>
                <w:kern w:val="0"/>
                <w:sz w:val="24"/>
                <w:szCs w:val="24"/>
                <w:highlight w:val="none"/>
                <w:lang w:bidi="ar"/>
              </w:rPr>
              <w:t>，可不开展区域污染源调查。</w:t>
            </w:r>
            <w:r>
              <w:rPr>
                <w:rFonts w:hint="default" w:ascii="Times New Roman" w:hAnsi="Times New Roman" w:cs="Times New Roman"/>
                <w:color w:val="0070C0"/>
                <w:kern w:val="0"/>
                <w:sz w:val="24"/>
                <w:szCs w:val="24"/>
                <w:lang w:eastAsia="zh-CN"/>
              </w:rPr>
              <w:t>根据《江苏省地表水环境功能区划（2021—2030 年）》，</w:t>
            </w:r>
            <w:r>
              <w:rPr>
                <w:rFonts w:hint="default" w:ascii="Times New Roman" w:hAnsi="Times New Roman" w:cs="Times New Roman"/>
                <w:color w:val="0070C0"/>
                <w:kern w:val="0"/>
                <w:sz w:val="24"/>
                <w:szCs w:val="24"/>
                <w:lang w:eastAsia="zh-CN" w:bidi="ar"/>
              </w:rPr>
              <w:t>高阳河</w:t>
            </w:r>
            <w:r>
              <w:rPr>
                <w:rFonts w:hint="default" w:ascii="Times New Roman" w:hAnsi="Times New Roman" w:cs="Times New Roman"/>
                <w:color w:val="0070C0"/>
                <w:kern w:val="0"/>
                <w:sz w:val="24"/>
                <w:szCs w:val="24"/>
                <w:lang w:eastAsia="zh-CN"/>
              </w:rPr>
              <w:t>水体类别为Ⅲ类水体。</w:t>
            </w:r>
          </w:p>
          <w:p w14:paraId="52E223BA">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right="0" w:firstLine="480" w:firstLineChars="200"/>
              <w:textAlignment w:val="auto"/>
              <w:outlineLvl w:val="9"/>
              <w:rPr>
                <w:rFonts w:hint="default" w:ascii="Times New Roman" w:hAnsi="Times New Roman" w:eastAsia="宋体" w:cs="Times New Roman"/>
                <w:color w:val="0070C0"/>
                <w:sz w:val="24"/>
                <w:szCs w:val="24"/>
                <w:lang w:val="en-US" w:eastAsia="zh-CN"/>
              </w:rPr>
            </w:pPr>
            <w:r>
              <w:rPr>
                <w:rFonts w:hint="default" w:ascii="Times New Roman" w:hAnsi="Times New Roman" w:eastAsia="宋体" w:cs="Times New Roman"/>
                <w:color w:val="0070C0"/>
                <w:sz w:val="24"/>
                <w:szCs w:val="24"/>
                <w:lang w:val="en-US" w:eastAsia="zh-CN"/>
              </w:rPr>
              <w:t>根据《2024年度镇江市生态环境状况公报》，2024年，全市地表水</w:t>
            </w:r>
            <w:r>
              <w:rPr>
                <w:rFonts w:hint="default" w:ascii="Times New Roman" w:hAnsi="Times New Roman" w:cs="Times New Roman"/>
              </w:rPr>
              <w:commentReference w:id="12"/>
            </w:r>
            <w:r>
              <w:rPr>
                <w:rFonts w:hint="default" w:ascii="Times New Roman" w:hAnsi="Times New Roman" w:eastAsia="宋体" w:cs="Times New Roman"/>
                <w:color w:val="0070C0"/>
                <w:sz w:val="24"/>
                <w:szCs w:val="24"/>
                <w:lang w:val="en-US" w:eastAsia="zh-CN"/>
              </w:rPr>
              <w:t>环境质量总体为优。列入《江苏省水污染防治工作计划》地表水环境质量考核的10个国考断面中，水质符合《地表水环境质量标准》（GB 3838-2002）优Ⅲ类断面比例为100%，优Ⅱ类断面比例为60%。省考45个断面中，优Ⅲ类断面比例为100%，优Ⅱ类断面比例为71.1%。</w:t>
            </w:r>
          </w:p>
          <w:p w14:paraId="106DC1D2">
            <w:pPr>
              <w:widowControl/>
              <w:adjustRightInd w:val="0"/>
              <w:snapToGrid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eastAsia="宋体" w:cs="Times New Roman"/>
                <w:color w:val="0070C0"/>
                <w:sz w:val="24"/>
                <w:szCs w:val="24"/>
                <w:lang w:val="en-US" w:eastAsia="zh-CN"/>
              </w:rPr>
              <w:t>与上年相比，国考断面优Ⅲ类断面占比持平，优Ⅱ类断面占比上升20个百分点。省考断面优Ⅲ类断面占比持平，优Ⅱ类断面占比上升24.4个百分点</w:t>
            </w:r>
          </w:p>
          <w:p w14:paraId="75CE78F9">
            <w:pPr>
              <w:adjustRightInd w:val="0"/>
              <w:snapToGrid w:val="0"/>
              <w:spacing w:line="360" w:lineRule="auto"/>
              <w:ind w:firstLine="480" w:firstLineChars="200"/>
              <w:rPr>
                <w:rFonts w:hint="default" w:ascii="Times New Roman" w:hAnsi="Times New Roman" w:eastAsia="宋体" w:cs="Times New Roman"/>
                <w:color w:val="0070C0"/>
                <w:sz w:val="24"/>
                <w:szCs w:val="24"/>
                <w:highlight w:val="none"/>
              </w:rPr>
            </w:pPr>
            <w:r>
              <w:rPr>
                <w:rFonts w:hint="default" w:ascii="Times New Roman" w:hAnsi="Times New Roman" w:cs="Times New Roman"/>
                <w:b w:val="0"/>
                <w:bCs/>
                <w:color w:val="0070C0"/>
                <w:kern w:val="0"/>
                <w:sz w:val="24"/>
                <w:szCs w:val="20"/>
                <w:lang w:val="en-US" w:eastAsia="zh-CN"/>
              </w:rPr>
              <w:t>地表水监测数据引用</w:t>
            </w:r>
            <w:r>
              <w:rPr>
                <w:rFonts w:hint="default" w:ascii="Times New Roman" w:hAnsi="Times New Roman" w:cs="Times New Roman"/>
                <w:color w:val="0070C0"/>
                <w:kern w:val="0"/>
                <w:sz w:val="24"/>
                <w:szCs w:val="24"/>
                <w:lang w:bidi="ar"/>
              </w:rPr>
              <w:t>《江苏省句容高新技术产业开发区（筹）开发建设规划（2024-2035）环境影响报告书》</w:t>
            </w:r>
            <w:r>
              <w:rPr>
                <w:rFonts w:hint="default" w:ascii="Times New Roman" w:hAnsi="Times New Roman" w:cs="Times New Roman"/>
                <w:color w:val="0070C0"/>
                <w:kern w:val="0"/>
                <w:sz w:val="24"/>
                <w:szCs w:val="24"/>
                <w:lang w:val="en-US" w:eastAsia="zh-CN" w:bidi="ar"/>
              </w:rPr>
              <w:t>中高阳河</w:t>
            </w:r>
            <w:r>
              <w:rPr>
                <w:rFonts w:hint="default" w:ascii="Times New Roman" w:hAnsi="Times New Roman" w:cs="Times New Roman"/>
                <w:color w:val="0070C0"/>
                <w:sz w:val="24"/>
                <w:szCs w:val="24"/>
              </w:rPr>
              <w:t>W1、W2、W3断面</w:t>
            </w:r>
            <w:r>
              <w:rPr>
                <w:rFonts w:hint="default" w:ascii="Times New Roman" w:hAnsi="Times New Roman" w:cs="Times New Roman"/>
                <w:color w:val="0070C0"/>
                <w:kern w:val="0"/>
                <w:sz w:val="24"/>
                <w:szCs w:val="24"/>
                <w:lang w:val="en-US" w:eastAsia="zh-CN" w:bidi="ar"/>
              </w:rPr>
              <w:t>监测数据，</w:t>
            </w:r>
            <w:r>
              <w:rPr>
                <w:rFonts w:hint="default" w:ascii="Times New Roman" w:hAnsi="Times New Roman" w:eastAsia="宋体" w:cs="Times New Roman"/>
                <w:color w:val="0070C0"/>
                <w:sz w:val="24"/>
                <w:szCs w:val="20"/>
                <w:highlight w:val="none"/>
              </w:rPr>
              <w:t>监测时间为2024年11月15日-2024年11月17日</w:t>
            </w:r>
            <w:r>
              <w:rPr>
                <w:rFonts w:hint="default" w:ascii="Times New Roman" w:hAnsi="Times New Roman" w:cs="Times New Roman"/>
                <w:color w:val="0070C0"/>
                <w:kern w:val="0"/>
                <w:sz w:val="24"/>
                <w:szCs w:val="24"/>
                <w:lang w:eastAsia="zh-CN"/>
              </w:rPr>
              <w:t>。</w:t>
            </w:r>
            <w:r>
              <w:rPr>
                <w:rFonts w:hint="default" w:ascii="Times New Roman" w:hAnsi="Times New Roman" w:eastAsia="宋体" w:cs="Times New Roman"/>
                <w:color w:val="0070C0"/>
                <w:sz w:val="24"/>
                <w:szCs w:val="20"/>
                <w:highlight w:val="none"/>
              </w:rPr>
              <w:t>监测数据在3年有效期内</w:t>
            </w:r>
            <w:r>
              <w:rPr>
                <w:rFonts w:hint="default" w:ascii="Times New Roman" w:hAnsi="Times New Roman" w:eastAsia="宋体" w:cs="Times New Roman"/>
                <w:color w:val="0070C0"/>
                <w:sz w:val="24"/>
                <w:szCs w:val="20"/>
                <w:highlight w:val="none"/>
                <w:lang w:eastAsia="zh-CN"/>
              </w:rPr>
              <w:t>，</w:t>
            </w:r>
            <w:r>
              <w:rPr>
                <w:rFonts w:hint="default" w:ascii="Times New Roman" w:hAnsi="Times New Roman" w:eastAsia="宋体" w:cs="Times New Roman"/>
                <w:bCs/>
                <w:color w:val="0070C0"/>
                <w:sz w:val="24"/>
                <w:szCs w:val="24"/>
                <w:lang w:eastAsia="zh-CN"/>
              </w:rPr>
              <w:t>满足《建设项目环境影响报告表编制技术指南（污染影响类）》中引用要求，引用可行。</w:t>
            </w:r>
          </w:p>
          <w:p w14:paraId="7E9A4F0B">
            <w:pPr>
              <w:ind w:firstLine="0" w:firstLineChars="0"/>
              <w:jc w:val="center"/>
              <w:rPr>
                <w:rFonts w:hint="default" w:ascii="Times New Roman" w:hAnsi="Times New Roman" w:cs="Times New Roman"/>
                <w:b/>
                <w:color w:val="0070C0"/>
                <w:sz w:val="24"/>
                <w:szCs w:val="20"/>
              </w:rPr>
            </w:pPr>
            <w:r>
              <w:rPr>
                <w:rFonts w:hint="default" w:ascii="Times New Roman" w:hAnsi="Times New Roman" w:cs="Times New Roman"/>
                <w:b/>
                <w:color w:val="0070C0"/>
                <w:sz w:val="24"/>
                <w:szCs w:val="20"/>
              </w:rPr>
              <w:t>表</w:t>
            </w:r>
            <w:r>
              <w:rPr>
                <w:rFonts w:hint="default" w:ascii="Times New Roman" w:hAnsi="Times New Roman" w:cs="Times New Roman"/>
                <w:b/>
                <w:color w:val="0070C0"/>
                <w:sz w:val="24"/>
                <w:szCs w:val="20"/>
                <w:lang w:val="en-US" w:eastAsia="zh-CN"/>
              </w:rPr>
              <w:t>3-2</w:t>
            </w:r>
            <w:r>
              <w:rPr>
                <w:rFonts w:hint="default" w:ascii="Times New Roman" w:hAnsi="Times New Roman" w:cs="Times New Roman"/>
                <w:b/>
                <w:color w:val="0070C0"/>
                <w:sz w:val="24"/>
                <w:szCs w:val="20"/>
              </w:rPr>
              <w:t xml:space="preserve"> 区域地表水水质现状监测数据汇总表（mg/L，pH无量纲）</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1415"/>
              <w:gridCol w:w="748"/>
              <w:gridCol w:w="1248"/>
              <w:gridCol w:w="835"/>
              <w:gridCol w:w="1004"/>
              <w:gridCol w:w="1660"/>
              <w:gridCol w:w="1004"/>
            </w:tblGrid>
            <w:tr w14:paraId="571053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04" w:type="pct"/>
                  <w:tcBorders>
                    <w:tl2br w:val="nil"/>
                    <w:tr2bl w:val="nil"/>
                  </w:tcBorders>
                  <w:shd w:val="clear" w:color="auto" w:fill="auto"/>
                  <w:vAlign w:val="center"/>
                </w:tcPr>
                <w:p w14:paraId="75F65F8C">
                  <w:pPr>
                    <w:adjustRightInd w:val="0"/>
                    <w:snapToGrid w:val="0"/>
                    <w:spacing w:line="240" w:lineRule="auto"/>
                    <w:ind w:firstLine="0" w:firstLineChars="0"/>
                    <w:jc w:val="center"/>
                    <w:rPr>
                      <w:rFonts w:hint="default" w:ascii="Times New Roman" w:hAnsi="Times New Roman" w:cs="Times New Roman"/>
                      <w:b/>
                      <w:bCs/>
                      <w:color w:val="0070C0"/>
                      <w:sz w:val="21"/>
                      <w:szCs w:val="21"/>
                    </w:rPr>
                  </w:pPr>
                  <w:r>
                    <w:rPr>
                      <w:rFonts w:hint="default" w:ascii="Times New Roman" w:hAnsi="Times New Roman" w:cs="Times New Roman"/>
                      <w:b/>
                      <w:bCs/>
                      <w:color w:val="0070C0"/>
                      <w:sz w:val="21"/>
                      <w:szCs w:val="21"/>
                    </w:rPr>
                    <w:t>断面</w:t>
                  </w:r>
                </w:p>
              </w:tc>
              <w:tc>
                <w:tcPr>
                  <w:tcW w:w="839" w:type="pct"/>
                  <w:tcBorders>
                    <w:tl2br w:val="nil"/>
                    <w:tr2bl w:val="nil"/>
                  </w:tcBorders>
                  <w:shd w:val="clear" w:color="auto" w:fill="auto"/>
                  <w:vAlign w:val="center"/>
                </w:tcPr>
                <w:p w14:paraId="52411C89">
                  <w:pPr>
                    <w:adjustRightInd w:val="0"/>
                    <w:snapToGrid w:val="0"/>
                    <w:spacing w:line="240" w:lineRule="auto"/>
                    <w:ind w:firstLine="0" w:firstLineChars="0"/>
                    <w:jc w:val="center"/>
                    <w:rPr>
                      <w:rFonts w:hint="default" w:ascii="Times New Roman" w:hAnsi="Times New Roman" w:cs="Times New Roman"/>
                      <w:b/>
                      <w:bCs/>
                      <w:color w:val="0070C0"/>
                      <w:sz w:val="21"/>
                      <w:szCs w:val="21"/>
                    </w:rPr>
                  </w:pPr>
                  <w:r>
                    <w:rPr>
                      <w:rFonts w:hint="default" w:ascii="Times New Roman" w:hAnsi="Times New Roman" w:cs="Times New Roman"/>
                      <w:b/>
                      <w:bCs/>
                      <w:color w:val="0070C0"/>
                      <w:sz w:val="21"/>
                      <w:szCs w:val="21"/>
                    </w:rPr>
                    <w:t>项目</w:t>
                  </w:r>
                </w:p>
              </w:tc>
              <w:tc>
                <w:tcPr>
                  <w:tcW w:w="443" w:type="pct"/>
                  <w:tcBorders>
                    <w:tl2br w:val="nil"/>
                    <w:tr2bl w:val="nil"/>
                  </w:tcBorders>
                  <w:shd w:val="clear" w:color="auto" w:fill="auto"/>
                  <w:noWrap/>
                  <w:vAlign w:val="center"/>
                </w:tcPr>
                <w:p w14:paraId="75188FB8">
                  <w:pPr>
                    <w:adjustRightInd w:val="0"/>
                    <w:snapToGrid w:val="0"/>
                    <w:spacing w:line="240" w:lineRule="auto"/>
                    <w:ind w:firstLine="0" w:firstLineChars="0"/>
                    <w:jc w:val="center"/>
                    <w:rPr>
                      <w:rFonts w:hint="default" w:ascii="Times New Roman" w:hAnsi="Times New Roman" w:cs="Times New Roman"/>
                      <w:b/>
                      <w:bCs/>
                      <w:color w:val="0070C0"/>
                      <w:sz w:val="21"/>
                      <w:szCs w:val="21"/>
                    </w:rPr>
                  </w:pPr>
                  <w:r>
                    <w:rPr>
                      <w:rFonts w:hint="default" w:ascii="Times New Roman" w:hAnsi="Times New Roman" w:cs="Times New Roman"/>
                      <w:b/>
                      <w:bCs/>
                      <w:color w:val="0070C0"/>
                      <w:sz w:val="21"/>
                      <w:szCs w:val="21"/>
                    </w:rPr>
                    <w:t>pH值</w:t>
                  </w:r>
                </w:p>
              </w:tc>
              <w:tc>
                <w:tcPr>
                  <w:tcW w:w="740" w:type="pct"/>
                  <w:tcBorders>
                    <w:tl2br w:val="nil"/>
                    <w:tr2bl w:val="nil"/>
                  </w:tcBorders>
                  <w:shd w:val="clear" w:color="auto" w:fill="auto"/>
                  <w:noWrap/>
                  <w:vAlign w:val="center"/>
                </w:tcPr>
                <w:p w14:paraId="5AAE7AB4">
                  <w:pPr>
                    <w:adjustRightInd w:val="0"/>
                    <w:snapToGrid w:val="0"/>
                    <w:spacing w:line="240" w:lineRule="auto"/>
                    <w:ind w:firstLine="0" w:firstLineChars="0"/>
                    <w:jc w:val="center"/>
                    <w:rPr>
                      <w:rFonts w:hint="default" w:ascii="Times New Roman" w:hAnsi="Times New Roman" w:cs="Times New Roman"/>
                      <w:b/>
                      <w:bCs/>
                      <w:color w:val="0070C0"/>
                      <w:sz w:val="21"/>
                      <w:szCs w:val="21"/>
                    </w:rPr>
                  </w:pPr>
                  <w:r>
                    <w:rPr>
                      <w:rFonts w:hint="default" w:ascii="Times New Roman" w:hAnsi="Times New Roman" w:cs="Times New Roman"/>
                      <w:b/>
                      <w:bCs/>
                      <w:color w:val="0070C0"/>
                      <w:sz w:val="21"/>
                      <w:szCs w:val="21"/>
                    </w:rPr>
                    <w:t>化学需氧量</w:t>
                  </w:r>
                </w:p>
              </w:tc>
              <w:tc>
                <w:tcPr>
                  <w:tcW w:w="495" w:type="pct"/>
                  <w:tcBorders>
                    <w:tl2br w:val="nil"/>
                    <w:tr2bl w:val="nil"/>
                  </w:tcBorders>
                  <w:shd w:val="clear" w:color="auto" w:fill="auto"/>
                  <w:noWrap/>
                  <w:vAlign w:val="center"/>
                </w:tcPr>
                <w:p w14:paraId="60A12313">
                  <w:pPr>
                    <w:adjustRightInd w:val="0"/>
                    <w:snapToGrid w:val="0"/>
                    <w:spacing w:line="240" w:lineRule="auto"/>
                    <w:ind w:firstLine="0" w:firstLineChars="0"/>
                    <w:jc w:val="center"/>
                    <w:rPr>
                      <w:rFonts w:hint="default" w:ascii="Times New Roman" w:hAnsi="Times New Roman" w:cs="Times New Roman"/>
                      <w:b/>
                      <w:bCs/>
                      <w:color w:val="0070C0"/>
                      <w:sz w:val="21"/>
                      <w:szCs w:val="21"/>
                    </w:rPr>
                  </w:pPr>
                  <w:r>
                    <w:rPr>
                      <w:rFonts w:hint="default" w:ascii="Times New Roman" w:hAnsi="Times New Roman" w:cs="Times New Roman"/>
                      <w:b/>
                      <w:bCs/>
                      <w:color w:val="0070C0"/>
                      <w:sz w:val="21"/>
                      <w:szCs w:val="21"/>
                    </w:rPr>
                    <w:t>悬浮物</w:t>
                  </w:r>
                </w:p>
              </w:tc>
              <w:tc>
                <w:tcPr>
                  <w:tcW w:w="741" w:type="pct"/>
                  <w:tcBorders>
                    <w:tl2br w:val="nil"/>
                    <w:tr2bl w:val="nil"/>
                  </w:tcBorders>
                  <w:shd w:val="clear" w:color="auto" w:fill="auto"/>
                  <w:noWrap/>
                  <w:vAlign w:val="center"/>
                </w:tcPr>
                <w:p w14:paraId="52BE833E">
                  <w:pPr>
                    <w:adjustRightInd w:val="0"/>
                    <w:snapToGrid w:val="0"/>
                    <w:spacing w:line="240" w:lineRule="auto"/>
                    <w:ind w:firstLine="0" w:firstLineChars="0"/>
                    <w:jc w:val="center"/>
                    <w:rPr>
                      <w:rFonts w:hint="default" w:ascii="Times New Roman" w:hAnsi="Times New Roman" w:cs="Times New Roman"/>
                      <w:b/>
                      <w:bCs/>
                      <w:color w:val="0070C0"/>
                      <w:sz w:val="21"/>
                      <w:szCs w:val="21"/>
                    </w:rPr>
                  </w:pPr>
                  <w:r>
                    <w:rPr>
                      <w:rFonts w:hint="default" w:ascii="Times New Roman" w:hAnsi="Times New Roman" w:cs="Times New Roman"/>
                      <w:b/>
                      <w:bCs/>
                      <w:color w:val="0070C0"/>
                      <w:sz w:val="21"/>
                      <w:szCs w:val="21"/>
                    </w:rPr>
                    <w:t>氨氮</w:t>
                  </w:r>
                </w:p>
              </w:tc>
              <w:tc>
                <w:tcPr>
                  <w:tcW w:w="702" w:type="pct"/>
                  <w:tcBorders>
                    <w:tl2br w:val="nil"/>
                    <w:tr2bl w:val="nil"/>
                  </w:tcBorders>
                  <w:shd w:val="clear" w:color="auto" w:fill="auto"/>
                  <w:noWrap/>
                  <w:vAlign w:val="center"/>
                </w:tcPr>
                <w:p w14:paraId="65B7FFE7">
                  <w:pPr>
                    <w:adjustRightInd w:val="0"/>
                    <w:snapToGrid w:val="0"/>
                    <w:spacing w:line="240" w:lineRule="auto"/>
                    <w:ind w:firstLine="0" w:firstLineChars="0"/>
                    <w:jc w:val="center"/>
                    <w:rPr>
                      <w:rFonts w:hint="default" w:ascii="Times New Roman" w:hAnsi="Times New Roman" w:cs="Times New Roman"/>
                      <w:b/>
                      <w:bCs/>
                      <w:color w:val="0070C0"/>
                      <w:sz w:val="21"/>
                      <w:szCs w:val="21"/>
                    </w:rPr>
                  </w:pPr>
                  <w:r>
                    <w:rPr>
                      <w:rFonts w:hint="default" w:ascii="Times New Roman" w:hAnsi="Times New Roman" w:cs="Times New Roman"/>
                      <w:b/>
                      <w:bCs/>
                      <w:color w:val="0070C0"/>
                      <w:sz w:val="21"/>
                      <w:szCs w:val="21"/>
                    </w:rPr>
                    <w:t>五日生化需氧量</w:t>
                  </w:r>
                </w:p>
              </w:tc>
              <w:tc>
                <w:tcPr>
                  <w:tcW w:w="731" w:type="pct"/>
                  <w:tcBorders>
                    <w:tl2br w:val="nil"/>
                    <w:tr2bl w:val="nil"/>
                  </w:tcBorders>
                  <w:shd w:val="clear" w:color="auto" w:fill="auto"/>
                  <w:noWrap/>
                  <w:vAlign w:val="center"/>
                </w:tcPr>
                <w:p w14:paraId="484DC88B">
                  <w:pPr>
                    <w:adjustRightInd w:val="0"/>
                    <w:snapToGrid w:val="0"/>
                    <w:spacing w:line="240" w:lineRule="auto"/>
                    <w:ind w:firstLine="0" w:firstLineChars="0"/>
                    <w:jc w:val="center"/>
                    <w:rPr>
                      <w:rFonts w:hint="default" w:ascii="Times New Roman" w:hAnsi="Times New Roman" w:cs="Times New Roman"/>
                      <w:b/>
                      <w:bCs/>
                      <w:color w:val="0070C0"/>
                      <w:sz w:val="21"/>
                      <w:szCs w:val="21"/>
                    </w:rPr>
                  </w:pPr>
                  <w:r>
                    <w:rPr>
                      <w:rFonts w:hint="default" w:ascii="Times New Roman" w:hAnsi="Times New Roman" w:cs="Times New Roman"/>
                      <w:b/>
                      <w:bCs/>
                      <w:color w:val="0070C0"/>
                      <w:sz w:val="21"/>
                      <w:szCs w:val="21"/>
                    </w:rPr>
                    <w:t>总磷</w:t>
                  </w:r>
                </w:p>
              </w:tc>
            </w:tr>
            <w:tr w14:paraId="24DB9B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4" w:type="pct"/>
                  <w:vMerge w:val="restart"/>
                  <w:tcBorders>
                    <w:tl2br w:val="nil"/>
                    <w:tr2bl w:val="nil"/>
                  </w:tcBorders>
                  <w:shd w:val="clear" w:color="auto" w:fill="auto"/>
                  <w:noWrap/>
                  <w:vAlign w:val="center"/>
                </w:tcPr>
                <w:p w14:paraId="4D26F81F">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W1</w:t>
                  </w:r>
                </w:p>
              </w:tc>
              <w:tc>
                <w:tcPr>
                  <w:tcW w:w="839" w:type="pct"/>
                  <w:tcBorders>
                    <w:tl2br w:val="nil"/>
                    <w:tr2bl w:val="nil"/>
                  </w:tcBorders>
                  <w:shd w:val="clear" w:color="auto" w:fill="auto"/>
                  <w:noWrap/>
                  <w:vAlign w:val="center"/>
                </w:tcPr>
                <w:p w14:paraId="4B9DB7F7">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最大值</w:t>
                  </w:r>
                </w:p>
              </w:tc>
              <w:tc>
                <w:tcPr>
                  <w:tcW w:w="443" w:type="pct"/>
                  <w:tcBorders>
                    <w:tl2br w:val="nil"/>
                    <w:tr2bl w:val="nil"/>
                  </w:tcBorders>
                  <w:shd w:val="clear" w:color="auto" w:fill="auto"/>
                  <w:noWrap/>
                  <w:vAlign w:val="center"/>
                </w:tcPr>
                <w:p w14:paraId="2DF67346">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7.5 </w:t>
                  </w:r>
                </w:p>
              </w:tc>
              <w:tc>
                <w:tcPr>
                  <w:tcW w:w="740" w:type="pct"/>
                  <w:tcBorders>
                    <w:tl2br w:val="nil"/>
                    <w:tr2bl w:val="nil"/>
                  </w:tcBorders>
                  <w:shd w:val="clear" w:color="auto" w:fill="auto"/>
                  <w:noWrap/>
                  <w:vAlign w:val="center"/>
                </w:tcPr>
                <w:p w14:paraId="2CAAB73C">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18 </w:t>
                  </w:r>
                </w:p>
              </w:tc>
              <w:tc>
                <w:tcPr>
                  <w:tcW w:w="495" w:type="pct"/>
                  <w:tcBorders>
                    <w:tl2br w:val="nil"/>
                    <w:tr2bl w:val="nil"/>
                  </w:tcBorders>
                  <w:shd w:val="clear" w:color="auto" w:fill="auto"/>
                  <w:noWrap/>
                  <w:vAlign w:val="center"/>
                </w:tcPr>
                <w:p w14:paraId="04D99947">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27 </w:t>
                  </w:r>
                </w:p>
              </w:tc>
              <w:tc>
                <w:tcPr>
                  <w:tcW w:w="741" w:type="pct"/>
                  <w:tcBorders>
                    <w:tl2br w:val="nil"/>
                    <w:tr2bl w:val="nil"/>
                  </w:tcBorders>
                  <w:shd w:val="clear" w:color="auto" w:fill="auto"/>
                  <w:noWrap/>
                  <w:vAlign w:val="center"/>
                </w:tcPr>
                <w:p w14:paraId="1FA4EAEA">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0.399 </w:t>
                  </w:r>
                </w:p>
              </w:tc>
              <w:tc>
                <w:tcPr>
                  <w:tcW w:w="702" w:type="pct"/>
                  <w:tcBorders>
                    <w:tl2br w:val="nil"/>
                    <w:tr2bl w:val="nil"/>
                  </w:tcBorders>
                  <w:shd w:val="clear" w:color="auto" w:fill="auto"/>
                  <w:noWrap/>
                  <w:vAlign w:val="center"/>
                </w:tcPr>
                <w:p w14:paraId="4A0C1EE2">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3.4 </w:t>
                  </w:r>
                </w:p>
              </w:tc>
              <w:tc>
                <w:tcPr>
                  <w:tcW w:w="731" w:type="pct"/>
                  <w:tcBorders>
                    <w:tl2br w:val="nil"/>
                    <w:tr2bl w:val="nil"/>
                  </w:tcBorders>
                  <w:shd w:val="clear" w:color="auto" w:fill="auto"/>
                  <w:noWrap/>
                  <w:vAlign w:val="center"/>
                </w:tcPr>
                <w:p w14:paraId="15EC5652">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0.11 </w:t>
                  </w:r>
                </w:p>
              </w:tc>
            </w:tr>
            <w:tr w14:paraId="5095D5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4" w:type="pct"/>
                  <w:vMerge w:val="continue"/>
                  <w:tcBorders>
                    <w:tl2br w:val="nil"/>
                    <w:tr2bl w:val="nil"/>
                  </w:tcBorders>
                  <w:vAlign w:val="center"/>
                </w:tcPr>
                <w:p w14:paraId="5AC25CEE">
                  <w:pPr>
                    <w:adjustRightInd w:val="0"/>
                    <w:snapToGrid w:val="0"/>
                    <w:spacing w:line="240" w:lineRule="auto"/>
                    <w:ind w:firstLine="0" w:firstLineChars="0"/>
                    <w:jc w:val="center"/>
                    <w:rPr>
                      <w:rFonts w:hint="default" w:ascii="Times New Roman" w:hAnsi="Times New Roman" w:cs="Times New Roman"/>
                      <w:color w:val="0070C0"/>
                      <w:sz w:val="21"/>
                      <w:szCs w:val="21"/>
                    </w:rPr>
                  </w:pPr>
                </w:p>
              </w:tc>
              <w:tc>
                <w:tcPr>
                  <w:tcW w:w="839" w:type="pct"/>
                  <w:tcBorders>
                    <w:tl2br w:val="nil"/>
                    <w:tr2bl w:val="nil"/>
                  </w:tcBorders>
                  <w:shd w:val="clear" w:color="auto" w:fill="auto"/>
                  <w:noWrap/>
                  <w:vAlign w:val="center"/>
                </w:tcPr>
                <w:p w14:paraId="5C5818C5">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最小值</w:t>
                  </w:r>
                </w:p>
              </w:tc>
              <w:tc>
                <w:tcPr>
                  <w:tcW w:w="443" w:type="pct"/>
                  <w:tcBorders>
                    <w:tl2br w:val="nil"/>
                    <w:tr2bl w:val="nil"/>
                  </w:tcBorders>
                  <w:shd w:val="clear" w:color="auto" w:fill="auto"/>
                  <w:noWrap/>
                  <w:vAlign w:val="center"/>
                </w:tcPr>
                <w:p w14:paraId="15A458E9">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7.3 </w:t>
                  </w:r>
                </w:p>
              </w:tc>
              <w:tc>
                <w:tcPr>
                  <w:tcW w:w="740" w:type="pct"/>
                  <w:tcBorders>
                    <w:tl2br w:val="nil"/>
                    <w:tr2bl w:val="nil"/>
                  </w:tcBorders>
                  <w:shd w:val="clear" w:color="auto" w:fill="auto"/>
                  <w:noWrap/>
                  <w:vAlign w:val="center"/>
                </w:tcPr>
                <w:p w14:paraId="6A5341F6">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15 </w:t>
                  </w:r>
                </w:p>
              </w:tc>
              <w:tc>
                <w:tcPr>
                  <w:tcW w:w="495" w:type="pct"/>
                  <w:tcBorders>
                    <w:tl2br w:val="nil"/>
                    <w:tr2bl w:val="nil"/>
                  </w:tcBorders>
                  <w:shd w:val="clear" w:color="auto" w:fill="auto"/>
                  <w:noWrap/>
                  <w:vAlign w:val="center"/>
                </w:tcPr>
                <w:p w14:paraId="173C50AE">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20 </w:t>
                  </w:r>
                </w:p>
              </w:tc>
              <w:tc>
                <w:tcPr>
                  <w:tcW w:w="741" w:type="pct"/>
                  <w:tcBorders>
                    <w:tl2br w:val="nil"/>
                    <w:tr2bl w:val="nil"/>
                  </w:tcBorders>
                  <w:shd w:val="clear" w:color="auto" w:fill="auto"/>
                  <w:noWrap/>
                  <w:vAlign w:val="center"/>
                </w:tcPr>
                <w:p w14:paraId="65B7301C">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0.247 </w:t>
                  </w:r>
                </w:p>
              </w:tc>
              <w:tc>
                <w:tcPr>
                  <w:tcW w:w="702" w:type="pct"/>
                  <w:tcBorders>
                    <w:tl2br w:val="nil"/>
                    <w:tr2bl w:val="nil"/>
                  </w:tcBorders>
                  <w:shd w:val="clear" w:color="auto" w:fill="auto"/>
                  <w:noWrap/>
                  <w:vAlign w:val="center"/>
                </w:tcPr>
                <w:p w14:paraId="199D35AE">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3.0 </w:t>
                  </w:r>
                </w:p>
              </w:tc>
              <w:tc>
                <w:tcPr>
                  <w:tcW w:w="731" w:type="pct"/>
                  <w:tcBorders>
                    <w:tl2br w:val="nil"/>
                    <w:tr2bl w:val="nil"/>
                  </w:tcBorders>
                  <w:shd w:val="clear" w:color="auto" w:fill="auto"/>
                  <w:noWrap/>
                  <w:vAlign w:val="center"/>
                </w:tcPr>
                <w:p w14:paraId="248B3685">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0.06 </w:t>
                  </w:r>
                </w:p>
              </w:tc>
            </w:tr>
            <w:tr w14:paraId="5E2F0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4" w:type="pct"/>
                  <w:vMerge w:val="continue"/>
                  <w:tcBorders>
                    <w:tl2br w:val="nil"/>
                    <w:tr2bl w:val="nil"/>
                  </w:tcBorders>
                  <w:vAlign w:val="center"/>
                </w:tcPr>
                <w:p w14:paraId="6464D4F9">
                  <w:pPr>
                    <w:adjustRightInd w:val="0"/>
                    <w:snapToGrid w:val="0"/>
                    <w:spacing w:line="240" w:lineRule="auto"/>
                    <w:ind w:firstLine="0" w:firstLineChars="0"/>
                    <w:jc w:val="center"/>
                    <w:rPr>
                      <w:rFonts w:hint="default" w:ascii="Times New Roman" w:hAnsi="Times New Roman" w:cs="Times New Roman"/>
                      <w:color w:val="0070C0"/>
                      <w:sz w:val="21"/>
                      <w:szCs w:val="21"/>
                    </w:rPr>
                  </w:pPr>
                </w:p>
              </w:tc>
              <w:tc>
                <w:tcPr>
                  <w:tcW w:w="839" w:type="pct"/>
                  <w:tcBorders>
                    <w:tl2br w:val="nil"/>
                    <w:tr2bl w:val="nil"/>
                  </w:tcBorders>
                  <w:shd w:val="clear" w:color="auto" w:fill="auto"/>
                  <w:noWrap/>
                  <w:vAlign w:val="center"/>
                </w:tcPr>
                <w:p w14:paraId="2AAAB799">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平均值</w:t>
                  </w:r>
                </w:p>
              </w:tc>
              <w:tc>
                <w:tcPr>
                  <w:tcW w:w="443" w:type="pct"/>
                  <w:tcBorders>
                    <w:tl2br w:val="nil"/>
                    <w:tr2bl w:val="nil"/>
                  </w:tcBorders>
                  <w:shd w:val="clear" w:color="auto" w:fill="auto"/>
                  <w:noWrap/>
                  <w:vAlign w:val="center"/>
                </w:tcPr>
                <w:p w14:paraId="627D8E94">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7.4 </w:t>
                  </w:r>
                </w:p>
              </w:tc>
              <w:tc>
                <w:tcPr>
                  <w:tcW w:w="740" w:type="pct"/>
                  <w:tcBorders>
                    <w:tl2br w:val="nil"/>
                    <w:tr2bl w:val="nil"/>
                  </w:tcBorders>
                  <w:shd w:val="clear" w:color="auto" w:fill="auto"/>
                  <w:noWrap/>
                  <w:vAlign w:val="center"/>
                </w:tcPr>
                <w:p w14:paraId="6F6D9DF7">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17 </w:t>
                  </w:r>
                </w:p>
              </w:tc>
              <w:tc>
                <w:tcPr>
                  <w:tcW w:w="495" w:type="pct"/>
                  <w:tcBorders>
                    <w:tl2br w:val="nil"/>
                    <w:tr2bl w:val="nil"/>
                  </w:tcBorders>
                  <w:shd w:val="clear" w:color="auto" w:fill="auto"/>
                  <w:noWrap/>
                  <w:vAlign w:val="center"/>
                </w:tcPr>
                <w:p w14:paraId="084C329F">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23 </w:t>
                  </w:r>
                </w:p>
              </w:tc>
              <w:tc>
                <w:tcPr>
                  <w:tcW w:w="741" w:type="pct"/>
                  <w:tcBorders>
                    <w:tl2br w:val="nil"/>
                    <w:tr2bl w:val="nil"/>
                  </w:tcBorders>
                  <w:shd w:val="clear" w:color="auto" w:fill="auto"/>
                  <w:noWrap/>
                  <w:vAlign w:val="center"/>
                </w:tcPr>
                <w:p w14:paraId="128C3550">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0.342 </w:t>
                  </w:r>
                </w:p>
              </w:tc>
              <w:tc>
                <w:tcPr>
                  <w:tcW w:w="702" w:type="pct"/>
                  <w:tcBorders>
                    <w:tl2br w:val="nil"/>
                    <w:tr2bl w:val="nil"/>
                  </w:tcBorders>
                  <w:shd w:val="clear" w:color="auto" w:fill="auto"/>
                  <w:noWrap/>
                  <w:vAlign w:val="center"/>
                </w:tcPr>
                <w:p w14:paraId="49796C1A">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3.2 </w:t>
                  </w:r>
                </w:p>
              </w:tc>
              <w:tc>
                <w:tcPr>
                  <w:tcW w:w="731" w:type="pct"/>
                  <w:tcBorders>
                    <w:tl2br w:val="nil"/>
                    <w:tr2bl w:val="nil"/>
                  </w:tcBorders>
                  <w:shd w:val="clear" w:color="auto" w:fill="auto"/>
                  <w:noWrap/>
                  <w:vAlign w:val="center"/>
                </w:tcPr>
                <w:p w14:paraId="669B20E4">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0.08 </w:t>
                  </w:r>
                </w:p>
              </w:tc>
            </w:tr>
            <w:tr w14:paraId="411563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4" w:type="pct"/>
                  <w:vMerge w:val="continue"/>
                  <w:tcBorders>
                    <w:tl2br w:val="nil"/>
                    <w:tr2bl w:val="nil"/>
                  </w:tcBorders>
                  <w:vAlign w:val="center"/>
                </w:tcPr>
                <w:p w14:paraId="2CBB15F7">
                  <w:pPr>
                    <w:adjustRightInd w:val="0"/>
                    <w:snapToGrid w:val="0"/>
                    <w:spacing w:line="240" w:lineRule="auto"/>
                    <w:ind w:firstLine="0" w:firstLineChars="0"/>
                    <w:jc w:val="center"/>
                    <w:rPr>
                      <w:rFonts w:hint="default" w:ascii="Times New Roman" w:hAnsi="Times New Roman" w:cs="Times New Roman"/>
                      <w:color w:val="0070C0"/>
                      <w:sz w:val="21"/>
                      <w:szCs w:val="21"/>
                    </w:rPr>
                  </w:pPr>
                </w:p>
              </w:tc>
              <w:tc>
                <w:tcPr>
                  <w:tcW w:w="839" w:type="pct"/>
                  <w:tcBorders>
                    <w:tl2br w:val="nil"/>
                    <w:tr2bl w:val="nil"/>
                  </w:tcBorders>
                  <w:shd w:val="clear" w:color="auto" w:fill="auto"/>
                  <w:noWrap/>
                  <w:vAlign w:val="center"/>
                </w:tcPr>
                <w:p w14:paraId="1DAF3A04">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Ⅲ类标准值</w:t>
                  </w:r>
                </w:p>
              </w:tc>
              <w:tc>
                <w:tcPr>
                  <w:tcW w:w="443" w:type="pct"/>
                  <w:tcBorders>
                    <w:tl2br w:val="nil"/>
                    <w:tr2bl w:val="nil"/>
                  </w:tcBorders>
                  <w:shd w:val="clear" w:color="auto" w:fill="auto"/>
                  <w:noWrap/>
                  <w:vAlign w:val="center"/>
                </w:tcPr>
                <w:p w14:paraId="64933BCB">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6～9</w:t>
                  </w:r>
                </w:p>
              </w:tc>
              <w:tc>
                <w:tcPr>
                  <w:tcW w:w="740" w:type="pct"/>
                  <w:tcBorders>
                    <w:tl2br w:val="nil"/>
                    <w:tr2bl w:val="nil"/>
                  </w:tcBorders>
                  <w:shd w:val="clear" w:color="auto" w:fill="auto"/>
                  <w:noWrap/>
                  <w:vAlign w:val="center"/>
                </w:tcPr>
                <w:p w14:paraId="247253D3">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20</w:t>
                  </w:r>
                </w:p>
              </w:tc>
              <w:tc>
                <w:tcPr>
                  <w:tcW w:w="495" w:type="pct"/>
                  <w:tcBorders>
                    <w:tl2br w:val="nil"/>
                    <w:tr2bl w:val="nil"/>
                  </w:tcBorders>
                  <w:shd w:val="clear" w:color="auto" w:fill="auto"/>
                  <w:noWrap/>
                  <w:vAlign w:val="center"/>
                </w:tcPr>
                <w:p w14:paraId="62FAA5D6">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w:t>
                  </w:r>
                </w:p>
              </w:tc>
              <w:tc>
                <w:tcPr>
                  <w:tcW w:w="741" w:type="pct"/>
                  <w:tcBorders>
                    <w:tl2br w:val="nil"/>
                    <w:tr2bl w:val="nil"/>
                  </w:tcBorders>
                  <w:shd w:val="clear" w:color="auto" w:fill="auto"/>
                  <w:noWrap/>
                  <w:vAlign w:val="center"/>
                </w:tcPr>
                <w:p w14:paraId="6B6B620E">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1</w:t>
                  </w:r>
                </w:p>
              </w:tc>
              <w:tc>
                <w:tcPr>
                  <w:tcW w:w="702" w:type="pct"/>
                  <w:tcBorders>
                    <w:tl2br w:val="nil"/>
                    <w:tr2bl w:val="nil"/>
                  </w:tcBorders>
                  <w:shd w:val="clear" w:color="auto" w:fill="auto"/>
                  <w:noWrap/>
                  <w:vAlign w:val="center"/>
                </w:tcPr>
                <w:p w14:paraId="076059BD">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4</w:t>
                  </w:r>
                </w:p>
              </w:tc>
              <w:tc>
                <w:tcPr>
                  <w:tcW w:w="731" w:type="pct"/>
                  <w:tcBorders>
                    <w:tl2br w:val="nil"/>
                    <w:tr2bl w:val="nil"/>
                  </w:tcBorders>
                  <w:shd w:val="clear" w:color="auto" w:fill="auto"/>
                  <w:noWrap/>
                  <w:vAlign w:val="center"/>
                </w:tcPr>
                <w:p w14:paraId="598B06AC">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0.2</w:t>
                  </w:r>
                </w:p>
              </w:tc>
            </w:tr>
            <w:tr w14:paraId="7BF76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4" w:type="pct"/>
                  <w:vMerge w:val="continue"/>
                  <w:tcBorders>
                    <w:tl2br w:val="nil"/>
                    <w:tr2bl w:val="nil"/>
                  </w:tcBorders>
                  <w:vAlign w:val="center"/>
                </w:tcPr>
                <w:p w14:paraId="788E31C6">
                  <w:pPr>
                    <w:adjustRightInd w:val="0"/>
                    <w:snapToGrid w:val="0"/>
                    <w:spacing w:line="240" w:lineRule="auto"/>
                    <w:ind w:firstLine="0" w:firstLineChars="0"/>
                    <w:jc w:val="center"/>
                    <w:rPr>
                      <w:rFonts w:hint="default" w:ascii="Times New Roman" w:hAnsi="Times New Roman" w:cs="Times New Roman"/>
                      <w:color w:val="0070C0"/>
                      <w:sz w:val="21"/>
                      <w:szCs w:val="21"/>
                    </w:rPr>
                  </w:pPr>
                </w:p>
              </w:tc>
              <w:tc>
                <w:tcPr>
                  <w:tcW w:w="839" w:type="pct"/>
                  <w:tcBorders>
                    <w:tl2br w:val="nil"/>
                    <w:tr2bl w:val="nil"/>
                  </w:tcBorders>
                  <w:shd w:val="clear" w:color="auto" w:fill="auto"/>
                  <w:noWrap/>
                  <w:vAlign w:val="center"/>
                </w:tcPr>
                <w:p w14:paraId="2B06D924">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污染指数</w:t>
                  </w:r>
                </w:p>
              </w:tc>
              <w:tc>
                <w:tcPr>
                  <w:tcW w:w="443" w:type="pct"/>
                  <w:tcBorders>
                    <w:tl2br w:val="nil"/>
                    <w:tr2bl w:val="nil"/>
                  </w:tcBorders>
                  <w:shd w:val="clear" w:color="auto" w:fill="auto"/>
                  <w:noWrap/>
                  <w:vAlign w:val="center"/>
                </w:tcPr>
                <w:p w14:paraId="23584E1F">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w:t>
                  </w:r>
                </w:p>
              </w:tc>
              <w:tc>
                <w:tcPr>
                  <w:tcW w:w="740" w:type="pct"/>
                  <w:tcBorders>
                    <w:tl2br w:val="nil"/>
                    <w:tr2bl w:val="nil"/>
                  </w:tcBorders>
                  <w:shd w:val="clear" w:color="auto" w:fill="auto"/>
                  <w:noWrap/>
                  <w:vAlign w:val="center"/>
                </w:tcPr>
                <w:p w14:paraId="01CD8BCA">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0.75-0.9</w:t>
                  </w:r>
                </w:p>
              </w:tc>
              <w:tc>
                <w:tcPr>
                  <w:tcW w:w="495" w:type="pct"/>
                  <w:tcBorders>
                    <w:tl2br w:val="nil"/>
                    <w:tr2bl w:val="nil"/>
                  </w:tcBorders>
                  <w:shd w:val="clear" w:color="auto" w:fill="auto"/>
                  <w:noWrap/>
                  <w:vAlign w:val="center"/>
                </w:tcPr>
                <w:p w14:paraId="6E72BBE0">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w:t>
                  </w:r>
                </w:p>
              </w:tc>
              <w:tc>
                <w:tcPr>
                  <w:tcW w:w="741" w:type="pct"/>
                  <w:tcBorders>
                    <w:tl2br w:val="nil"/>
                    <w:tr2bl w:val="nil"/>
                  </w:tcBorders>
                  <w:shd w:val="clear" w:color="auto" w:fill="auto"/>
                  <w:noWrap/>
                  <w:vAlign w:val="center"/>
                </w:tcPr>
                <w:p w14:paraId="336FFD27">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0.25-0.40</w:t>
                  </w:r>
                </w:p>
              </w:tc>
              <w:tc>
                <w:tcPr>
                  <w:tcW w:w="702" w:type="pct"/>
                  <w:tcBorders>
                    <w:tl2br w:val="nil"/>
                    <w:tr2bl w:val="nil"/>
                  </w:tcBorders>
                  <w:shd w:val="clear" w:color="auto" w:fill="auto"/>
                  <w:noWrap/>
                  <w:vAlign w:val="center"/>
                </w:tcPr>
                <w:p w14:paraId="082C4CA8">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0.75-0.85</w:t>
                  </w:r>
                </w:p>
              </w:tc>
              <w:tc>
                <w:tcPr>
                  <w:tcW w:w="731" w:type="pct"/>
                  <w:tcBorders>
                    <w:tl2br w:val="nil"/>
                    <w:tr2bl w:val="nil"/>
                  </w:tcBorders>
                  <w:shd w:val="clear" w:color="auto" w:fill="auto"/>
                  <w:noWrap/>
                  <w:vAlign w:val="center"/>
                </w:tcPr>
                <w:p w14:paraId="4616E676">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0.3-0.55</w:t>
                  </w:r>
                </w:p>
              </w:tc>
            </w:tr>
            <w:tr w14:paraId="08B9FE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4" w:type="pct"/>
                  <w:vMerge w:val="continue"/>
                  <w:tcBorders>
                    <w:tl2br w:val="nil"/>
                    <w:tr2bl w:val="nil"/>
                  </w:tcBorders>
                  <w:vAlign w:val="center"/>
                </w:tcPr>
                <w:p w14:paraId="4ACE8BE4">
                  <w:pPr>
                    <w:adjustRightInd w:val="0"/>
                    <w:snapToGrid w:val="0"/>
                    <w:spacing w:line="240" w:lineRule="auto"/>
                    <w:ind w:firstLine="0" w:firstLineChars="0"/>
                    <w:jc w:val="center"/>
                    <w:rPr>
                      <w:rFonts w:hint="default" w:ascii="Times New Roman" w:hAnsi="Times New Roman" w:cs="Times New Roman"/>
                      <w:color w:val="0070C0"/>
                      <w:sz w:val="21"/>
                      <w:szCs w:val="21"/>
                    </w:rPr>
                  </w:pPr>
                </w:p>
              </w:tc>
              <w:tc>
                <w:tcPr>
                  <w:tcW w:w="839" w:type="pct"/>
                  <w:tcBorders>
                    <w:tl2br w:val="nil"/>
                    <w:tr2bl w:val="nil"/>
                  </w:tcBorders>
                  <w:shd w:val="clear" w:color="auto" w:fill="auto"/>
                  <w:noWrap/>
                  <w:vAlign w:val="center"/>
                </w:tcPr>
                <w:p w14:paraId="2F402170">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超标率（%）</w:t>
                  </w:r>
                </w:p>
              </w:tc>
              <w:tc>
                <w:tcPr>
                  <w:tcW w:w="443" w:type="pct"/>
                  <w:tcBorders>
                    <w:tl2br w:val="nil"/>
                    <w:tr2bl w:val="nil"/>
                  </w:tcBorders>
                  <w:shd w:val="clear" w:color="auto" w:fill="auto"/>
                  <w:noWrap/>
                  <w:vAlign w:val="center"/>
                </w:tcPr>
                <w:p w14:paraId="658C3544">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 </w:t>
                  </w:r>
                </w:p>
              </w:tc>
              <w:tc>
                <w:tcPr>
                  <w:tcW w:w="740" w:type="pct"/>
                  <w:tcBorders>
                    <w:tl2br w:val="nil"/>
                    <w:tr2bl w:val="nil"/>
                  </w:tcBorders>
                  <w:shd w:val="clear" w:color="auto" w:fill="auto"/>
                  <w:noWrap/>
                  <w:vAlign w:val="center"/>
                </w:tcPr>
                <w:p w14:paraId="59C7F61D">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 </w:t>
                  </w:r>
                </w:p>
              </w:tc>
              <w:tc>
                <w:tcPr>
                  <w:tcW w:w="495" w:type="pct"/>
                  <w:tcBorders>
                    <w:tl2br w:val="nil"/>
                    <w:tr2bl w:val="nil"/>
                  </w:tcBorders>
                  <w:shd w:val="clear" w:color="auto" w:fill="auto"/>
                  <w:noWrap/>
                  <w:vAlign w:val="center"/>
                </w:tcPr>
                <w:p w14:paraId="6DFEA144">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w:t>
                  </w:r>
                </w:p>
              </w:tc>
              <w:tc>
                <w:tcPr>
                  <w:tcW w:w="741" w:type="pct"/>
                  <w:tcBorders>
                    <w:tl2br w:val="nil"/>
                    <w:tr2bl w:val="nil"/>
                  </w:tcBorders>
                  <w:shd w:val="clear" w:color="auto" w:fill="auto"/>
                  <w:noWrap/>
                  <w:vAlign w:val="center"/>
                </w:tcPr>
                <w:p w14:paraId="1FDDA6C6">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 </w:t>
                  </w:r>
                </w:p>
              </w:tc>
              <w:tc>
                <w:tcPr>
                  <w:tcW w:w="702" w:type="pct"/>
                  <w:tcBorders>
                    <w:tl2br w:val="nil"/>
                    <w:tr2bl w:val="nil"/>
                  </w:tcBorders>
                  <w:shd w:val="clear" w:color="auto" w:fill="auto"/>
                  <w:noWrap/>
                  <w:vAlign w:val="center"/>
                </w:tcPr>
                <w:p w14:paraId="25C7E49D">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 </w:t>
                  </w:r>
                </w:p>
              </w:tc>
              <w:tc>
                <w:tcPr>
                  <w:tcW w:w="731" w:type="pct"/>
                  <w:tcBorders>
                    <w:tl2br w:val="nil"/>
                    <w:tr2bl w:val="nil"/>
                  </w:tcBorders>
                  <w:shd w:val="clear" w:color="auto" w:fill="auto"/>
                  <w:noWrap/>
                  <w:vAlign w:val="center"/>
                </w:tcPr>
                <w:p w14:paraId="43AA6A92">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 </w:t>
                  </w:r>
                </w:p>
              </w:tc>
            </w:tr>
            <w:tr w14:paraId="228757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4" w:type="pct"/>
                  <w:vMerge w:val="restart"/>
                  <w:tcBorders>
                    <w:tl2br w:val="nil"/>
                    <w:tr2bl w:val="nil"/>
                  </w:tcBorders>
                  <w:shd w:val="clear" w:color="auto" w:fill="auto"/>
                  <w:noWrap/>
                  <w:vAlign w:val="center"/>
                </w:tcPr>
                <w:p w14:paraId="18494963">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W2</w:t>
                  </w:r>
                </w:p>
              </w:tc>
              <w:tc>
                <w:tcPr>
                  <w:tcW w:w="839" w:type="pct"/>
                  <w:tcBorders>
                    <w:tl2br w:val="nil"/>
                    <w:tr2bl w:val="nil"/>
                  </w:tcBorders>
                  <w:shd w:val="clear" w:color="auto" w:fill="auto"/>
                  <w:noWrap/>
                  <w:vAlign w:val="center"/>
                </w:tcPr>
                <w:p w14:paraId="3281E6EC">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最大值</w:t>
                  </w:r>
                </w:p>
              </w:tc>
              <w:tc>
                <w:tcPr>
                  <w:tcW w:w="443" w:type="pct"/>
                  <w:tcBorders>
                    <w:tl2br w:val="nil"/>
                    <w:tr2bl w:val="nil"/>
                  </w:tcBorders>
                  <w:shd w:val="clear" w:color="auto" w:fill="auto"/>
                  <w:noWrap/>
                  <w:vAlign w:val="center"/>
                </w:tcPr>
                <w:p w14:paraId="34B1649E">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7.5 </w:t>
                  </w:r>
                </w:p>
              </w:tc>
              <w:tc>
                <w:tcPr>
                  <w:tcW w:w="740" w:type="pct"/>
                  <w:tcBorders>
                    <w:tl2br w:val="nil"/>
                    <w:tr2bl w:val="nil"/>
                  </w:tcBorders>
                  <w:shd w:val="clear" w:color="auto" w:fill="auto"/>
                  <w:noWrap/>
                  <w:vAlign w:val="center"/>
                </w:tcPr>
                <w:p w14:paraId="1AA4EB3C">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19 </w:t>
                  </w:r>
                </w:p>
              </w:tc>
              <w:tc>
                <w:tcPr>
                  <w:tcW w:w="495" w:type="pct"/>
                  <w:tcBorders>
                    <w:tl2br w:val="nil"/>
                    <w:tr2bl w:val="nil"/>
                  </w:tcBorders>
                  <w:shd w:val="clear" w:color="auto" w:fill="auto"/>
                  <w:noWrap/>
                  <w:vAlign w:val="center"/>
                </w:tcPr>
                <w:p w14:paraId="15F4D04B">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29 </w:t>
                  </w:r>
                </w:p>
              </w:tc>
              <w:tc>
                <w:tcPr>
                  <w:tcW w:w="741" w:type="pct"/>
                  <w:tcBorders>
                    <w:tl2br w:val="nil"/>
                    <w:tr2bl w:val="nil"/>
                  </w:tcBorders>
                  <w:shd w:val="clear" w:color="auto" w:fill="auto"/>
                  <w:noWrap/>
                  <w:vAlign w:val="center"/>
                </w:tcPr>
                <w:p w14:paraId="77C8EB41">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0.241 </w:t>
                  </w:r>
                </w:p>
              </w:tc>
              <w:tc>
                <w:tcPr>
                  <w:tcW w:w="702" w:type="pct"/>
                  <w:tcBorders>
                    <w:tl2br w:val="nil"/>
                    <w:tr2bl w:val="nil"/>
                  </w:tcBorders>
                  <w:shd w:val="clear" w:color="auto" w:fill="auto"/>
                  <w:noWrap/>
                  <w:vAlign w:val="center"/>
                </w:tcPr>
                <w:p w14:paraId="0F0EA52C">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3.9 </w:t>
                  </w:r>
                </w:p>
              </w:tc>
              <w:tc>
                <w:tcPr>
                  <w:tcW w:w="731" w:type="pct"/>
                  <w:tcBorders>
                    <w:tl2br w:val="nil"/>
                    <w:tr2bl w:val="nil"/>
                  </w:tcBorders>
                  <w:shd w:val="clear" w:color="auto" w:fill="auto"/>
                  <w:noWrap/>
                  <w:vAlign w:val="center"/>
                </w:tcPr>
                <w:p w14:paraId="559D477E">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0.09 </w:t>
                  </w:r>
                </w:p>
              </w:tc>
            </w:tr>
            <w:tr w14:paraId="283A4E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4" w:type="pct"/>
                  <w:vMerge w:val="continue"/>
                  <w:tcBorders>
                    <w:tl2br w:val="nil"/>
                    <w:tr2bl w:val="nil"/>
                  </w:tcBorders>
                  <w:vAlign w:val="center"/>
                </w:tcPr>
                <w:p w14:paraId="186685F5">
                  <w:pPr>
                    <w:adjustRightInd w:val="0"/>
                    <w:snapToGrid w:val="0"/>
                    <w:spacing w:line="240" w:lineRule="auto"/>
                    <w:ind w:firstLine="0" w:firstLineChars="0"/>
                    <w:jc w:val="center"/>
                    <w:rPr>
                      <w:rFonts w:hint="default" w:ascii="Times New Roman" w:hAnsi="Times New Roman" w:cs="Times New Roman"/>
                      <w:color w:val="0070C0"/>
                      <w:sz w:val="21"/>
                      <w:szCs w:val="21"/>
                    </w:rPr>
                  </w:pPr>
                </w:p>
              </w:tc>
              <w:tc>
                <w:tcPr>
                  <w:tcW w:w="839" w:type="pct"/>
                  <w:tcBorders>
                    <w:tl2br w:val="nil"/>
                    <w:tr2bl w:val="nil"/>
                  </w:tcBorders>
                  <w:shd w:val="clear" w:color="auto" w:fill="auto"/>
                  <w:noWrap/>
                  <w:vAlign w:val="center"/>
                </w:tcPr>
                <w:p w14:paraId="2C73DA36">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最小值</w:t>
                  </w:r>
                </w:p>
              </w:tc>
              <w:tc>
                <w:tcPr>
                  <w:tcW w:w="443" w:type="pct"/>
                  <w:tcBorders>
                    <w:tl2br w:val="nil"/>
                    <w:tr2bl w:val="nil"/>
                  </w:tcBorders>
                  <w:shd w:val="clear" w:color="auto" w:fill="auto"/>
                  <w:noWrap/>
                  <w:vAlign w:val="center"/>
                </w:tcPr>
                <w:p w14:paraId="6F88F6AF">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7.3 </w:t>
                  </w:r>
                </w:p>
              </w:tc>
              <w:tc>
                <w:tcPr>
                  <w:tcW w:w="740" w:type="pct"/>
                  <w:tcBorders>
                    <w:tl2br w:val="nil"/>
                    <w:tr2bl w:val="nil"/>
                  </w:tcBorders>
                  <w:shd w:val="clear" w:color="auto" w:fill="auto"/>
                  <w:noWrap/>
                  <w:vAlign w:val="center"/>
                </w:tcPr>
                <w:p w14:paraId="1D40FCE1">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16 </w:t>
                  </w:r>
                </w:p>
              </w:tc>
              <w:tc>
                <w:tcPr>
                  <w:tcW w:w="495" w:type="pct"/>
                  <w:tcBorders>
                    <w:tl2br w:val="nil"/>
                    <w:tr2bl w:val="nil"/>
                  </w:tcBorders>
                  <w:shd w:val="clear" w:color="auto" w:fill="auto"/>
                  <w:noWrap/>
                  <w:vAlign w:val="center"/>
                </w:tcPr>
                <w:p w14:paraId="0E9C854C">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20 </w:t>
                  </w:r>
                </w:p>
              </w:tc>
              <w:tc>
                <w:tcPr>
                  <w:tcW w:w="741" w:type="pct"/>
                  <w:tcBorders>
                    <w:tl2br w:val="nil"/>
                    <w:tr2bl w:val="nil"/>
                  </w:tcBorders>
                  <w:shd w:val="clear" w:color="auto" w:fill="auto"/>
                  <w:noWrap/>
                  <w:vAlign w:val="center"/>
                </w:tcPr>
                <w:p w14:paraId="77213942">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0.165 </w:t>
                  </w:r>
                </w:p>
              </w:tc>
              <w:tc>
                <w:tcPr>
                  <w:tcW w:w="702" w:type="pct"/>
                  <w:tcBorders>
                    <w:tl2br w:val="nil"/>
                    <w:tr2bl w:val="nil"/>
                  </w:tcBorders>
                  <w:shd w:val="clear" w:color="auto" w:fill="auto"/>
                  <w:noWrap/>
                  <w:vAlign w:val="center"/>
                </w:tcPr>
                <w:p w14:paraId="2BBE59A0">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3.3 </w:t>
                  </w:r>
                </w:p>
              </w:tc>
              <w:tc>
                <w:tcPr>
                  <w:tcW w:w="731" w:type="pct"/>
                  <w:tcBorders>
                    <w:tl2br w:val="nil"/>
                    <w:tr2bl w:val="nil"/>
                  </w:tcBorders>
                  <w:shd w:val="clear" w:color="auto" w:fill="auto"/>
                  <w:noWrap/>
                  <w:vAlign w:val="center"/>
                </w:tcPr>
                <w:p w14:paraId="5C776263">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0.05 </w:t>
                  </w:r>
                </w:p>
              </w:tc>
            </w:tr>
            <w:tr w14:paraId="1BFE9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4" w:type="pct"/>
                  <w:vMerge w:val="continue"/>
                  <w:tcBorders>
                    <w:tl2br w:val="nil"/>
                    <w:tr2bl w:val="nil"/>
                  </w:tcBorders>
                  <w:vAlign w:val="center"/>
                </w:tcPr>
                <w:p w14:paraId="2C35245E">
                  <w:pPr>
                    <w:adjustRightInd w:val="0"/>
                    <w:snapToGrid w:val="0"/>
                    <w:spacing w:line="240" w:lineRule="auto"/>
                    <w:ind w:firstLine="0" w:firstLineChars="0"/>
                    <w:jc w:val="center"/>
                    <w:rPr>
                      <w:rFonts w:hint="default" w:ascii="Times New Roman" w:hAnsi="Times New Roman" w:cs="Times New Roman"/>
                      <w:color w:val="0070C0"/>
                      <w:sz w:val="21"/>
                      <w:szCs w:val="21"/>
                    </w:rPr>
                  </w:pPr>
                </w:p>
              </w:tc>
              <w:tc>
                <w:tcPr>
                  <w:tcW w:w="839" w:type="pct"/>
                  <w:tcBorders>
                    <w:tl2br w:val="nil"/>
                    <w:tr2bl w:val="nil"/>
                  </w:tcBorders>
                  <w:shd w:val="clear" w:color="auto" w:fill="auto"/>
                  <w:noWrap/>
                  <w:vAlign w:val="center"/>
                </w:tcPr>
                <w:p w14:paraId="4A022164">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平均值</w:t>
                  </w:r>
                </w:p>
              </w:tc>
              <w:tc>
                <w:tcPr>
                  <w:tcW w:w="443" w:type="pct"/>
                  <w:tcBorders>
                    <w:tl2br w:val="nil"/>
                    <w:tr2bl w:val="nil"/>
                  </w:tcBorders>
                  <w:shd w:val="clear" w:color="auto" w:fill="auto"/>
                  <w:noWrap/>
                  <w:vAlign w:val="center"/>
                </w:tcPr>
                <w:p w14:paraId="257EA810">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7.4 </w:t>
                  </w:r>
                </w:p>
              </w:tc>
              <w:tc>
                <w:tcPr>
                  <w:tcW w:w="740" w:type="pct"/>
                  <w:tcBorders>
                    <w:tl2br w:val="nil"/>
                    <w:tr2bl w:val="nil"/>
                  </w:tcBorders>
                  <w:shd w:val="clear" w:color="auto" w:fill="auto"/>
                  <w:noWrap/>
                  <w:vAlign w:val="center"/>
                </w:tcPr>
                <w:p w14:paraId="2DC0D122">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18 </w:t>
                  </w:r>
                </w:p>
              </w:tc>
              <w:tc>
                <w:tcPr>
                  <w:tcW w:w="495" w:type="pct"/>
                  <w:tcBorders>
                    <w:tl2br w:val="nil"/>
                    <w:tr2bl w:val="nil"/>
                  </w:tcBorders>
                  <w:shd w:val="clear" w:color="auto" w:fill="auto"/>
                  <w:noWrap/>
                  <w:vAlign w:val="center"/>
                </w:tcPr>
                <w:p w14:paraId="693123D5">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25 </w:t>
                  </w:r>
                </w:p>
              </w:tc>
              <w:tc>
                <w:tcPr>
                  <w:tcW w:w="741" w:type="pct"/>
                  <w:tcBorders>
                    <w:tl2br w:val="nil"/>
                    <w:tr2bl w:val="nil"/>
                  </w:tcBorders>
                  <w:shd w:val="clear" w:color="auto" w:fill="auto"/>
                  <w:noWrap/>
                  <w:vAlign w:val="center"/>
                </w:tcPr>
                <w:p w14:paraId="1D9EC940">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0.207 </w:t>
                  </w:r>
                </w:p>
              </w:tc>
              <w:tc>
                <w:tcPr>
                  <w:tcW w:w="702" w:type="pct"/>
                  <w:tcBorders>
                    <w:tl2br w:val="nil"/>
                    <w:tr2bl w:val="nil"/>
                  </w:tcBorders>
                  <w:shd w:val="clear" w:color="auto" w:fill="auto"/>
                  <w:noWrap/>
                  <w:vAlign w:val="center"/>
                </w:tcPr>
                <w:p w14:paraId="18CD2442">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3.6 </w:t>
                  </w:r>
                </w:p>
              </w:tc>
              <w:tc>
                <w:tcPr>
                  <w:tcW w:w="731" w:type="pct"/>
                  <w:tcBorders>
                    <w:tl2br w:val="nil"/>
                    <w:tr2bl w:val="nil"/>
                  </w:tcBorders>
                  <w:shd w:val="clear" w:color="auto" w:fill="auto"/>
                  <w:noWrap/>
                  <w:vAlign w:val="center"/>
                </w:tcPr>
                <w:p w14:paraId="54E03C1B">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0.07 </w:t>
                  </w:r>
                </w:p>
              </w:tc>
            </w:tr>
            <w:tr w14:paraId="52C45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4" w:type="pct"/>
                  <w:vMerge w:val="continue"/>
                  <w:tcBorders>
                    <w:tl2br w:val="nil"/>
                    <w:tr2bl w:val="nil"/>
                  </w:tcBorders>
                  <w:vAlign w:val="center"/>
                </w:tcPr>
                <w:p w14:paraId="4987BB94">
                  <w:pPr>
                    <w:adjustRightInd w:val="0"/>
                    <w:snapToGrid w:val="0"/>
                    <w:spacing w:line="240" w:lineRule="auto"/>
                    <w:ind w:firstLine="0" w:firstLineChars="0"/>
                    <w:jc w:val="center"/>
                    <w:rPr>
                      <w:rFonts w:hint="default" w:ascii="Times New Roman" w:hAnsi="Times New Roman" w:cs="Times New Roman"/>
                      <w:color w:val="0070C0"/>
                      <w:sz w:val="21"/>
                      <w:szCs w:val="21"/>
                    </w:rPr>
                  </w:pPr>
                </w:p>
              </w:tc>
              <w:tc>
                <w:tcPr>
                  <w:tcW w:w="839" w:type="pct"/>
                  <w:tcBorders>
                    <w:tl2br w:val="nil"/>
                    <w:tr2bl w:val="nil"/>
                  </w:tcBorders>
                  <w:shd w:val="clear" w:color="auto" w:fill="auto"/>
                  <w:noWrap/>
                  <w:vAlign w:val="center"/>
                </w:tcPr>
                <w:p w14:paraId="43C7E4AB">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Ⅲ类标准值</w:t>
                  </w:r>
                </w:p>
              </w:tc>
              <w:tc>
                <w:tcPr>
                  <w:tcW w:w="443" w:type="pct"/>
                  <w:tcBorders>
                    <w:tl2br w:val="nil"/>
                    <w:tr2bl w:val="nil"/>
                  </w:tcBorders>
                  <w:shd w:val="clear" w:color="auto" w:fill="auto"/>
                  <w:noWrap/>
                  <w:vAlign w:val="center"/>
                </w:tcPr>
                <w:p w14:paraId="1A90C77D">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6～9</w:t>
                  </w:r>
                </w:p>
              </w:tc>
              <w:tc>
                <w:tcPr>
                  <w:tcW w:w="740" w:type="pct"/>
                  <w:tcBorders>
                    <w:tl2br w:val="nil"/>
                    <w:tr2bl w:val="nil"/>
                  </w:tcBorders>
                  <w:shd w:val="clear" w:color="auto" w:fill="auto"/>
                  <w:noWrap/>
                  <w:vAlign w:val="center"/>
                </w:tcPr>
                <w:p w14:paraId="06FF4A53">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20</w:t>
                  </w:r>
                </w:p>
              </w:tc>
              <w:tc>
                <w:tcPr>
                  <w:tcW w:w="495" w:type="pct"/>
                  <w:tcBorders>
                    <w:tl2br w:val="nil"/>
                    <w:tr2bl w:val="nil"/>
                  </w:tcBorders>
                  <w:shd w:val="clear" w:color="auto" w:fill="auto"/>
                  <w:noWrap/>
                  <w:vAlign w:val="center"/>
                </w:tcPr>
                <w:p w14:paraId="46AE3B2A">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w:t>
                  </w:r>
                </w:p>
              </w:tc>
              <w:tc>
                <w:tcPr>
                  <w:tcW w:w="741" w:type="pct"/>
                  <w:tcBorders>
                    <w:tl2br w:val="nil"/>
                    <w:tr2bl w:val="nil"/>
                  </w:tcBorders>
                  <w:shd w:val="clear" w:color="auto" w:fill="auto"/>
                  <w:noWrap/>
                  <w:vAlign w:val="center"/>
                </w:tcPr>
                <w:p w14:paraId="3879D726">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1</w:t>
                  </w:r>
                </w:p>
              </w:tc>
              <w:tc>
                <w:tcPr>
                  <w:tcW w:w="702" w:type="pct"/>
                  <w:tcBorders>
                    <w:tl2br w:val="nil"/>
                    <w:tr2bl w:val="nil"/>
                  </w:tcBorders>
                  <w:shd w:val="clear" w:color="auto" w:fill="auto"/>
                  <w:noWrap/>
                  <w:vAlign w:val="center"/>
                </w:tcPr>
                <w:p w14:paraId="60C8E756">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4</w:t>
                  </w:r>
                </w:p>
              </w:tc>
              <w:tc>
                <w:tcPr>
                  <w:tcW w:w="731" w:type="pct"/>
                  <w:tcBorders>
                    <w:tl2br w:val="nil"/>
                    <w:tr2bl w:val="nil"/>
                  </w:tcBorders>
                  <w:shd w:val="clear" w:color="auto" w:fill="auto"/>
                  <w:noWrap/>
                  <w:vAlign w:val="center"/>
                </w:tcPr>
                <w:p w14:paraId="7FA00F9B">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0.2</w:t>
                  </w:r>
                </w:p>
              </w:tc>
            </w:tr>
            <w:tr w14:paraId="55F86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4" w:type="pct"/>
                  <w:vMerge w:val="continue"/>
                  <w:tcBorders>
                    <w:tl2br w:val="nil"/>
                    <w:tr2bl w:val="nil"/>
                  </w:tcBorders>
                  <w:vAlign w:val="center"/>
                </w:tcPr>
                <w:p w14:paraId="1675811C">
                  <w:pPr>
                    <w:adjustRightInd w:val="0"/>
                    <w:snapToGrid w:val="0"/>
                    <w:spacing w:line="240" w:lineRule="auto"/>
                    <w:ind w:firstLine="0" w:firstLineChars="0"/>
                    <w:jc w:val="center"/>
                    <w:rPr>
                      <w:rFonts w:hint="default" w:ascii="Times New Roman" w:hAnsi="Times New Roman" w:cs="Times New Roman"/>
                      <w:color w:val="0070C0"/>
                      <w:sz w:val="21"/>
                      <w:szCs w:val="21"/>
                    </w:rPr>
                  </w:pPr>
                </w:p>
              </w:tc>
              <w:tc>
                <w:tcPr>
                  <w:tcW w:w="839" w:type="pct"/>
                  <w:tcBorders>
                    <w:tl2br w:val="nil"/>
                    <w:tr2bl w:val="nil"/>
                  </w:tcBorders>
                  <w:shd w:val="clear" w:color="auto" w:fill="auto"/>
                  <w:noWrap/>
                  <w:vAlign w:val="center"/>
                </w:tcPr>
                <w:p w14:paraId="04307C94">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污染指数</w:t>
                  </w:r>
                </w:p>
              </w:tc>
              <w:tc>
                <w:tcPr>
                  <w:tcW w:w="443" w:type="pct"/>
                  <w:tcBorders>
                    <w:tl2br w:val="nil"/>
                    <w:tr2bl w:val="nil"/>
                  </w:tcBorders>
                  <w:shd w:val="clear" w:color="auto" w:fill="auto"/>
                  <w:noWrap/>
                  <w:vAlign w:val="center"/>
                </w:tcPr>
                <w:p w14:paraId="5AA4EB47">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w:t>
                  </w:r>
                </w:p>
              </w:tc>
              <w:tc>
                <w:tcPr>
                  <w:tcW w:w="740" w:type="pct"/>
                  <w:tcBorders>
                    <w:tl2br w:val="nil"/>
                    <w:tr2bl w:val="nil"/>
                  </w:tcBorders>
                  <w:shd w:val="clear" w:color="auto" w:fill="auto"/>
                  <w:noWrap/>
                  <w:vAlign w:val="center"/>
                </w:tcPr>
                <w:p w14:paraId="536833C8">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0.8-0.95</w:t>
                  </w:r>
                </w:p>
              </w:tc>
              <w:tc>
                <w:tcPr>
                  <w:tcW w:w="495" w:type="pct"/>
                  <w:tcBorders>
                    <w:tl2br w:val="nil"/>
                    <w:tr2bl w:val="nil"/>
                  </w:tcBorders>
                  <w:shd w:val="clear" w:color="auto" w:fill="auto"/>
                  <w:noWrap/>
                  <w:vAlign w:val="center"/>
                </w:tcPr>
                <w:p w14:paraId="73F37F35">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w:t>
                  </w:r>
                </w:p>
              </w:tc>
              <w:tc>
                <w:tcPr>
                  <w:tcW w:w="741" w:type="pct"/>
                  <w:tcBorders>
                    <w:tl2br w:val="nil"/>
                    <w:tr2bl w:val="nil"/>
                  </w:tcBorders>
                  <w:shd w:val="clear" w:color="auto" w:fill="auto"/>
                  <w:noWrap/>
                  <w:vAlign w:val="center"/>
                </w:tcPr>
                <w:p w14:paraId="30AAAD21">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0.17-0.24</w:t>
                  </w:r>
                </w:p>
              </w:tc>
              <w:tc>
                <w:tcPr>
                  <w:tcW w:w="702" w:type="pct"/>
                  <w:tcBorders>
                    <w:tl2br w:val="nil"/>
                    <w:tr2bl w:val="nil"/>
                  </w:tcBorders>
                  <w:shd w:val="clear" w:color="auto" w:fill="auto"/>
                  <w:noWrap/>
                  <w:vAlign w:val="center"/>
                </w:tcPr>
                <w:p w14:paraId="2204AC38">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0.83-0.98</w:t>
                  </w:r>
                </w:p>
              </w:tc>
              <w:tc>
                <w:tcPr>
                  <w:tcW w:w="731" w:type="pct"/>
                  <w:tcBorders>
                    <w:tl2br w:val="nil"/>
                    <w:tr2bl w:val="nil"/>
                  </w:tcBorders>
                  <w:shd w:val="clear" w:color="auto" w:fill="auto"/>
                  <w:noWrap/>
                  <w:vAlign w:val="center"/>
                </w:tcPr>
                <w:p w14:paraId="1B6534EB">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0.25-0.45</w:t>
                  </w:r>
                </w:p>
              </w:tc>
            </w:tr>
            <w:tr w14:paraId="3559A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4" w:type="pct"/>
                  <w:vMerge w:val="continue"/>
                  <w:tcBorders>
                    <w:tl2br w:val="nil"/>
                    <w:tr2bl w:val="nil"/>
                  </w:tcBorders>
                  <w:vAlign w:val="center"/>
                </w:tcPr>
                <w:p w14:paraId="26A85774">
                  <w:pPr>
                    <w:adjustRightInd w:val="0"/>
                    <w:snapToGrid w:val="0"/>
                    <w:spacing w:line="240" w:lineRule="auto"/>
                    <w:ind w:firstLine="0" w:firstLineChars="0"/>
                    <w:jc w:val="center"/>
                    <w:rPr>
                      <w:rFonts w:hint="default" w:ascii="Times New Roman" w:hAnsi="Times New Roman" w:cs="Times New Roman"/>
                      <w:color w:val="0070C0"/>
                      <w:sz w:val="21"/>
                      <w:szCs w:val="21"/>
                    </w:rPr>
                  </w:pPr>
                </w:p>
              </w:tc>
              <w:tc>
                <w:tcPr>
                  <w:tcW w:w="839" w:type="pct"/>
                  <w:tcBorders>
                    <w:tl2br w:val="nil"/>
                    <w:tr2bl w:val="nil"/>
                  </w:tcBorders>
                  <w:shd w:val="clear" w:color="auto" w:fill="auto"/>
                  <w:noWrap/>
                  <w:vAlign w:val="center"/>
                </w:tcPr>
                <w:p w14:paraId="1561EC99">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超标率（%）</w:t>
                  </w:r>
                </w:p>
              </w:tc>
              <w:tc>
                <w:tcPr>
                  <w:tcW w:w="443" w:type="pct"/>
                  <w:tcBorders>
                    <w:tl2br w:val="nil"/>
                    <w:tr2bl w:val="nil"/>
                  </w:tcBorders>
                  <w:shd w:val="clear" w:color="auto" w:fill="auto"/>
                  <w:noWrap/>
                  <w:vAlign w:val="center"/>
                </w:tcPr>
                <w:p w14:paraId="3A400ADD">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 </w:t>
                  </w:r>
                </w:p>
              </w:tc>
              <w:tc>
                <w:tcPr>
                  <w:tcW w:w="740" w:type="pct"/>
                  <w:tcBorders>
                    <w:tl2br w:val="nil"/>
                    <w:tr2bl w:val="nil"/>
                  </w:tcBorders>
                  <w:shd w:val="clear" w:color="auto" w:fill="auto"/>
                  <w:noWrap/>
                  <w:vAlign w:val="center"/>
                </w:tcPr>
                <w:p w14:paraId="43FD8B6A">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 </w:t>
                  </w:r>
                </w:p>
              </w:tc>
              <w:tc>
                <w:tcPr>
                  <w:tcW w:w="495" w:type="pct"/>
                  <w:tcBorders>
                    <w:tl2br w:val="nil"/>
                    <w:tr2bl w:val="nil"/>
                  </w:tcBorders>
                  <w:shd w:val="clear" w:color="auto" w:fill="auto"/>
                  <w:noWrap/>
                  <w:vAlign w:val="center"/>
                </w:tcPr>
                <w:p w14:paraId="138B7857">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w:t>
                  </w:r>
                </w:p>
              </w:tc>
              <w:tc>
                <w:tcPr>
                  <w:tcW w:w="741" w:type="pct"/>
                  <w:tcBorders>
                    <w:tl2br w:val="nil"/>
                    <w:tr2bl w:val="nil"/>
                  </w:tcBorders>
                  <w:shd w:val="clear" w:color="auto" w:fill="auto"/>
                  <w:noWrap/>
                  <w:vAlign w:val="center"/>
                </w:tcPr>
                <w:p w14:paraId="20FE7318">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 </w:t>
                  </w:r>
                </w:p>
              </w:tc>
              <w:tc>
                <w:tcPr>
                  <w:tcW w:w="702" w:type="pct"/>
                  <w:tcBorders>
                    <w:tl2br w:val="nil"/>
                    <w:tr2bl w:val="nil"/>
                  </w:tcBorders>
                  <w:shd w:val="clear" w:color="auto" w:fill="auto"/>
                  <w:noWrap/>
                  <w:vAlign w:val="center"/>
                </w:tcPr>
                <w:p w14:paraId="7047A8C3">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 </w:t>
                  </w:r>
                </w:p>
              </w:tc>
              <w:tc>
                <w:tcPr>
                  <w:tcW w:w="731" w:type="pct"/>
                  <w:tcBorders>
                    <w:tl2br w:val="nil"/>
                    <w:tr2bl w:val="nil"/>
                  </w:tcBorders>
                  <w:shd w:val="clear" w:color="auto" w:fill="auto"/>
                  <w:noWrap/>
                  <w:vAlign w:val="center"/>
                </w:tcPr>
                <w:p w14:paraId="393768E6">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 </w:t>
                  </w:r>
                </w:p>
              </w:tc>
            </w:tr>
            <w:tr w14:paraId="72D7CE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4" w:type="pct"/>
                  <w:vMerge w:val="restart"/>
                  <w:tcBorders>
                    <w:tl2br w:val="nil"/>
                    <w:tr2bl w:val="nil"/>
                  </w:tcBorders>
                  <w:shd w:val="clear" w:color="auto" w:fill="auto"/>
                  <w:noWrap/>
                  <w:vAlign w:val="center"/>
                </w:tcPr>
                <w:p w14:paraId="1C2AC82F">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W3</w:t>
                  </w:r>
                </w:p>
              </w:tc>
              <w:tc>
                <w:tcPr>
                  <w:tcW w:w="839" w:type="pct"/>
                  <w:tcBorders>
                    <w:tl2br w:val="nil"/>
                    <w:tr2bl w:val="nil"/>
                  </w:tcBorders>
                  <w:shd w:val="clear" w:color="auto" w:fill="auto"/>
                  <w:noWrap/>
                  <w:vAlign w:val="center"/>
                </w:tcPr>
                <w:p w14:paraId="4D259D31">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最大值</w:t>
                  </w:r>
                </w:p>
              </w:tc>
              <w:tc>
                <w:tcPr>
                  <w:tcW w:w="443" w:type="pct"/>
                  <w:tcBorders>
                    <w:tl2br w:val="nil"/>
                    <w:tr2bl w:val="nil"/>
                  </w:tcBorders>
                  <w:shd w:val="clear" w:color="auto" w:fill="auto"/>
                  <w:noWrap/>
                  <w:vAlign w:val="center"/>
                </w:tcPr>
                <w:p w14:paraId="23AB8C3B">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7.6 </w:t>
                  </w:r>
                </w:p>
              </w:tc>
              <w:tc>
                <w:tcPr>
                  <w:tcW w:w="740" w:type="pct"/>
                  <w:tcBorders>
                    <w:tl2br w:val="nil"/>
                    <w:tr2bl w:val="nil"/>
                  </w:tcBorders>
                  <w:shd w:val="clear" w:color="auto" w:fill="auto"/>
                  <w:noWrap/>
                  <w:vAlign w:val="center"/>
                </w:tcPr>
                <w:p w14:paraId="50060F33">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19 </w:t>
                  </w:r>
                </w:p>
              </w:tc>
              <w:tc>
                <w:tcPr>
                  <w:tcW w:w="495" w:type="pct"/>
                  <w:tcBorders>
                    <w:tl2br w:val="nil"/>
                    <w:tr2bl w:val="nil"/>
                  </w:tcBorders>
                  <w:shd w:val="clear" w:color="auto" w:fill="auto"/>
                  <w:noWrap/>
                  <w:vAlign w:val="center"/>
                </w:tcPr>
                <w:p w14:paraId="0BBEC02B">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29 </w:t>
                  </w:r>
                </w:p>
              </w:tc>
              <w:tc>
                <w:tcPr>
                  <w:tcW w:w="741" w:type="pct"/>
                  <w:tcBorders>
                    <w:tl2br w:val="nil"/>
                    <w:tr2bl w:val="nil"/>
                  </w:tcBorders>
                  <w:shd w:val="clear" w:color="auto" w:fill="auto"/>
                  <w:noWrap/>
                  <w:vAlign w:val="center"/>
                </w:tcPr>
                <w:p w14:paraId="2569B8AF">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0.464 </w:t>
                  </w:r>
                </w:p>
              </w:tc>
              <w:tc>
                <w:tcPr>
                  <w:tcW w:w="702" w:type="pct"/>
                  <w:tcBorders>
                    <w:tl2br w:val="nil"/>
                    <w:tr2bl w:val="nil"/>
                  </w:tcBorders>
                  <w:shd w:val="clear" w:color="auto" w:fill="auto"/>
                  <w:noWrap/>
                  <w:vAlign w:val="center"/>
                </w:tcPr>
                <w:p w14:paraId="3888484A">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3.9 </w:t>
                  </w:r>
                </w:p>
              </w:tc>
              <w:tc>
                <w:tcPr>
                  <w:tcW w:w="731" w:type="pct"/>
                  <w:tcBorders>
                    <w:tl2br w:val="nil"/>
                    <w:tr2bl w:val="nil"/>
                  </w:tcBorders>
                  <w:shd w:val="clear" w:color="auto" w:fill="auto"/>
                  <w:noWrap/>
                  <w:vAlign w:val="center"/>
                </w:tcPr>
                <w:p w14:paraId="207AC93D">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0.10 </w:t>
                  </w:r>
                </w:p>
              </w:tc>
            </w:tr>
            <w:tr w14:paraId="108A8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4" w:type="pct"/>
                  <w:vMerge w:val="continue"/>
                  <w:tcBorders>
                    <w:tl2br w:val="nil"/>
                    <w:tr2bl w:val="nil"/>
                  </w:tcBorders>
                  <w:vAlign w:val="center"/>
                </w:tcPr>
                <w:p w14:paraId="0A75062C">
                  <w:pPr>
                    <w:adjustRightInd w:val="0"/>
                    <w:snapToGrid w:val="0"/>
                    <w:spacing w:line="240" w:lineRule="auto"/>
                    <w:ind w:firstLine="0" w:firstLineChars="0"/>
                    <w:jc w:val="center"/>
                    <w:rPr>
                      <w:rFonts w:hint="default" w:ascii="Times New Roman" w:hAnsi="Times New Roman" w:cs="Times New Roman"/>
                      <w:color w:val="0070C0"/>
                      <w:sz w:val="21"/>
                      <w:szCs w:val="21"/>
                    </w:rPr>
                  </w:pPr>
                </w:p>
              </w:tc>
              <w:tc>
                <w:tcPr>
                  <w:tcW w:w="839" w:type="pct"/>
                  <w:tcBorders>
                    <w:tl2br w:val="nil"/>
                    <w:tr2bl w:val="nil"/>
                  </w:tcBorders>
                  <w:shd w:val="clear" w:color="auto" w:fill="auto"/>
                  <w:noWrap/>
                  <w:vAlign w:val="center"/>
                </w:tcPr>
                <w:p w14:paraId="2B1D8636">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最小值</w:t>
                  </w:r>
                </w:p>
              </w:tc>
              <w:tc>
                <w:tcPr>
                  <w:tcW w:w="443" w:type="pct"/>
                  <w:tcBorders>
                    <w:tl2br w:val="nil"/>
                    <w:tr2bl w:val="nil"/>
                  </w:tcBorders>
                  <w:shd w:val="clear" w:color="auto" w:fill="auto"/>
                  <w:noWrap/>
                  <w:vAlign w:val="center"/>
                </w:tcPr>
                <w:p w14:paraId="21154FBF">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7.3 </w:t>
                  </w:r>
                </w:p>
              </w:tc>
              <w:tc>
                <w:tcPr>
                  <w:tcW w:w="740" w:type="pct"/>
                  <w:tcBorders>
                    <w:tl2br w:val="nil"/>
                    <w:tr2bl w:val="nil"/>
                  </w:tcBorders>
                  <w:shd w:val="clear" w:color="auto" w:fill="auto"/>
                  <w:noWrap/>
                  <w:vAlign w:val="center"/>
                </w:tcPr>
                <w:p w14:paraId="234870CE">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16 </w:t>
                  </w:r>
                </w:p>
              </w:tc>
              <w:tc>
                <w:tcPr>
                  <w:tcW w:w="495" w:type="pct"/>
                  <w:tcBorders>
                    <w:tl2br w:val="nil"/>
                    <w:tr2bl w:val="nil"/>
                  </w:tcBorders>
                  <w:shd w:val="clear" w:color="auto" w:fill="auto"/>
                  <w:noWrap/>
                  <w:vAlign w:val="center"/>
                </w:tcPr>
                <w:p w14:paraId="068B54A6">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22 </w:t>
                  </w:r>
                </w:p>
              </w:tc>
              <w:tc>
                <w:tcPr>
                  <w:tcW w:w="741" w:type="pct"/>
                  <w:tcBorders>
                    <w:tl2br w:val="nil"/>
                    <w:tr2bl w:val="nil"/>
                  </w:tcBorders>
                  <w:shd w:val="clear" w:color="auto" w:fill="auto"/>
                  <w:noWrap/>
                  <w:vAlign w:val="center"/>
                </w:tcPr>
                <w:p w14:paraId="0149C398">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0.241 </w:t>
                  </w:r>
                </w:p>
              </w:tc>
              <w:tc>
                <w:tcPr>
                  <w:tcW w:w="702" w:type="pct"/>
                  <w:tcBorders>
                    <w:tl2br w:val="nil"/>
                    <w:tr2bl w:val="nil"/>
                  </w:tcBorders>
                  <w:shd w:val="clear" w:color="auto" w:fill="auto"/>
                  <w:noWrap/>
                  <w:vAlign w:val="center"/>
                </w:tcPr>
                <w:p w14:paraId="20226AD3">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3.2 </w:t>
                  </w:r>
                </w:p>
              </w:tc>
              <w:tc>
                <w:tcPr>
                  <w:tcW w:w="731" w:type="pct"/>
                  <w:tcBorders>
                    <w:tl2br w:val="nil"/>
                    <w:tr2bl w:val="nil"/>
                  </w:tcBorders>
                  <w:shd w:val="clear" w:color="auto" w:fill="auto"/>
                  <w:noWrap/>
                  <w:vAlign w:val="center"/>
                </w:tcPr>
                <w:p w14:paraId="01A1B03B">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0.07 </w:t>
                  </w:r>
                </w:p>
              </w:tc>
            </w:tr>
            <w:tr w14:paraId="7D62A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4" w:type="pct"/>
                  <w:vMerge w:val="continue"/>
                  <w:tcBorders>
                    <w:tl2br w:val="nil"/>
                    <w:tr2bl w:val="nil"/>
                  </w:tcBorders>
                  <w:vAlign w:val="center"/>
                </w:tcPr>
                <w:p w14:paraId="63E3CD1A">
                  <w:pPr>
                    <w:adjustRightInd w:val="0"/>
                    <w:snapToGrid w:val="0"/>
                    <w:spacing w:line="240" w:lineRule="auto"/>
                    <w:ind w:firstLine="0" w:firstLineChars="0"/>
                    <w:jc w:val="center"/>
                    <w:rPr>
                      <w:rFonts w:hint="default" w:ascii="Times New Roman" w:hAnsi="Times New Roman" w:cs="Times New Roman"/>
                      <w:color w:val="0070C0"/>
                      <w:sz w:val="21"/>
                      <w:szCs w:val="21"/>
                    </w:rPr>
                  </w:pPr>
                </w:p>
              </w:tc>
              <w:tc>
                <w:tcPr>
                  <w:tcW w:w="839" w:type="pct"/>
                  <w:tcBorders>
                    <w:tl2br w:val="nil"/>
                    <w:tr2bl w:val="nil"/>
                  </w:tcBorders>
                  <w:shd w:val="clear" w:color="auto" w:fill="auto"/>
                  <w:noWrap/>
                  <w:vAlign w:val="center"/>
                </w:tcPr>
                <w:p w14:paraId="04584813">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平均值</w:t>
                  </w:r>
                </w:p>
              </w:tc>
              <w:tc>
                <w:tcPr>
                  <w:tcW w:w="443" w:type="pct"/>
                  <w:tcBorders>
                    <w:tl2br w:val="nil"/>
                    <w:tr2bl w:val="nil"/>
                  </w:tcBorders>
                  <w:shd w:val="clear" w:color="auto" w:fill="auto"/>
                  <w:noWrap/>
                  <w:vAlign w:val="center"/>
                </w:tcPr>
                <w:p w14:paraId="24EEA0CA">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7.4 </w:t>
                  </w:r>
                </w:p>
              </w:tc>
              <w:tc>
                <w:tcPr>
                  <w:tcW w:w="740" w:type="pct"/>
                  <w:tcBorders>
                    <w:tl2br w:val="nil"/>
                    <w:tr2bl w:val="nil"/>
                  </w:tcBorders>
                  <w:shd w:val="clear" w:color="auto" w:fill="auto"/>
                  <w:noWrap/>
                  <w:vAlign w:val="center"/>
                </w:tcPr>
                <w:p w14:paraId="3B9E5B54">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18 </w:t>
                  </w:r>
                </w:p>
              </w:tc>
              <w:tc>
                <w:tcPr>
                  <w:tcW w:w="495" w:type="pct"/>
                  <w:tcBorders>
                    <w:tl2br w:val="nil"/>
                    <w:tr2bl w:val="nil"/>
                  </w:tcBorders>
                  <w:shd w:val="clear" w:color="auto" w:fill="auto"/>
                  <w:noWrap/>
                  <w:vAlign w:val="center"/>
                </w:tcPr>
                <w:p w14:paraId="5706F1EB">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26 </w:t>
                  </w:r>
                </w:p>
              </w:tc>
              <w:tc>
                <w:tcPr>
                  <w:tcW w:w="741" w:type="pct"/>
                  <w:tcBorders>
                    <w:tl2br w:val="nil"/>
                    <w:tr2bl w:val="nil"/>
                  </w:tcBorders>
                  <w:shd w:val="clear" w:color="auto" w:fill="auto"/>
                  <w:noWrap/>
                  <w:vAlign w:val="center"/>
                </w:tcPr>
                <w:p w14:paraId="18890622">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0.344 </w:t>
                  </w:r>
                </w:p>
              </w:tc>
              <w:tc>
                <w:tcPr>
                  <w:tcW w:w="702" w:type="pct"/>
                  <w:tcBorders>
                    <w:tl2br w:val="nil"/>
                    <w:tr2bl w:val="nil"/>
                  </w:tcBorders>
                  <w:shd w:val="clear" w:color="auto" w:fill="auto"/>
                  <w:noWrap/>
                  <w:vAlign w:val="center"/>
                </w:tcPr>
                <w:p w14:paraId="33EA3E92">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3.6 </w:t>
                  </w:r>
                </w:p>
              </w:tc>
              <w:tc>
                <w:tcPr>
                  <w:tcW w:w="731" w:type="pct"/>
                  <w:tcBorders>
                    <w:tl2br w:val="nil"/>
                    <w:tr2bl w:val="nil"/>
                  </w:tcBorders>
                  <w:shd w:val="clear" w:color="auto" w:fill="auto"/>
                  <w:noWrap/>
                  <w:vAlign w:val="center"/>
                </w:tcPr>
                <w:p w14:paraId="563CF4C2">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0.09 </w:t>
                  </w:r>
                </w:p>
              </w:tc>
            </w:tr>
            <w:tr w14:paraId="02C711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4" w:type="pct"/>
                  <w:vMerge w:val="continue"/>
                  <w:tcBorders>
                    <w:tl2br w:val="nil"/>
                    <w:tr2bl w:val="nil"/>
                  </w:tcBorders>
                  <w:vAlign w:val="center"/>
                </w:tcPr>
                <w:p w14:paraId="7F172A6A">
                  <w:pPr>
                    <w:adjustRightInd w:val="0"/>
                    <w:snapToGrid w:val="0"/>
                    <w:spacing w:line="240" w:lineRule="auto"/>
                    <w:ind w:firstLine="0" w:firstLineChars="0"/>
                    <w:jc w:val="center"/>
                    <w:rPr>
                      <w:rFonts w:hint="default" w:ascii="Times New Roman" w:hAnsi="Times New Roman" w:cs="Times New Roman"/>
                      <w:color w:val="0070C0"/>
                      <w:sz w:val="21"/>
                      <w:szCs w:val="21"/>
                    </w:rPr>
                  </w:pPr>
                </w:p>
              </w:tc>
              <w:tc>
                <w:tcPr>
                  <w:tcW w:w="839" w:type="pct"/>
                  <w:tcBorders>
                    <w:tl2br w:val="nil"/>
                    <w:tr2bl w:val="nil"/>
                  </w:tcBorders>
                  <w:shd w:val="clear" w:color="auto" w:fill="auto"/>
                  <w:noWrap/>
                  <w:vAlign w:val="center"/>
                </w:tcPr>
                <w:p w14:paraId="386EFB84">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Ⅲ类标准值</w:t>
                  </w:r>
                </w:p>
              </w:tc>
              <w:tc>
                <w:tcPr>
                  <w:tcW w:w="443" w:type="pct"/>
                  <w:tcBorders>
                    <w:tl2br w:val="nil"/>
                    <w:tr2bl w:val="nil"/>
                  </w:tcBorders>
                  <w:shd w:val="clear" w:color="auto" w:fill="auto"/>
                  <w:noWrap/>
                  <w:vAlign w:val="center"/>
                </w:tcPr>
                <w:p w14:paraId="247659A5">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6～9</w:t>
                  </w:r>
                </w:p>
              </w:tc>
              <w:tc>
                <w:tcPr>
                  <w:tcW w:w="740" w:type="pct"/>
                  <w:tcBorders>
                    <w:tl2br w:val="nil"/>
                    <w:tr2bl w:val="nil"/>
                  </w:tcBorders>
                  <w:shd w:val="clear" w:color="auto" w:fill="auto"/>
                  <w:noWrap/>
                  <w:vAlign w:val="center"/>
                </w:tcPr>
                <w:p w14:paraId="5B161055">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20</w:t>
                  </w:r>
                </w:p>
              </w:tc>
              <w:tc>
                <w:tcPr>
                  <w:tcW w:w="495" w:type="pct"/>
                  <w:tcBorders>
                    <w:tl2br w:val="nil"/>
                    <w:tr2bl w:val="nil"/>
                  </w:tcBorders>
                  <w:shd w:val="clear" w:color="auto" w:fill="auto"/>
                  <w:noWrap/>
                  <w:vAlign w:val="center"/>
                </w:tcPr>
                <w:p w14:paraId="50F471BE">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w:t>
                  </w:r>
                </w:p>
              </w:tc>
              <w:tc>
                <w:tcPr>
                  <w:tcW w:w="741" w:type="pct"/>
                  <w:tcBorders>
                    <w:tl2br w:val="nil"/>
                    <w:tr2bl w:val="nil"/>
                  </w:tcBorders>
                  <w:shd w:val="clear" w:color="auto" w:fill="auto"/>
                  <w:noWrap/>
                  <w:vAlign w:val="center"/>
                </w:tcPr>
                <w:p w14:paraId="13490C23">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1</w:t>
                  </w:r>
                </w:p>
              </w:tc>
              <w:tc>
                <w:tcPr>
                  <w:tcW w:w="702" w:type="pct"/>
                  <w:tcBorders>
                    <w:tl2br w:val="nil"/>
                    <w:tr2bl w:val="nil"/>
                  </w:tcBorders>
                  <w:shd w:val="clear" w:color="auto" w:fill="auto"/>
                  <w:noWrap/>
                  <w:vAlign w:val="center"/>
                </w:tcPr>
                <w:p w14:paraId="464FDA76">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4</w:t>
                  </w:r>
                </w:p>
              </w:tc>
              <w:tc>
                <w:tcPr>
                  <w:tcW w:w="731" w:type="pct"/>
                  <w:tcBorders>
                    <w:tl2br w:val="nil"/>
                    <w:tr2bl w:val="nil"/>
                  </w:tcBorders>
                  <w:shd w:val="clear" w:color="auto" w:fill="auto"/>
                  <w:noWrap/>
                  <w:vAlign w:val="center"/>
                </w:tcPr>
                <w:p w14:paraId="204295C6">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0.2</w:t>
                  </w:r>
                </w:p>
              </w:tc>
            </w:tr>
            <w:tr w14:paraId="7ED4C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4" w:type="pct"/>
                  <w:vMerge w:val="continue"/>
                  <w:tcBorders>
                    <w:tl2br w:val="nil"/>
                    <w:tr2bl w:val="nil"/>
                  </w:tcBorders>
                  <w:vAlign w:val="center"/>
                </w:tcPr>
                <w:p w14:paraId="01410AA5">
                  <w:pPr>
                    <w:adjustRightInd w:val="0"/>
                    <w:snapToGrid w:val="0"/>
                    <w:spacing w:line="240" w:lineRule="auto"/>
                    <w:ind w:firstLine="0" w:firstLineChars="0"/>
                    <w:jc w:val="center"/>
                    <w:rPr>
                      <w:rFonts w:hint="default" w:ascii="Times New Roman" w:hAnsi="Times New Roman" w:cs="Times New Roman"/>
                      <w:color w:val="0070C0"/>
                      <w:sz w:val="21"/>
                      <w:szCs w:val="21"/>
                    </w:rPr>
                  </w:pPr>
                </w:p>
              </w:tc>
              <w:tc>
                <w:tcPr>
                  <w:tcW w:w="839" w:type="pct"/>
                  <w:tcBorders>
                    <w:tl2br w:val="nil"/>
                    <w:tr2bl w:val="nil"/>
                  </w:tcBorders>
                  <w:shd w:val="clear" w:color="auto" w:fill="auto"/>
                  <w:noWrap/>
                  <w:vAlign w:val="center"/>
                </w:tcPr>
                <w:p w14:paraId="08A2FE64">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污染指数</w:t>
                  </w:r>
                </w:p>
              </w:tc>
              <w:tc>
                <w:tcPr>
                  <w:tcW w:w="443" w:type="pct"/>
                  <w:tcBorders>
                    <w:tl2br w:val="nil"/>
                    <w:tr2bl w:val="nil"/>
                  </w:tcBorders>
                  <w:shd w:val="clear" w:color="auto" w:fill="auto"/>
                  <w:noWrap/>
                  <w:vAlign w:val="center"/>
                </w:tcPr>
                <w:p w14:paraId="23CA3EE4">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w:t>
                  </w:r>
                </w:p>
              </w:tc>
              <w:tc>
                <w:tcPr>
                  <w:tcW w:w="740" w:type="pct"/>
                  <w:tcBorders>
                    <w:tl2br w:val="nil"/>
                    <w:tr2bl w:val="nil"/>
                  </w:tcBorders>
                  <w:shd w:val="clear" w:color="auto" w:fill="auto"/>
                  <w:noWrap/>
                  <w:vAlign w:val="center"/>
                </w:tcPr>
                <w:p w14:paraId="36167927">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0.80-0.95</w:t>
                  </w:r>
                </w:p>
              </w:tc>
              <w:tc>
                <w:tcPr>
                  <w:tcW w:w="495" w:type="pct"/>
                  <w:tcBorders>
                    <w:tl2br w:val="nil"/>
                    <w:tr2bl w:val="nil"/>
                  </w:tcBorders>
                  <w:shd w:val="clear" w:color="auto" w:fill="auto"/>
                  <w:noWrap/>
                  <w:vAlign w:val="center"/>
                </w:tcPr>
                <w:p w14:paraId="13C50AAE">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w:t>
                  </w:r>
                </w:p>
              </w:tc>
              <w:tc>
                <w:tcPr>
                  <w:tcW w:w="741" w:type="pct"/>
                  <w:tcBorders>
                    <w:tl2br w:val="nil"/>
                    <w:tr2bl w:val="nil"/>
                  </w:tcBorders>
                  <w:shd w:val="clear" w:color="auto" w:fill="auto"/>
                  <w:noWrap/>
                  <w:vAlign w:val="center"/>
                </w:tcPr>
                <w:p w14:paraId="0AFFAAEB">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0.24-0.46</w:t>
                  </w:r>
                </w:p>
              </w:tc>
              <w:tc>
                <w:tcPr>
                  <w:tcW w:w="702" w:type="pct"/>
                  <w:tcBorders>
                    <w:tl2br w:val="nil"/>
                    <w:tr2bl w:val="nil"/>
                  </w:tcBorders>
                  <w:shd w:val="clear" w:color="auto" w:fill="auto"/>
                  <w:noWrap/>
                  <w:vAlign w:val="center"/>
                </w:tcPr>
                <w:p w14:paraId="688BD28D">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0.80-0.98</w:t>
                  </w:r>
                </w:p>
              </w:tc>
              <w:tc>
                <w:tcPr>
                  <w:tcW w:w="731" w:type="pct"/>
                  <w:tcBorders>
                    <w:tl2br w:val="nil"/>
                    <w:tr2bl w:val="nil"/>
                  </w:tcBorders>
                  <w:shd w:val="clear" w:color="auto" w:fill="auto"/>
                  <w:noWrap/>
                  <w:vAlign w:val="center"/>
                </w:tcPr>
                <w:p w14:paraId="4E15950C">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0.35-0.50</w:t>
                  </w:r>
                </w:p>
              </w:tc>
            </w:tr>
            <w:tr w14:paraId="2ED68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4" w:type="pct"/>
                  <w:vMerge w:val="continue"/>
                  <w:tcBorders>
                    <w:tl2br w:val="nil"/>
                    <w:tr2bl w:val="nil"/>
                  </w:tcBorders>
                  <w:vAlign w:val="center"/>
                </w:tcPr>
                <w:p w14:paraId="52B01751">
                  <w:pPr>
                    <w:adjustRightInd w:val="0"/>
                    <w:snapToGrid w:val="0"/>
                    <w:spacing w:line="240" w:lineRule="auto"/>
                    <w:ind w:firstLine="0" w:firstLineChars="0"/>
                    <w:jc w:val="center"/>
                    <w:rPr>
                      <w:rFonts w:hint="default" w:ascii="Times New Roman" w:hAnsi="Times New Roman" w:cs="Times New Roman"/>
                      <w:color w:val="0070C0"/>
                      <w:sz w:val="21"/>
                      <w:szCs w:val="21"/>
                    </w:rPr>
                  </w:pPr>
                </w:p>
              </w:tc>
              <w:tc>
                <w:tcPr>
                  <w:tcW w:w="839" w:type="pct"/>
                  <w:tcBorders>
                    <w:tl2br w:val="nil"/>
                    <w:tr2bl w:val="nil"/>
                  </w:tcBorders>
                  <w:shd w:val="clear" w:color="auto" w:fill="auto"/>
                  <w:noWrap/>
                  <w:vAlign w:val="center"/>
                </w:tcPr>
                <w:p w14:paraId="2ED3368E">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超标率（%）</w:t>
                  </w:r>
                </w:p>
              </w:tc>
              <w:tc>
                <w:tcPr>
                  <w:tcW w:w="443" w:type="pct"/>
                  <w:tcBorders>
                    <w:tl2br w:val="nil"/>
                    <w:tr2bl w:val="nil"/>
                  </w:tcBorders>
                  <w:shd w:val="clear" w:color="auto" w:fill="auto"/>
                  <w:noWrap/>
                  <w:vAlign w:val="center"/>
                </w:tcPr>
                <w:p w14:paraId="31EE9908">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 </w:t>
                  </w:r>
                </w:p>
              </w:tc>
              <w:tc>
                <w:tcPr>
                  <w:tcW w:w="740" w:type="pct"/>
                  <w:tcBorders>
                    <w:tl2br w:val="nil"/>
                    <w:tr2bl w:val="nil"/>
                  </w:tcBorders>
                  <w:shd w:val="clear" w:color="auto" w:fill="auto"/>
                  <w:noWrap/>
                  <w:vAlign w:val="center"/>
                </w:tcPr>
                <w:p w14:paraId="125ACD91">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 </w:t>
                  </w:r>
                </w:p>
              </w:tc>
              <w:tc>
                <w:tcPr>
                  <w:tcW w:w="495" w:type="pct"/>
                  <w:tcBorders>
                    <w:tl2br w:val="nil"/>
                    <w:tr2bl w:val="nil"/>
                  </w:tcBorders>
                  <w:shd w:val="clear" w:color="auto" w:fill="auto"/>
                  <w:noWrap/>
                  <w:vAlign w:val="center"/>
                </w:tcPr>
                <w:p w14:paraId="2E26A0CB">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w:t>
                  </w:r>
                </w:p>
              </w:tc>
              <w:tc>
                <w:tcPr>
                  <w:tcW w:w="741" w:type="pct"/>
                  <w:tcBorders>
                    <w:tl2br w:val="nil"/>
                    <w:tr2bl w:val="nil"/>
                  </w:tcBorders>
                  <w:shd w:val="clear" w:color="auto" w:fill="auto"/>
                  <w:noWrap/>
                  <w:vAlign w:val="center"/>
                </w:tcPr>
                <w:p w14:paraId="66B3986D">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 </w:t>
                  </w:r>
                </w:p>
              </w:tc>
              <w:tc>
                <w:tcPr>
                  <w:tcW w:w="702" w:type="pct"/>
                  <w:tcBorders>
                    <w:tl2br w:val="nil"/>
                    <w:tr2bl w:val="nil"/>
                  </w:tcBorders>
                  <w:shd w:val="clear" w:color="auto" w:fill="auto"/>
                  <w:noWrap/>
                  <w:vAlign w:val="center"/>
                </w:tcPr>
                <w:p w14:paraId="5DC2A15C">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 </w:t>
                  </w:r>
                </w:p>
              </w:tc>
              <w:tc>
                <w:tcPr>
                  <w:tcW w:w="731" w:type="pct"/>
                  <w:tcBorders>
                    <w:tl2br w:val="nil"/>
                    <w:tr2bl w:val="nil"/>
                  </w:tcBorders>
                  <w:shd w:val="clear" w:color="auto" w:fill="auto"/>
                  <w:noWrap/>
                  <w:vAlign w:val="center"/>
                </w:tcPr>
                <w:p w14:paraId="736B98B3">
                  <w:pPr>
                    <w:adjustRightInd w:val="0"/>
                    <w:snapToGrid w:val="0"/>
                    <w:spacing w:line="240" w:lineRule="auto"/>
                    <w:ind w:firstLine="0" w:firstLineChars="0"/>
                    <w:jc w:val="center"/>
                    <w:rPr>
                      <w:rFonts w:hint="default" w:ascii="Times New Roman" w:hAnsi="Times New Roman" w:cs="Times New Roman"/>
                      <w:color w:val="0070C0"/>
                      <w:sz w:val="21"/>
                      <w:szCs w:val="21"/>
                    </w:rPr>
                  </w:pPr>
                  <w:r>
                    <w:rPr>
                      <w:rFonts w:hint="default" w:ascii="Times New Roman" w:hAnsi="Times New Roman" w:cs="Times New Roman"/>
                      <w:color w:val="0070C0"/>
                      <w:sz w:val="21"/>
                      <w:szCs w:val="21"/>
                    </w:rPr>
                    <w:t xml:space="preserve">0 </w:t>
                  </w:r>
                </w:p>
              </w:tc>
            </w:tr>
          </w:tbl>
          <w:p w14:paraId="3F268898">
            <w:pPr>
              <w:widowControl/>
              <w:adjustRightInd w:val="0"/>
              <w:snapToGrid w:val="0"/>
              <w:spacing w:line="360" w:lineRule="auto"/>
              <w:ind w:firstLine="480" w:firstLineChars="200"/>
              <w:jc w:val="left"/>
              <w:rPr>
                <w:rFonts w:hint="default" w:ascii="Times New Roman" w:hAnsi="Times New Roman" w:eastAsia="宋体" w:cs="Times New Roman"/>
                <w:b/>
                <w:bCs w:val="0"/>
                <w:color w:val="0070C0"/>
                <w:kern w:val="0"/>
                <w:sz w:val="24"/>
                <w:szCs w:val="24"/>
                <w:lang w:val="en-US" w:eastAsia="zh-CN"/>
              </w:rPr>
            </w:pPr>
            <w:r>
              <w:rPr>
                <w:rFonts w:hint="default" w:ascii="Times New Roman" w:hAnsi="Times New Roman" w:cs="Times New Roman"/>
                <w:color w:val="0070C0"/>
                <w:sz w:val="24"/>
                <w:szCs w:val="24"/>
                <w:lang w:val="en-US" w:eastAsia="zh-CN"/>
              </w:rPr>
              <w:t>高阳河</w:t>
            </w:r>
            <w:r>
              <w:rPr>
                <w:rFonts w:hint="default" w:ascii="Times New Roman" w:hAnsi="Times New Roman" w:cs="Times New Roman"/>
                <w:color w:val="0070C0"/>
                <w:sz w:val="24"/>
                <w:szCs w:val="24"/>
              </w:rPr>
              <w:t>W1、W2、W3断面各污染物均符合《地表水环境质量标准》（GB3838-2002）Ⅲ类水体功能标准</w:t>
            </w:r>
            <w:r>
              <w:rPr>
                <w:rFonts w:hint="default" w:ascii="Times New Roman" w:hAnsi="Times New Roman" w:cs="Times New Roman"/>
                <w:color w:val="0070C0"/>
                <w:sz w:val="24"/>
                <w:szCs w:val="24"/>
                <w:lang w:eastAsia="zh-CN"/>
              </w:rPr>
              <w:t>。</w:t>
            </w:r>
          </w:p>
          <w:p w14:paraId="66F17DD9">
            <w:pPr>
              <w:widowControl/>
              <w:adjustRightInd w:val="0"/>
              <w:snapToGrid w:val="0"/>
              <w:spacing w:line="360" w:lineRule="auto"/>
              <w:ind w:firstLine="482" w:firstLineChars="200"/>
              <w:jc w:val="left"/>
              <w:rPr>
                <w:rFonts w:hint="default" w:ascii="Times New Roman" w:hAnsi="Times New Roman" w:eastAsia="宋体" w:cs="Times New Roman"/>
                <w:b/>
                <w:bCs w:val="0"/>
                <w:color w:val="auto"/>
                <w:kern w:val="0"/>
                <w:sz w:val="24"/>
                <w:szCs w:val="20"/>
                <w:highlight w:val="none"/>
              </w:rPr>
            </w:pPr>
            <w:r>
              <w:rPr>
                <w:rFonts w:hint="default" w:ascii="Times New Roman" w:hAnsi="Times New Roman" w:eastAsia="宋体" w:cs="Times New Roman"/>
                <w:b/>
                <w:bCs w:val="0"/>
                <w:color w:val="auto"/>
                <w:kern w:val="0"/>
                <w:sz w:val="24"/>
                <w:szCs w:val="20"/>
                <w:highlight w:val="none"/>
              </w:rPr>
              <w:t>3.声环境质量现状</w:t>
            </w:r>
          </w:p>
          <w:p w14:paraId="6197D449">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right="0"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0070C0"/>
                <w:sz w:val="24"/>
                <w:szCs w:val="24"/>
                <w:lang w:val="en-US" w:eastAsia="zh-CN"/>
              </w:rPr>
              <w:t>根据《2024年度镇江市生态环境状况公报》，2024年，全市1~4类功能区声环境昼间和夜间等效声级年均值均达到国家标准。与上年相比，1类功能区昼间和夜间等效声级均略有下降，2类、3类、4类功能区昼间和夜间等效声级均略有上升。根据《声环境质量标准》（GB 3096-2008）标准，镇江市1~4类功能区声环境昼间达标率分别为96.8%、100.0%、100.0%、100.0%，夜间达标率分别为80.6%、100.0%、91.7%、95.0%。与上年相比，1类功能区噪声昼间达标率上升9.3个百分点，夜间达标率下降0.7个百分点；2类功能区昼间和夜间达标率均上升4.2个百分点；3类功能区昼间达标率持平，夜间达标率下降2.7个百分点；4类功能区昼间达标率持平，夜间达标率下降5.0个百分点。根据《环境噪声监测技术规范 城市声环境常规监测》（HJ 640-2012），全市道路交通噪声强度等级为一级，处于“好”水平。其中昼间平均等效声级为63.2分贝，与上年相比，下降0.6分贝。</w:t>
            </w:r>
          </w:p>
          <w:p w14:paraId="78254F15">
            <w:pPr>
              <w:adjustRightInd w:val="0"/>
              <w:snapToGrid w:val="0"/>
              <w:spacing w:line="360" w:lineRule="auto"/>
              <w:ind w:firstLine="480" w:firstLineChars="200"/>
              <w:rPr>
                <w:color w:val="auto"/>
                <w:sz w:val="24"/>
                <w:szCs w:val="24"/>
                <w:highlight w:val="none"/>
              </w:rPr>
            </w:pPr>
            <w:r>
              <w:rPr>
                <w:color w:val="auto"/>
                <w:kern w:val="0"/>
                <w:sz w:val="24"/>
                <w:szCs w:val="24"/>
                <w:highlight w:val="none"/>
              </w:rPr>
              <w:t>本项目厂界外周边50</w:t>
            </w:r>
            <w:r>
              <w:rPr>
                <w:rFonts w:hint="eastAsia"/>
                <w:color w:val="auto"/>
                <w:kern w:val="0"/>
                <w:sz w:val="24"/>
                <w:szCs w:val="24"/>
                <w:highlight w:val="none"/>
              </w:rPr>
              <w:t>米</w:t>
            </w:r>
            <w:r>
              <w:rPr>
                <w:color w:val="auto"/>
                <w:kern w:val="0"/>
                <w:sz w:val="24"/>
                <w:szCs w:val="24"/>
                <w:highlight w:val="none"/>
              </w:rPr>
              <w:t>范围内无声环境保护目标，因此本项目无需对声环境保护目标进行声环境质量现状进行调查。</w:t>
            </w:r>
          </w:p>
          <w:p w14:paraId="3F321D1C">
            <w:pPr>
              <w:keepNext w:val="0"/>
              <w:keepLines w:val="0"/>
              <w:pageBreakBefore w:val="0"/>
              <w:widowControl/>
              <w:kinsoku/>
              <w:wordWrap/>
              <w:overflowPunct/>
              <w:topLinePunct w:val="0"/>
              <w:bidi w:val="0"/>
              <w:adjustRightInd w:val="0"/>
              <w:snapToGrid w:val="0"/>
              <w:spacing w:line="360" w:lineRule="auto"/>
              <w:ind w:left="0" w:leftChars="0" w:firstLine="482" w:firstLineChars="200"/>
              <w:jc w:val="both"/>
              <w:textAlignment w:val="auto"/>
              <w:rPr>
                <w:rFonts w:hint="default" w:ascii="Times New Roman" w:hAnsi="Times New Roman" w:eastAsia="宋体" w:cs="Times New Roman"/>
                <w:b/>
                <w:bCs w:val="0"/>
                <w:color w:val="auto"/>
                <w:kern w:val="0"/>
                <w:sz w:val="24"/>
                <w:szCs w:val="20"/>
                <w:highlight w:val="none"/>
              </w:rPr>
            </w:pPr>
            <w:r>
              <w:rPr>
                <w:rFonts w:hint="default" w:ascii="Times New Roman" w:hAnsi="Times New Roman" w:eastAsia="宋体" w:cs="Times New Roman"/>
                <w:b/>
                <w:bCs w:val="0"/>
                <w:color w:val="auto"/>
                <w:kern w:val="0"/>
                <w:sz w:val="24"/>
                <w:szCs w:val="20"/>
                <w:highlight w:val="none"/>
              </w:rPr>
              <w:t>4.生态环境质量现状</w:t>
            </w:r>
          </w:p>
          <w:p w14:paraId="4A86A95C">
            <w:pPr>
              <w:pStyle w:val="36"/>
              <w:keepNext w:val="0"/>
              <w:keepLines w:val="0"/>
              <w:pageBreakBefore w:val="0"/>
              <w:numPr>
                <w:ilvl w:val="0"/>
                <w:numId w:val="0"/>
              </w:numPr>
              <w:kinsoku/>
              <w:wordWrap/>
              <w:overflowPunct/>
              <w:topLinePunct w:val="0"/>
              <w:bidi w:val="0"/>
              <w:spacing w:before="0" w:after="0" w:line="360" w:lineRule="auto"/>
              <w:ind w:firstLine="480" w:firstLineChars="200"/>
              <w:jc w:val="both"/>
              <w:textAlignment w:val="auto"/>
              <w:rPr>
                <w:rFonts w:hint="default" w:ascii="Times New Roman" w:hAnsi="Times New Roman" w:eastAsia="宋体" w:cs="Times New Roman"/>
                <w:b w:val="0"/>
                <w:bCs/>
                <w:color w:val="auto"/>
                <w:kern w:val="0"/>
                <w:sz w:val="24"/>
                <w:szCs w:val="24"/>
                <w:highlight w:val="none"/>
                <w:lang w:val="en-US" w:eastAsia="zh-CN" w:bidi="ar"/>
              </w:rPr>
            </w:pPr>
            <w:r>
              <w:rPr>
                <w:rFonts w:hint="default" w:ascii="Times New Roman" w:hAnsi="Times New Roman" w:eastAsia="宋体" w:cs="Times New Roman"/>
                <w:b w:val="0"/>
                <w:bCs/>
                <w:color w:val="auto"/>
                <w:kern w:val="0"/>
                <w:sz w:val="24"/>
                <w:szCs w:val="24"/>
                <w:highlight w:val="none"/>
                <w:lang w:val="en-US" w:eastAsia="zh-CN" w:bidi="ar"/>
              </w:rPr>
              <w:t>本项目自购</w:t>
            </w:r>
            <w:r>
              <w:rPr>
                <w:rFonts w:hint="eastAsia" w:cs="Times New Roman"/>
                <w:b w:val="0"/>
                <w:bCs/>
                <w:color w:val="auto"/>
                <w:kern w:val="0"/>
                <w:sz w:val="24"/>
                <w:szCs w:val="24"/>
                <w:highlight w:val="none"/>
                <w:lang w:val="en-US" w:eastAsia="zh-CN" w:bidi="ar"/>
              </w:rPr>
              <w:t>句容市郭庄镇空港大道9号2幢</w:t>
            </w:r>
            <w:r>
              <w:rPr>
                <w:rFonts w:hint="default" w:ascii="Times New Roman" w:hAnsi="Times New Roman" w:eastAsia="宋体" w:cs="Times New Roman"/>
                <w:b w:val="0"/>
                <w:bCs/>
                <w:color w:val="auto"/>
                <w:kern w:val="0"/>
                <w:sz w:val="24"/>
                <w:szCs w:val="24"/>
                <w:highlight w:val="none"/>
                <w:lang w:val="en-US" w:eastAsia="zh-CN" w:bidi="ar"/>
              </w:rPr>
              <w:t>用于本项目生产使用，厂房用地性质为工业</w:t>
            </w:r>
            <w:r>
              <w:rPr>
                <w:rFonts w:hint="eastAsia" w:cs="Times New Roman"/>
                <w:b w:val="0"/>
                <w:bCs/>
                <w:color w:val="auto"/>
                <w:kern w:val="0"/>
                <w:sz w:val="24"/>
                <w:szCs w:val="24"/>
                <w:highlight w:val="none"/>
                <w:lang w:val="en-US" w:eastAsia="zh-CN" w:bidi="ar"/>
              </w:rPr>
              <w:t>用地</w:t>
            </w:r>
            <w:r>
              <w:rPr>
                <w:rFonts w:hint="default" w:ascii="Times New Roman" w:hAnsi="Times New Roman" w:eastAsia="宋体" w:cs="Times New Roman"/>
                <w:b w:val="0"/>
                <w:bCs/>
                <w:color w:val="auto"/>
                <w:kern w:val="0"/>
                <w:sz w:val="24"/>
                <w:szCs w:val="24"/>
                <w:highlight w:val="none"/>
                <w:lang w:val="en-US" w:eastAsia="zh-CN" w:bidi="ar"/>
              </w:rPr>
              <w:t>。建设项目用地不新增土地，且现有用地不涉及生态环境保护目标，因此不进行生态现状调查。</w:t>
            </w:r>
          </w:p>
          <w:p w14:paraId="3E7AD285">
            <w:pPr>
              <w:pStyle w:val="36"/>
              <w:keepNext w:val="0"/>
              <w:keepLines w:val="0"/>
              <w:pageBreakBefore w:val="0"/>
              <w:numPr>
                <w:ilvl w:val="0"/>
                <w:numId w:val="0"/>
              </w:numPr>
              <w:kinsoku/>
              <w:wordWrap/>
              <w:overflowPunct/>
              <w:topLinePunct w:val="0"/>
              <w:bidi w:val="0"/>
              <w:spacing w:before="0" w:after="0" w:line="360" w:lineRule="auto"/>
              <w:ind w:firstLine="482" w:firstLineChars="200"/>
              <w:jc w:val="both"/>
              <w:textAlignment w:val="auto"/>
              <w:rPr>
                <w:rFonts w:hint="default" w:ascii="Times New Roman" w:hAnsi="Times New Roman" w:eastAsia="宋体" w:cs="Times New Roman"/>
                <w:b/>
                <w:bCs w:val="0"/>
                <w:color w:val="auto"/>
                <w:kern w:val="0"/>
                <w:sz w:val="24"/>
                <w:szCs w:val="24"/>
                <w:highlight w:val="none"/>
                <w:lang w:val="en-US" w:eastAsia="zh-CN" w:bidi="ar"/>
              </w:rPr>
            </w:pPr>
            <w:r>
              <w:rPr>
                <w:rFonts w:hint="default" w:ascii="Times New Roman" w:hAnsi="Times New Roman" w:eastAsia="宋体" w:cs="Times New Roman"/>
                <w:b/>
                <w:bCs w:val="0"/>
                <w:color w:val="auto"/>
                <w:kern w:val="0"/>
                <w:sz w:val="24"/>
                <w:szCs w:val="24"/>
                <w:highlight w:val="none"/>
                <w:lang w:val="en-US" w:eastAsia="zh-CN" w:bidi="ar"/>
              </w:rPr>
              <w:t>5.电磁辐射</w:t>
            </w:r>
          </w:p>
          <w:p w14:paraId="2022F30C">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本项目不属于新建或改建、扩建广播电台、差转台、电视塔台、卫星地球上行站、雷达等电磁辐射类项目。因此，不进行电磁辐射现状监测和评价。</w:t>
            </w:r>
          </w:p>
          <w:p w14:paraId="342816F4">
            <w:pPr>
              <w:keepNext w:val="0"/>
              <w:keepLines w:val="0"/>
              <w:pageBreakBefore w:val="0"/>
              <w:widowControl/>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eastAsia="宋体" w:cs="Times New Roman"/>
                <w:b/>
                <w:bCs w:val="0"/>
                <w:color w:val="auto"/>
                <w:kern w:val="0"/>
                <w:sz w:val="24"/>
                <w:szCs w:val="20"/>
                <w:highlight w:val="none"/>
              </w:rPr>
            </w:pPr>
            <w:r>
              <w:rPr>
                <w:rFonts w:hint="eastAsia" w:cs="Times New Roman"/>
                <w:b/>
                <w:bCs w:val="0"/>
                <w:color w:val="auto"/>
                <w:kern w:val="0"/>
                <w:sz w:val="24"/>
                <w:szCs w:val="20"/>
                <w:highlight w:val="none"/>
                <w:lang w:val="en-US" w:eastAsia="zh-CN"/>
              </w:rPr>
              <w:t>6</w:t>
            </w:r>
            <w:r>
              <w:rPr>
                <w:rFonts w:hint="default" w:ascii="Times New Roman" w:hAnsi="Times New Roman" w:eastAsia="宋体" w:cs="Times New Roman"/>
                <w:b/>
                <w:bCs w:val="0"/>
                <w:color w:val="auto"/>
                <w:kern w:val="0"/>
                <w:sz w:val="24"/>
                <w:szCs w:val="20"/>
                <w:highlight w:val="none"/>
              </w:rPr>
              <w:t>、土壤、地下水环境</w:t>
            </w:r>
          </w:p>
          <w:p w14:paraId="67FC7272">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auto"/>
              <w:rPr>
                <w:rFonts w:eastAsiaTheme="minorEastAsia"/>
                <w:color w:val="auto"/>
                <w:kern w:val="0"/>
                <w:sz w:val="24"/>
                <w:highlight w:val="none"/>
              </w:rPr>
            </w:pPr>
            <w:r>
              <w:rPr>
                <w:rFonts w:hint="default" w:ascii="Times New Roman" w:hAnsi="Times New Roman" w:eastAsia="宋体" w:cs="Times New Roman"/>
                <w:b w:val="0"/>
                <w:bCs/>
                <w:color w:val="auto"/>
                <w:kern w:val="0"/>
                <w:sz w:val="24"/>
                <w:highlight w:val="none"/>
                <w:lang w:val="en-US" w:eastAsia="zh-CN"/>
              </w:rPr>
              <w:t>本项目</w:t>
            </w:r>
            <w:r>
              <w:rPr>
                <w:rFonts w:hint="eastAsia" w:cs="Times New Roman"/>
                <w:b w:val="0"/>
                <w:bCs/>
                <w:color w:val="auto"/>
                <w:kern w:val="0"/>
                <w:sz w:val="24"/>
                <w:highlight w:val="none"/>
                <w:lang w:val="en-US" w:eastAsia="zh-CN"/>
              </w:rPr>
              <w:t>位于</w:t>
            </w:r>
            <w:r>
              <w:rPr>
                <w:rFonts w:hint="eastAsia" w:cs="Times New Roman"/>
                <w:b w:val="0"/>
                <w:bCs/>
                <w:color w:val="auto"/>
                <w:kern w:val="0"/>
                <w:sz w:val="24"/>
                <w:szCs w:val="24"/>
                <w:highlight w:val="none"/>
                <w:lang w:val="en-US" w:eastAsia="zh-CN" w:bidi="ar"/>
              </w:rPr>
              <w:t>句容市郭庄镇空港大道9号2幢</w:t>
            </w:r>
            <w:r>
              <w:rPr>
                <w:rFonts w:hint="eastAsia" w:cs="Times New Roman"/>
                <w:b w:val="0"/>
                <w:bCs/>
                <w:color w:val="auto"/>
                <w:kern w:val="0"/>
                <w:sz w:val="24"/>
                <w:highlight w:val="none"/>
                <w:lang w:val="en-US" w:eastAsia="zh-CN"/>
              </w:rPr>
              <w:t>，厂区地面均进行了硬化</w:t>
            </w:r>
            <w:r>
              <w:rPr>
                <w:rFonts w:hint="default" w:ascii="Times New Roman" w:hAnsi="Times New Roman" w:eastAsia="宋体" w:cs="Times New Roman"/>
                <w:b w:val="0"/>
                <w:bCs/>
                <w:color w:val="auto"/>
                <w:kern w:val="0"/>
                <w:sz w:val="24"/>
                <w:highlight w:val="none"/>
                <w:lang w:val="en-US" w:eastAsia="zh-CN"/>
              </w:rPr>
              <w:t>，固废均按照相关要求做好防渗、防雨、防漏、防火等防范措施。因此，不存在土壤、地下水环境污染途径，不开展地下水、土壤环境质量现状调查。</w:t>
            </w:r>
          </w:p>
        </w:tc>
      </w:tr>
      <w:tr w14:paraId="584E3A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33" w:type="pct"/>
            <w:vAlign w:val="center"/>
          </w:tcPr>
          <w:p w14:paraId="2F71B673">
            <w:pPr>
              <w:adjustRightInd w:val="0"/>
              <w:snapToGrid w:val="0"/>
              <w:jc w:val="center"/>
              <w:rPr>
                <w:rFonts w:eastAsiaTheme="minorEastAsia"/>
                <w:b/>
                <w:bCs/>
                <w:color w:val="auto"/>
                <w:kern w:val="0"/>
                <w:szCs w:val="21"/>
                <w:highlight w:val="none"/>
              </w:rPr>
            </w:pPr>
            <w:r>
              <w:rPr>
                <w:rFonts w:eastAsiaTheme="minorEastAsia"/>
                <w:b/>
                <w:bCs/>
                <w:color w:val="auto"/>
                <w:kern w:val="0"/>
                <w:szCs w:val="21"/>
                <w:highlight w:val="none"/>
              </w:rPr>
              <w:t>环境</w:t>
            </w:r>
          </w:p>
          <w:p w14:paraId="49B5CE76">
            <w:pPr>
              <w:adjustRightInd w:val="0"/>
              <w:snapToGrid w:val="0"/>
              <w:jc w:val="center"/>
              <w:rPr>
                <w:rFonts w:eastAsiaTheme="minorEastAsia"/>
                <w:b/>
                <w:bCs/>
                <w:color w:val="auto"/>
                <w:kern w:val="0"/>
                <w:szCs w:val="21"/>
                <w:highlight w:val="none"/>
              </w:rPr>
            </w:pPr>
            <w:r>
              <w:rPr>
                <w:rFonts w:eastAsiaTheme="minorEastAsia"/>
                <w:b/>
                <w:bCs/>
                <w:color w:val="auto"/>
                <w:kern w:val="0"/>
                <w:szCs w:val="21"/>
                <w:highlight w:val="none"/>
              </w:rPr>
              <w:t>保护</w:t>
            </w:r>
          </w:p>
          <w:p w14:paraId="3337DAB0">
            <w:pPr>
              <w:adjustRightInd w:val="0"/>
              <w:snapToGrid w:val="0"/>
              <w:jc w:val="center"/>
              <w:rPr>
                <w:rFonts w:eastAsiaTheme="minorEastAsia"/>
                <w:b/>
                <w:bCs/>
                <w:color w:val="auto"/>
                <w:kern w:val="0"/>
                <w:szCs w:val="21"/>
                <w:highlight w:val="none"/>
              </w:rPr>
            </w:pPr>
            <w:r>
              <w:rPr>
                <w:rFonts w:eastAsiaTheme="minorEastAsia"/>
                <w:b/>
                <w:bCs/>
                <w:color w:val="auto"/>
                <w:kern w:val="0"/>
                <w:szCs w:val="21"/>
                <w:highlight w:val="none"/>
              </w:rPr>
              <w:t>目标</w:t>
            </w:r>
          </w:p>
        </w:tc>
        <w:tc>
          <w:tcPr>
            <w:tcW w:w="4766" w:type="pct"/>
            <w:vAlign w:val="center"/>
          </w:tcPr>
          <w:p w14:paraId="2001D3C9">
            <w:pPr>
              <w:adjustRightInd w:val="0"/>
              <w:snapToGrid w:val="0"/>
              <w:spacing w:line="360" w:lineRule="auto"/>
              <w:ind w:firstLine="482" w:firstLineChars="200"/>
              <w:outlineLvl w:val="2"/>
              <w:rPr>
                <w:b/>
                <w:color w:val="auto"/>
                <w:sz w:val="24"/>
                <w:highlight w:val="none"/>
                <w:lang w:val="zh-CN"/>
              </w:rPr>
            </w:pPr>
            <w:r>
              <w:rPr>
                <w:b/>
                <w:color w:val="auto"/>
                <w:sz w:val="24"/>
                <w:highlight w:val="none"/>
                <w:lang w:val="zh-CN"/>
              </w:rPr>
              <w:t>1.大气环境</w:t>
            </w:r>
          </w:p>
          <w:p w14:paraId="0BAB5B41">
            <w:pPr>
              <w:pStyle w:val="8"/>
              <w:spacing w:line="360" w:lineRule="auto"/>
              <w:ind w:firstLine="480"/>
              <w:rPr>
                <w:color w:val="auto"/>
                <w:sz w:val="24"/>
                <w:highlight w:val="none"/>
              </w:rPr>
            </w:pPr>
            <w:bookmarkStart w:id="12" w:name="_Ref67032338"/>
            <w:bookmarkStart w:id="13" w:name="_Ref5020553"/>
            <w:r>
              <w:rPr>
                <w:rFonts w:hint="default" w:ascii="Times New Roman" w:hAnsi="Times New Roman" w:cs="Times New Roman"/>
                <w:color w:val="auto"/>
                <w:sz w:val="24"/>
                <w:highlight w:val="none"/>
              </w:rPr>
              <w:t>本项目位于</w:t>
            </w:r>
            <w:r>
              <w:rPr>
                <w:rFonts w:hint="eastAsia" w:ascii="Times New Roman" w:hAnsi="Times New Roman" w:cs="Times New Roman"/>
                <w:color w:val="auto"/>
                <w:highlight w:val="none"/>
                <w:lang w:eastAsia="zh-CN"/>
              </w:rPr>
              <w:t>句容市郭庄镇空港大道9号2幢</w:t>
            </w:r>
            <w:r>
              <w:rPr>
                <w:rFonts w:hint="default" w:ascii="Times New Roman" w:hAnsi="Times New Roman" w:cs="Times New Roman"/>
                <w:color w:val="auto"/>
                <w:sz w:val="24"/>
                <w:highlight w:val="none"/>
              </w:rPr>
              <w:t>，</w:t>
            </w:r>
            <w:bookmarkEnd w:id="12"/>
            <w:bookmarkEnd w:id="13"/>
            <w:r>
              <w:rPr>
                <w:rFonts w:hint="default" w:ascii="Times New Roman" w:hAnsi="Times New Roman" w:cs="Times New Roman"/>
                <w:color w:val="auto"/>
                <w:sz w:val="24"/>
                <w:highlight w:val="none"/>
              </w:rPr>
              <w:t>本项目周边500米范围内无自然保护区、风景名胜区、居住区、文化区和农村地区，无大气环境保护目标。</w:t>
            </w:r>
          </w:p>
          <w:p w14:paraId="21F18428">
            <w:pPr>
              <w:adjustRightInd w:val="0"/>
              <w:snapToGrid w:val="0"/>
              <w:spacing w:line="360" w:lineRule="auto"/>
              <w:ind w:firstLine="482" w:firstLineChars="200"/>
              <w:outlineLvl w:val="2"/>
              <w:rPr>
                <w:b/>
                <w:color w:val="auto"/>
                <w:sz w:val="24"/>
                <w:highlight w:val="none"/>
                <w:lang w:val="zh-CN"/>
              </w:rPr>
            </w:pPr>
            <w:r>
              <w:rPr>
                <w:b/>
                <w:color w:val="auto"/>
                <w:sz w:val="24"/>
                <w:highlight w:val="none"/>
                <w:lang w:val="zh-CN"/>
              </w:rPr>
              <w:t>2.声环境</w:t>
            </w:r>
          </w:p>
          <w:p w14:paraId="0DE7C84C">
            <w:pPr>
              <w:snapToGrid w:val="0"/>
              <w:spacing w:line="360" w:lineRule="auto"/>
              <w:ind w:firstLine="480" w:firstLineChars="200"/>
              <w:rPr>
                <w:color w:val="auto"/>
                <w:sz w:val="24"/>
                <w:highlight w:val="none"/>
                <w:lang w:val="zh-CN"/>
              </w:rPr>
            </w:pPr>
            <w:r>
              <w:rPr>
                <w:color w:val="auto"/>
                <w:sz w:val="24"/>
                <w:highlight w:val="none"/>
              </w:rPr>
              <w:t>本项目厂界50m范围内不存在声环境保护目标</w:t>
            </w:r>
            <w:r>
              <w:rPr>
                <w:color w:val="auto"/>
                <w:sz w:val="24"/>
                <w:highlight w:val="none"/>
                <w:lang w:val="zh-CN"/>
              </w:rPr>
              <w:t>。</w:t>
            </w:r>
          </w:p>
          <w:p w14:paraId="2ABFB685">
            <w:pPr>
              <w:adjustRightInd w:val="0"/>
              <w:snapToGrid w:val="0"/>
              <w:spacing w:line="360" w:lineRule="auto"/>
              <w:ind w:firstLine="482" w:firstLineChars="200"/>
              <w:outlineLvl w:val="2"/>
              <w:rPr>
                <w:b/>
                <w:color w:val="auto"/>
                <w:sz w:val="24"/>
                <w:highlight w:val="none"/>
                <w:lang w:val="zh-CN"/>
              </w:rPr>
            </w:pPr>
            <w:r>
              <w:rPr>
                <w:b/>
                <w:color w:val="auto"/>
                <w:sz w:val="24"/>
                <w:highlight w:val="none"/>
                <w:lang w:val="zh-CN"/>
              </w:rPr>
              <w:t>3.地下水环境</w:t>
            </w:r>
          </w:p>
          <w:p w14:paraId="7919BDA5">
            <w:pPr>
              <w:snapToGrid w:val="0"/>
              <w:spacing w:line="360" w:lineRule="auto"/>
              <w:ind w:firstLine="480" w:firstLineChars="200"/>
              <w:rPr>
                <w:color w:val="auto"/>
                <w:sz w:val="24"/>
                <w:highlight w:val="none"/>
                <w:lang w:val="zh-CN"/>
              </w:rPr>
            </w:pPr>
            <w:r>
              <w:rPr>
                <w:color w:val="auto"/>
                <w:sz w:val="24"/>
                <w:highlight w:val="none"/>
                <w:lang w:val="zh-CN"/>
              </w:rPr>
              <w:t>厂界外500米范围内无地下水集中式饮用水水源和热水、矿泉水、温泉等特殊地下水资源。</w:t>
            </w:r>
          </w:p>
          <w:p w14:paraId="07443DDD">
            <w:pPr>
              <w:adjustRightInd w:val="0"/>
              <w:snapToGrid w:val="0"/>
              <w:spacing w:line="360" w:lineRule="auto"/>
              <w:ind w:firstLine="482" w:firstLineChars="200"/>
              <w:outlineLvl w:val="2"/>
              <w:rPr>
                <w:b/>
                <w:color w:val="auto"/>
                <w:sz w:val="24"/>
                <w:highlight w:val="none"/>
                <w:lang w:val="zh-CN"/>
              </w:rPr>
            </w:pPr>
            <w:r>
              <w:rPr>
                <w:b/>
                <w:color w:val="auto"/>
                <w:sz w:val="24"/>
                <w:highlight w:val="none"/>
                <w:lang w:val="zh-CN"/>
              </w:rPr>
              <w:t>4.生态环境</w:t>
            </w:r>
          </w:p>
          <w:p w14:paraId="7A5C2F7E">
            <w:pPr>
              <w:pStyle w:val="47"/>
              <w:spacing w:line="360" w:lineRule="auto"/>
              <w:ind w:firstLine="480" w:firstLineChars="200"/>
              <w:outlineLvl w:val="9"/>
              <w:rPr>
                <w:rFonts w:hAnsi="Times New Roman" w:cs="Times New Roman" w:eastAsiaTheme="minorEastAsia"/>
                <w:color w:val="auto"/>
                <w:highlight w:val="none"/>
              </w:rPr>
            </w:pPr>
            <w:r>
              <w:rPr>
                <w:rFonts w:hAnsi="Times New Roman" w:eastAsia="宋体" w:cs="Times New Roman"/>
                <w:b w:val="0"/>
                <w:bCs/>
                <w:color w:val="auto"/>
                <w:highlight w:val="none"/>
              </w:rPr>
              <w:t>项目用地范围内无生态环境保护目标。</w:t>
            </w:r>
          </w:p>
        </w:tc>
      </w:tr>
      <w:tr w14:paraId="67D2EE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233" w:type="pct"/>
            <w:tcMar>
              <w:left w:w="28" w:type="dxa"/>
              <w:right w:w="28" w:type="dxa"/>
            </w:tcMar>
            <w:vAlign w:val="center"/>
          </w:tcPr>
          <w:p w14:paraId="377FBE8F">
            <w:pPr>
              <w:adjustRightInd w:val="0"/>
              <w:snapToGrid w:val="0"/>
              <w:jc w:val="center"/>
              <w:rPr>
                <w:rFonts w:eastAsiaTheme="minorEastAsia"/>
                <w:b/>
                <w:bCs/>
                <w:color w:val="auto"/>
                <w:kern w:val="0"/>
                <w:sz w:val="24"/>
                <w:highlight w:val="none"/>
              </w:rPr>
            </w:pPr>
            <w:r>
              <w:rPr>
                <w:rFonts w:eastAsiaTheme="minorEastAsia"/>
                <w:b/>
                <w:bCs/>
                <w:color w:val="auto"/>
                <w:kern w:val="0"/>
                <w:sz w:val="24"/>
                <w:highlight w:val="none"/>
              </w:rPr>
              <w:t>污染</w:t>
            </w:r>
          </w:p>
          <w:p w14:paraId="21073C6C">
            <w:pPr>
              <w:adjustRightInd w:val="0"/>
              <w:snapToGrid w:val="0"/>
              <w:jc w:val="center"/>
              <w:rPr>
                <w:rFonts w:eastAsiaTheme="minorEastAsia"/>
                <w:b/>
                <w:bCs/>
                <w:color w:val="auto"/>
                <w:kern w:val="0"/>
                <w:sz w:val="24"/>
                <w:highlight w:val="none"/>
              </w:rPr>
            </w:pPr>
            <w:r>
              <w:rPr>
                <w:rFonts w:eastAsiaTheme="minorEastAsia"/>
                <w:b/>
                <w:bCs/>
                <w:color w:val="auto"/>
                <w:kern w:val="0"/>
                <w:sz w:val="24"/>
                <w:highlight w:val="none"/>
              </w:rPr>
              <w:t>物排</w:t>
            </w:r>
          </w:p>
          <w:p w14:paraId="6F06D3F9">
            <w:pPr>
              <w:adjustRightInd w:val="0"/>
              <w:snapToGrid w:val="0"/>
              <w:jc w:val="center"/>
              <w:rPr>
                <w:rFonts w:eastAsiaTheme="minorEastAsia"/>
                <w:b/>
                <w:bCs/>
                <w:color w:val="auto"/>
                <w:kern w:val="0"/>
                <w:sz w:val="24"/>
                <w:highlight w:val="none"/>
              </w:rPr>
            </w:pPr>
            <w:r>
              <w:rPr>
                <w:rFonts w:eastAsiaTheme="minorEastAsia"/>
                <w:b/>
                <w:bCs/>
                <w:color w:val="auto"/>
                <w:kern w:val="0"/>
                <w:sz w:val="24"/>
                <w:highlight w:val="none"/>
              </w:rPr>
              <w:t>放控</w:t>
            </w:r>
          </w:p>
          <w:p w14:paraId="66709765">
            <w:pPr>
              <w:adjustRightInd w:val="0"/>
              <w:snapToGrid w:val="0"/>
              <w:jc w:val="center"/>
              <w:rPr>
                <w:rFonts w:eastAsiaTheme="minorEastAsia"/>
                <w:b/>
                <w:bCs/>
                <w:color w:val="auto"/>
                <w:kern w:val="0"/>
                <w:sz w:val="24"/>
                <w:highlight w:val="none"/>
              </w:rPr>
            </w:pPr>
            <w:r>
              <w:rPr>
                <w:rFonts w:eastAsiaTheme="minorEastAsia"/>
                <w:b/>
                <w:bCs/>
                <w:color w:val="auto"/>
                <w:kern w:val="0"/>
                <w:sz w:val="24"/>
                <w:highlight w:val="none"/>
              </w:rPr>
              <w:t>制标</w:t>
            </w:r>
          </w:p>
          <w:p w14:paraId="3A74F56C">
            <w:pPr>
              <w:adjustRightInd w:val="0"/>
              <w:snapToGrid w:val="0"/>
              <w:jc w:val="center"/>
              <w:rPr>
                <w:rFonts w:eastAsiaTheme="minorEastAsia"/>
                <w:b/>
                <w:bCs/>
                <w:color w:val="auto"/>
                <w:kern w:val="0"/>
                <w:sz w:val="24"/>
                <w:highlight w:val="none"/>
              </w:rPr>
            </w:pPr>
            <w:r>
              <w:rPr>
                <w:rFonts w:eastAsiaTheme="minorEastAsia"/>
                <w:b/>
                <w:bCs/>
                <w:color w:val="auto"/>
                <w:kern w:val="0"/>
                <w:sz w:val="24"/>
                <w:highlight w:val="none"/>
              </w:rPr>
              <w:t>准</w:t>
            </w:r>
          </w:p>
        </w:tc>
        <w:tc>
          <w:tcPr>
            <w:tcW w:w="4766" w:type="pct"/>
          </w:tcPr>
          <w:p w14:paraId="00271C81">
            <w:pPr>
              <w:tabs>
                <w:tab w:val="left" w:pos="5142"/>
              </w:tabs>
              <w:adjustRightInd w:val="0"/>
              <w:spacing w:line="360" w:lineRule="auto"/>
              <w:ind w:firstLine="482" w:firstLineChars="200"/>
              <w:rPr>
                <w:b/>
                <w:bCs/>
                <w:snapToGrid w:val="0"/>
                <w:color w:val="auto"/>
                <w:kern w:val="0"/>
                <w:sz w:val="24"/>
                <w:highlight w:val="none"/>
              </w:rPr>
            </w:pPr>
            <w:r>
              <w:rPr>
                <w:rFonts w:hint="eastAsia"/>
                <w:b/>
                <w:bCs/>
                <w:snapToGrid w:val="0"/>
                <w:color w:val="auto"/>
                <w:kern w:val="0"/>
                <w:sz w:val="24"/>
                <w:highlight w:val="none"/>
                <w:lang w:val="en-US" w:eastAsia="zh-CN"/>
              </w:rPr>
              <w:t>1</w:t>
            </w:r>
            <w:r>
              <w:rPr>
                <w:rFonts w:hAnsi="宋体"/>
                <w:b/>
                <w:bCs/>
                <w:snapToGrid w:val="0"/>
                <w:color w:val="auto"/>
                <w:kern w:val="0"/>
                <w:sz w:val="24"/>
                <w:highlight w:val="none"/>
              </w:rPr>
              <w:t>、废水</w:t>
            </w:r>
          </w:p>
          <w:p w14:paraId="442928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color w:val="auto"/>
                <w:sz w:val="24"/>
                <w:szCs w:val="24"/>
                <w:highlight w:val="none"/>
              </w:rPr>
            </w:pPr>
            <w:r>
              <w:rPr>
                <w:rFonts w:hint="eastAsia"/>
                <w:color w:val="auto"/>
                <w:sz w:val="24"/>
                <w:szCs w:val="24"/>
                <w:highlight w:val="none"/>
              </w:rPr>
              <w:t>项目废水主要为</w:t>
            </w:r>
            <w:r>
              <w:rPr>
                <w:rFonts w:hint="eastAsia" w:ascii="宋体" w:hAnsi="宋体" w:cs="宋体"/>
                <w:color w:val="auto"/>
                <w:kern w:val="0"/>
                <w:sz w:val="24"/>
                <w:szCs w:val="24"/>
                <w:highlight w:val="none"/>
                <w:lang w:bidi="ar"/>
              </w:rPr>
              <w:t>生活污水</w:t>
            </w:r>
            <w:r>
              <w:rPr>
                <w:rFonts w:hint="eastAsia" w:ascii="宋体" w:hAnsi="宋体" w:cs="宋体"/>
                <w:color w:val="auto"/>
                <w:kern w:val="0"/>
                <w:sz w:val="24"/>
                <w:szCs w:val="24"/>
                <w:highlight w:val="none"/>
                <w:lang w:eastAsia="zh-CN" w:bidi="ar"/>
              </w:rPr>
              <w:t>和生产废水（</w:t>
            </w:r>
            <w:r>
              <w:rPr>
                <w:rFonts w:hint="eastAsia" w:ascii="宋体" w:hAnsi="宋体" w:cs="宋体"/>
                <w:color w:val="auto"/>
                <w:kern w:val="0"/>
                <w:sz w:val="24"/>
                <w:szCs w:val="24"/>
                <w:highlight w:val="none"/>
                <w:lang w:val="en-US" w:eastAsia="zh-CN" w:bidi="ar"/>
              </w:rPr>
              <w:t>清洗</w:t>
            </w:r>
            <w:r>
              <w:rPr>
                <w:rFonts w:hint="eastAsia" w:ascii="宋体" w:hAnsi="宋体" w:cs="宋体"/>
                <w:color w:val="auto"/>
                <w:kern w:val="0"/>
                <w:sz w:val="24"/>
                <w:szCs w:val="24"/>
                <w:highlight w:val="none"/>
                <w:lang w:eastAsia="zh-CN" w:bidi="ar"/>
              </w:rPr>
              <w:t>废水）</w:t>
            </w:r>
            <w:r>
              <w:rPr>
                <w:rFonts w:hint="eastAsia"/>
                <w:color w:val="auto"/>
                <w:sz w:val="24"/>
                <w:szCs w:val="24"/>
                <w:highlight w:val="none"/>
              </w:rPr>
              <w:t>，</w:t>
            </w:r>
            <w:r>
              <w:rPr>
                <w:color w:val="auto"/>
                <w:sz w:val="24"/>
                <w:szCs w:val="24"/>
                <w:highlight w:val="none"/>
              </w:rPr>
              <w:t>经</w:t>
            </w:r>
            <w:r>
              <w:rPr>
                <w:rFonts w:hint="eastAsia"/>
                <w:color w:val="auto"/>
                <w:sz w:val="24"/>
                <w:szCs w:val="24"/>
                <w:highlight w:val="none"/>
              </w:rPr>
              <w:t>园区</w:t>
            </w:r>
            <w:r>
              <w:rPr>
                <w:color w:val="auto"/>
                <w:sz w:val="24"/>
                <w:szCs w:val="24"/>
                <w:highlight w:val="none"/>
              </w:rPr>
              <w:t>化粪池预处理</w:t>
            </w:r>
            <w:r>
              <w:rPr>
                <w:rFonts w:hint="eastAsia"/>
                <w:color w:val="auto"/>
                <w:sz w:val="24"/>
                <w:szCs w:val="24"/>
                <w:highlight w:val="none"/>
              </w:rPr>
              <w:t>。污水接管标准执行《污水综合排放标准》（GB8978-1996）表4中三级标准</w:t>
            </w:r>
            <w:r>
              <w:rPr>
                <w:rFonts w:hint="eastAsia" w:ascii="宋体" w:hAnsi="宋体" w:cs="宋体"/>
                <w:color w:val="auto"/>
                <w:kern w:val="0"/>
                <w:sz w:val="24"/>
                <w:szCs w:val="24"/>
                <w:highlight w:val="none"/>
                <w:lang w:bidi="ar"/>
              </w:rPr>
              <w:t>（其中，氨氮、总磷、总氮执行《污水排入城镇下水道水质标准》（</w:t>
            </w:r>
            <w:r>
              <w:rPr>
                <w:color w:val="auto"/>
                <w:kern w:val="0"/>
                <w:sz w:val="24"/>
                <w:szCs w:val="24"/>
                <w:highlight w:val="none"/>
                <w:lang w:bidi="ar"/>
              </w:rPr>
              <w:t>GB/T31962-2015</w:t>
            </w:r>
            <w:r>
              <w:rPr>
                <w:rFonts w:hint="eastAsia" w:ascii="宋体" w:hAnsi="宋体" w:cs="宋体"/>
                <w:color w:val="auto"/>
                <w:kern w:val="0"/>
                <w:sz w:val="24"/>
                <w:szCs w:val="24"/>
                <w:highlight w:val="none"/>
                <w:lang w:bidi="ar"/>
              </w:rPr>
              <w:t>）表</w:t>
            </w:r>
            <w:r>
              <w:rPr>
                <w:color w:val="auto"/>
                <w:kern w:val="0"/>
                <w:sz w:val="24"/>
                <w:szCs w:val="24"/>
                <w:highlight w:val="none"/>
                <w:lang w:bidi="ar"/>
              </w:rPr>
              <w:t>1</w:t>
            </w:r>
            <w:r>
              <w:rPr>
                <w:rFonts w:hint="eastAsia" w:ascii="宋体" w:hAnsi="宋体" w:cs="宋体"/>
                <w:color w:val="auto"/>
                <w:kern w:val="0"/>
                <w:sz w:val="24"/>
                <w:szCs w:val="24"/>
                <w:highlight w:val="none"/>
                <w:lang w:bidi="ar"/>
              </w:rPr>
              <w:t>中</w:t>
            </w:r>
            <w:r>
              <w:rPr>
                <w:color w:val="auto"/>
                <w:kern w:val="0"/>
                <w:sz w:val="24"/>
                <w:szCs w:val="24"/>
                <w:highlight w:val="none"/>
                <w:lang w:bidi="ar"/>
              </w:rPr>
              <w:t>B</w:t>
            </w:r>
            <w:r>
              <w:rPr>
                <w:rFonts w:hint="eastAsia" w:ascii="宋体" w:hAnsi="宋体" w:cs="宋体"/>
                <w:color w:val="auto"/>
                <w:kern w:val="0"/>
                <w:sz w:val="24"/>
                <w:szCs w:val="24"/>
                <w:highlight w:val="none"/>
                <w:lang w:bidi="ar"/>
              </w:rPr>
              <w:t>等级标准）要求，接管至句容市</w:t>
            </w:r>
            <w:r>
              <w:rPr>
                <w:rFonts w:hint="eastAsia" w:ascii="宋体" w:hAnsi="宋体" w:cs="宋体"/>
                <w:color w:val="auto"/>
                <w:kern w:val="0"/>
                <w:sz w:val="24"/>
                <w:szCs w:val="24"/>
                <w:highlight w:val="none"/>
                <w:lang w:eastAsia="zh-CN" w:bidi="ar"/>
              </w:rPr>
              <w:t>郭庄污水处理</w:t>
            </w:r>
            <w:r>
              <w:rPr>
                <w:rFonts w:hint="eastAsia" w:ascii="宋体" w:hAnsi="宋体" w:cs="宋体"/>
                <w:color w:val="auto"/>
                <w:kern w:val="0"/>
                <w:sz w:val="24"/>
                <w:szCs w:val="24"/>
                <w:highlight w:val="none"/>
                <w:lang w:bidi="ar"/>
              </w:rPr>
              <w:t>有限公司集中处理。</w:t>
            </w:r>
          </w:p>
          <w:p w14:paraId="3B6CC668">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hAnsi="宋体"/>
                <w:color w:val="auto"/>
                <w:sz w:val="24"/>
                <w:szCs w:val="24"/>
                <w:highlight w:val="none"/>
              </w:rPr>
            </w:pPr>
            <w:r>
              <w:rPr>
                <w:rFonts w:hint="eastAsia"/>
                <w:color w:val="auto"/>
                <w:sz w:val="24"/>
                <w:szCs w:val="24"/>
                <w:highlight w:val="none"/>
              </w:rPr>
              <w:t>污水处理有限公司</w:t>
            </w:r>
            <w:r>
              <w:rPr>
                <w:color w:val="auto"/>
                <w:sz w:val="24"/>
                <w:szCs w:val="24"/>
                <w:highlight w:val="none"/>
              </w:rPr>
              <w:t>尾水</w:t>
            </w:r>
            <w:r>
              <w:rPr>
                <w:rFonts w:hint="eastAsia"/>
                <w:color w:val="auto"/>
                <w:sz w:val="24"/>
                <w:szCs w:val="24"/>
                <w:highlight w:val="none"/>
              </w:rPr>
              <w:t>满足</w:t>
            </w:r>
            <w:r>
              <w:rPr>
                <w:color w:val="auto"/>
                <w:sz w:val="24"/>
                <w:szCs w:val="24"/>
                <w:highlight w:val="none"/>
              </w:rPr>
              <w:t>《城镇污水处理厂污染物排放标准》（GB18918-2002）一级A标准</w:t>
            </w:r>
            <w:r>
              <w:rPr>
                <w:rFonts w:hint="eastAsia"/>
                <w:color w:val="auto"/>
                <w:sz w:val="24"/>
                <w:szCs w:val="24"/>
                <w:highlight w:val="none"/>
              </w:rPr>
              <w:t>，尾水最终排入</w:t>
            </w:r>
            <w:r>
              <w:rPr>
                <w:rFonts w:hint="eastAsia"/>
                <w:color w:val="auto"/>
                <w:sz w:val="24"/>
                <w:szCs w:val="24"/>
                <w:highlight w:val="none"/>
                <w:lang w:eastAsia="zh-CN"/>
              </w:rPr>
              <w:t>高阳河</w:t>
            </w:r>
            <w:r>
              <w:rPr>
                <w:rFonts w:hint="eastAsia"/>
                <w:color w:val="auto"/>
                <w:sz w:val="24"/>
                <w:szCs w:val="24"/>
                <w:highlight w:val="none"/>
              </w:rPr>
              <w:t>。</w:t>
            </w:r>
            <w:r>
              <w:rPr>
                <w:rFonts w:hint="eastAsia"/>
                <w:snapToGrid w:val="0"/>
                <w:color w:val="auto"/>
                <w:kern w:val="0"/>
                <w:sz w:val="24"/>
                <w:szCs w:val="24"/>
                <w:highlight w:val="none"/>
              </w:rPr>
              <w:t>详见表3-</w:t>
            </w:r>
            <w:r>
              <w:rPr>
                <w:rFonts w:hint="eastAsia"/>
                <w:snapToGrid w:val="0"/>
                <w:color w:val="auto"/>
                <w:kern w:val="0"/>
                <w:sz w:val="24"/>
                <w:szCs w:val="24"/>
                <w:highlight w:val="none"/>
                <w:lang w:val="en-US" w:eastAsia="zh-CN"/>
              </w:rPr>
              <w:t>3</w:t>
            </w:r>
            <w:r>
              <w:rPr>
                <w:snapToGrid w:val="0"/>
                <w:color w:val="auto"/>
                <w:kern w:val="0"/>
                <w:sz w:val="24"/>
                <w:szCs w:val="24"/>
                <w:highlight w:val="none"/>
              </w:rPr>
              <w:t>。</w:t>
            </w:r>
          </w:p>
          <w:p w14:paraId="0194CA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Ansi="宋体"/>
                <w:b/>
                <w:color w:val="auto"/>
                <w:sz w:val="24"/>
                <w:highlight w:val="none"/>
              </w:rPr>
            </w:pPr>
          </w:p>
          <w:p w14:paraId="4242D9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b/>
                <w:color w:val="auto"/>
                <w:sz w:val="24"/>
                <w:highlight w:val="none"/>
              </w:rPr>
            </w:pPr>
            <w:r>
              <w:rPr>
                <w:rFonts w:hAnsi="宋体"/>
                <w:b/>
                <w:color w:val="auto"/>
                <w:sz w:val="24"/>
                <w:highlight w:val="none"/>
              </w:rPr>
              <w:t>表</w:t>
            </w:r>
            <w:r>
              <w:rPr>
                <w:b/>
                <w:color w:val="auto"/>
                <w:sz w:val="24"/>
                <w:highlight w:val="none"/>
              </w:rPr>
              <w:t>3</w:t>
            </w:r>
            <w:r>
              <w:rPr>
                <w:rFonts w:hint="eastAsia"/>
                <w:b/>
                <w:color w:val="auto"/>
                <w:sz w:val="24"/>
                <w:highlight w:val="none"/>
              </w:rPr>
              <w:t>-</w:t>
            </w:r>
            <w:r>
              <w:rPr>
                <w:rFonts w:hint="eastAsia"/>
                <w:b/>
                <w:color w:val="auto"/>
                <w:sz w:val="24"/>
                <w:highlight w:val="none"/>
                <w:lang w:val="en-US" w:eastAsia="zh-CN"/>
              </w:rPr>
              <w:t>3</w:t>
            </w:r>
            <w:r>
              <w:rPr>
                <w:rFonts w:hint="eastAsia"/>
                <w:b/>
                <w:color w:val="auto"/>
                <w:sz w:val="24"/>
                <w:highlight w:val="none"/>
              </w:rPr>
              <w:t xml:space="preserve">  </w:t>
            </w:r>
            <w:r>
              <w:rPr>
                <w:b/>
                <w:snapToGrid w:val="0"/>
                <w:color w:val="auto"/>
                <w:kern w:val="0"/>
                <w:sz w:val="24"/>
                <w:highlight w:val="none"/>
              </w:rPr>
              <w:t>接管标准及排放标准</w:t>
            </w:r>
          </w:p>
          <w:tbl>
            <w:tblPr>
              <w:tblStyle w:val="3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934"/>
              <w:gridCol w:w="4071"/>
            </w:tblGrid>
            <w:tr w14:paraId="7ED77C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9" w:hRule="atLeast"/>
                <w:jc w:val="center"/>
              </w:trPr>
              <w:tc>
                <w:tcPr>
                  <w:tcW w:w="843" w:type="pct"/>
                  <w:tcBorders>
                    <w:bottom w:val="single" w:color="auto" w:sz="12" w:space="0"/>
                  </w:tcBorders>
                  <w:noWrap w:val="0"/>
                  <w:vAlign w:val="center"/>
                </w:tcPr>
                <w:p w14:paraId="6B0739A7">
                  <w:pPr>
                    <w:adjustRightInd w:val="0"/>
                    <w:snapToGrid w:val="0"/>
                    <w:spacing w:line="240" w:lineRule="exact"/>
                    <w:jc w:val="center"/>
                    <w:rPr>
                      <w:b/>
                      <w:bCs/>
                      <w:color w:val="auto"/>
                      <w:szCs w:val="21"/>
                      <w:highlight w:val="none"/>
                    </w:rPr>
                  </w:pPr>
                  <w:r>
                    <w:rPr>
                      <w:rFonts w:hAnsi="宋体"/>
                      <w:b/>
                      <w:bCs/>
                      <w:color w:val="auto"/>
                      <w:szCs w:val="21"/>
                      <w:highlight w:val="none"/>
                    </w:rPr>
                    <w:t>项目</w:t>
                  </w:r>
                </w:p>
              </w:tc>
              <w:tc>
                <w:tcPr>
                  <w:tcW w:w="1741" w:type="pct"/>
                  <w:tcBorders>
                    <w:bottom w:val="single" w:color="auto" w:sz="12" w:space="0"/>
                  </w:tcBorders>
                  <w:noWrap w:val="0"/>
                  <w:vAlign w:val="center"/>
                </w:tcPr>
                <w:p w14:paraId="7F544A5E">
                  <w:pPr>
                    <w:adjustRightInd w:val="0"/>
                    <w:snapToGrid w:val="0"/>
                    <w:spacing w:line="240" w:lineRule="exact"/>
                    <w:jc w:val="center"/>
                    <w:rPr>
                      <w:b/>
                      <w:bCs/>
                      <w:color w:val="auto"/>
                      <w:szCs w:val="21"/>
                      <w:highlight w:val="none"/>
                    </w:rPr>
                  </w:pPr>
                  <w:r>
                    <w:rPr>
                      <w:rFonts w:hAnsi="宋体"/>
                      <w:b/>
                      <w:bCs/>
                      <w:color w:val="auto"/>
                      <w:szCs w:val="21"/>
                      <w:highlight w:val="none"/>
                    </w:rPr>
                    <w:t>接管标准（</w:t>
                  </w:r>
                  <w:r>
                    <w:rPr>
                      <w:b/>
                      <w:bCs/>
                      <w:color w:val="auto"/>
                      <w:szCs w:val="21"/>
                      <w:highlight w:val="none"/>
                    </w:rPr>
                    <w:t>mg/L</w:t>
                  </w:r>
                  <w:r>
                    <w:rPr>
                      <w:rFonts w:hAnsi="宋体"/>
                      <w:b/>
                      <w:bCs/>
                      <w:color w:val="auto"/>
                      <w:szCs w:val="21"/>
                      <w:highlight w:val="none"/>
                    </w:rPr>
                    <w:t>）</w:t>
                  </w:r>
                </w:p>
              </w:tc>
              <w:tc>
                <w:tcPr>
                  <w:tcW w:w="2414" w:type="pct"/>
                  <w:tcBorders>
                    <w:bottom w:val="single" w:color="auto" w:sz="12" w:space="0"/>
                  </w:tcBorders>
                  <w:noWrap w:val="0"/>
                  <w:vAlign w:val="center"/>
                </w:tcPr>
                <w:p w14:paraId="586495F8">
                  <w:pPr>
                    <w:adjustRightInd w:val="0"/>
                    <w:snapToGrid w:val="0"/>
                    <w:spacing w:line="240" w:lineRule="exact"/>
                    <w:jc w:val="center"/>
                    <w:rPr>
                      <w:b/>
                      <w:bCs/>
                      <w:color w:val="auto"/>
                      <w:szCs w:val="21"/>
                      <w:highlight w:val="none"/>
                    </w:rPr>
                  </w:pPr>
                  <w:r>
                    <w:rPr>
                      <w:rFonts w:hAnsi="宋体"/>
                      <w:b/>
                      <w:bCs/>
                      <w:color w:val="auto"/>
                      <w:szCs w:val="21"/>
                      <w:highlight w:val="none"/>
                    </w:rPr>
                    <w:t>污水处理厂尾水排放标准（</w:t>
                  </w:r>
                  <w:r>
                    <w:rPr>
                      <w:b/>
                      <w:bCs/>
                      <w:color w:val="auto"/>
                      <w:szCs w:val="21"/>
                      <w:highlight w:val="none"/>
                    </w:rPr>
                    <w:t>mg/L</w:t>
                  </w:r>
                  <w:r>
                    <w:rPr>
                      <w:rFonts w:hAnsi="宋体"/>
                      <w:b/>
                      <w:bCs/>
                      <w:color w:val="auto"/>
                      <w:szCs w:val="21"/>
                      <w:highlight w:val="none"/>
                    </w:rPr>
                    <w:t>）</w:t>
                  </w:r>
                </w:p>
              </w:tc>
            </w:tr>
            <w:tr w14:paraId="24A34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5" w:hRule="exact"/>
                <w:jc w:val="center"/>
              </w:trPr>
              <w:tc>
                <w:tcPr>
                  <w:tcW w:w="843" w:type="pct"/>
                  <w:tcBorders>
                    <w:top w:val="single" w:color="auto" w:sz="12" w:space="0"/>
                  </w:tcBorders>
                  <w:noWrap w:val="0"/>
                  <w:vAlign w:val="center"/>
                </w:tcPr>
                <w:p w14:paraId="5F040A95">
                  <w:pPr>
                    <w:adjustRightInd w:val="0"/>
                    <w:snapToGrid w:val="0"/>
                    <w:spacing w:line="240" w:lineRule="exact"/>
                    <w:jc w:val="center"/>
                    <w:rPr>
                      <w:color w:val="auto"/>
                      <w:szCs w:val="21"/>
                      <w:highlight w:val="none"/>
                    </w:rPr>
                  </w:pPr>
                  <w:r>
                    <w:rPr>
                      <w:rFonts w:hint="eastAsia"/>
                      <w:color w:val="auto"/>
                      <w:sz w:val="24"/>
                      <w:highlight w:val="none"/>
                      <w:lang w:val="en-US" w:eastAsia="zh-CN"/>
                    </w:rPr>
                    <w:t>pH</w:t>
                  </w:r>
                </w:p>
              </w:tc>
              <w:tc>
                <w:tcPr>
                  <w:tcW w:w="1741" w:type="pct"/>
                  <w:tcBorders>
                    <w:top w:val="single" w:color="auto" w:sz="12" w:space="0"/>
                  </w:tcBorders>
                  <w:noWrap w:val="0"/>
                  <w:vAlign w:val="center"/>
                </w:tcPr>
                <w:p w14:paraId="2EF091C8">
                  <w:pPr>
                    <w:pStyle w:val="35"/>
                    <w:adjustRightInd w:val="0"/>
                    <w:snapToGrid w:val="0"/>
                    <w:spacing w:after="0" w:line="240" w:lineRule="exact"/>
                    <w:ind w:firstLine="0" w:firstLineChars="0"/>
                    <w:jc w:val="center"/>
                    <w:rPr>
                      <w:rFonts w:hint="default"/>
                      <w:color w:val="auto"/>
                      <w:kern w:val="44"/>
                      <w:szCs w:val="21"/>
                      <w:highlight w:val="none"/>
                      <w:lang w:val="en-US" w:eastAsia="zh-CN"/>
                    </w:rPr>
                  </w:pPr>
                  <w:r>
                    <w:rPr>
                      <w:rFonts w:hint="eastAsia"/>
                      <w:color w:val="auto"/>
                      <w:kern w:val="44"/>
                      <w:szCs w:val="21"/>
                      <w:highlight w:val="none"/>
                      <w:lang w:val="en-US" w:eastAsia="zh-CN"/>
                    </w:rPr>
                    <w:t>6~9</w:t>
                  </w:r>
                </w:p>
              </w:tc>
              <w:tc>
                <w:tcPr>
                  <w:tcW w:w="4067" w:type="dxa"/>
                  <w:tcBorders>
                    <w:top w:val="single" w:color="auto" w:sz="12" w:space="0"/>
                  </w:tcBorders>
                  <w:noWrap w:val="0"/>
                  <w:vAlign w:val="center"/>
                </w:tcPr>
                <w:p w14:paraId="7A44E090">
                  <w:pPr>
                    <w:pStyle w:val="78"/>
                    <w:adjustRightInd w:val="0"/>
                    <w:snapToGrid w:val="0"/>
                    <w:spacing w:line="240" w:lineRule="exact"/>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6~9</w:t>
                  </w:r>
                </w:p>
              </w:tc>
            </w:tr>
            <w:tr w14:paraId="751B01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5" w:hRule="exact"/>
                <w:jc w:val="center"/>
              </w:trPr>
              <w:tc>
                <w:tcPr>
                  <w:tcW w:w="843" w:type="pct"/>
                  <w:noWrap w:val="0"/>
                  <w:vAlign w:val="center"/>
                </w:tcPr>
                <w:p w14:paraId="28B25023">
                  <w:pPr>
                    <w:adjustRightInd w:val="0"/>
                    <w:snapToGrid w:val="0"/>
                    <w:spacing w:line="240" w:lineRule="exact"/>
                    <w:jc w:val="center"/>
                    <w:rPr>
                      <w:color w:val="auto"/>
                      <w:szCs w:val="21"/>
                      <w:highlight w:val="none"/>
                    </w:rPr>
                  </w:pPr>
                  <w:r>
                    <w:rPr>
                      <w:color w:val="auto"/>
                      <w:szCs w:val="21"/>
                      <w:highlight w:val="none"/>
                    </w:rPr>
                    <w:t>COD</w:t>
                  </w:r>
                </w:p>
              </w:tc>
              <w:tc>
                <w:tcPr>
                  <w:tcW w:w="1741" w:type="pct"/>
                  <w:noWrap w:val="0"/>
                  <w:vAlign w:val="center"/>
                </w:tcPr>
                <w:p w14:paraId="491549F4">
                  <w:pPr>
                    <w:pStyle w:val="35"/>
                    <w:adjustRightInd w:val="0"/>
                    <w:snapToGrid w:val="0"/>
                    <w:spacing w:after="0" w:line="240" w:lineRule="exact"/>
                    <w:ind w:firstLine="0" w:firstLineChars="0"/>
                    <w:jc w:val="center"/>
                    <w:rPr>
                      <w:rFonts w:hint="eastAsia"/>
                      <w:color w:val="auto"/>
                      <w:kern w:val="44"/>
                      <w:szCs w:val="21"/>
                      <w:highlight w:val="none"/>
                    </w:rPr>
                  </w:pPr>
                  <w:r>
                    <w:rPr>
                      <w:rFonts w:hint="eastAsia"/>
                      <w:color w:val="auto"/>
                      <w:kern w:val="44"/>
                      <w:szCs w:val="21"/>
                      <w:highlight w:val="none"/>
                      <w:lang w:val="en-US" w:eastAsia="zh-CN"/>
                    </w:rPr>
                    <w:t xml:space="preserve"> </w:t>
                  </w:r>
                  <w:r>
                    <w:rPr>
                      <w:rFonts w:hint="eastAsia"/>
                      <w:color w:val="auto"/>
                      <w:kern w:val="44"/>
                      <w:szCs w:val="21"/>
                      <w:highlight w:val="none"/>
                    </w:rPr>
                    <w:t>500</w:t>
                  </w:r>
                </w:p>
              </w:tc>
              <w:tc>
                <w:tcPr>
                  <w:tcW w:w="4067" w:type="dxa"/>
                  <w:noWrap w:val="0"/>
                  <w:vAlign w:val="center"/>
                </w:tcPr>
                <w:p w14:paraId="68443F9F">
                  <w:pPr>
                    <w:pStyle w:val="78"/>
                    <w:adjustRightInd w:val="0"/>
                    <w:snapToGrid w:val="0"/>
                    <w:spacing w:line="240" w:lineRule="exact"/>
                    <w:rPr>
                      <w:rFonts w:hint="default" w:ascii="Times New Roman" w:hAnsi="Times New Roman" w:eastAsia="宋体"/>
                      <w:color w:val="auto"/>
                      <w:sz w:val="21"/>
                      <w:szCs w:val="21"/>
                      <w:highlight w:val="none"/>
                      <w:lang w:val="en-US"/>
                    </w:rPr>
                  </w:pPr>
                  <w:r>
                    <w:rPr>
                      <w:rFonts w:hint="eastAsia" w:ascii="Times New Roman" w:hAnsi="Times New Roman" w:eastAsia="宋体"/>
                      <w:color w:val="auto"/>
                      <w:sz w:val="21"/>
                      <w:szCs w:val="21"/>
                      <w:highlight w:val="none"/>
                      <w:lang w:val="en-US" w:eastAsia="zh-CN"/>
                    </w:rPr>
                    <w:t>50</w:t>
                  </w:r>
                </w:p>
              </w:tc>
            </w:tr>
            <w:tr w14:paraId="24460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7" w:hRule="exact"/>
                <w:jc w:val="center"/>
              </w:trPr>
              <w:tc>
                <w:tcPr>
                  <w:tcW w:w="843" w:type="pct"/>
                  <w:noWrap w:val="0"/>
                  <w:vAlign w:val="center"/>
                </w:tcPr>
                <w:p w14:paraId="28E64D41">
                  <w:pPr>
                    <w:adjustRightInd w:val="0"/>
                    <w:snapToGrid w:val="0"/>
                    <w:spacing w:line="240" w:lineRule="exact"/>
                    <w:jc w:val="center"/>
                    <w:rPr>
                      <w:color w:val="auto"/>
                      <w:szCs w:val="21"/>
                      <w:highlight w:val="none"/>
                    </w:rPr>
                  </w:pPr>
                  <w:r>
                    <w:rPr>
                      <w:color w:val="auto"/>
                      <w:szCs w:val="21"/>
                      <w:highlight w:val="none"/>
                    </w:rPr>
                    <w:t>SS</w:t>
                  </w:r>
                </w:p>
              </w:tc>
              <w:tc>
                <w:tcPr>
                  <w:tcW w:w="1741" w:type="pct"/>
                  <w:noWrap w:val="0"/>
                  <w:vAlign w:val="center"/>
                </w:tcPr>
                <w:p w14:paraId="2C3BEBB1">
                  <w:pPr>
                    <w:pStyle w:val="78"/>
                    <w:adjustRightInd w:val="0"/>
                    <w:snapToGrid w:val="0"/>
                    <w:spacing w:line="240" w:lineRule="exact"/>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400</w:t>
                  </w:r>
                </w:p>
              </w:tc>
              <w:tc>
                <w:tcPr>
                  <w:tcW w:w="4067" w:type="dxa"/>
                  <w:noWrap w:val="0"/>
                  <w:vAlign w:val="center"/>
                </w:tcPr>
                <w:p w14:paraId="775CB260">
                  <w:pPr>
                    <w:pStyle w:val="78"/>
                    <w:adjustRightInd w:val="0"/>
                    <w:snapToGrid w:val="0"/>
                    <w:spacing w:line="240" w:lineRule="exact"/>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w:t>
                  </w:r>
                </w:p>
              </w:tc>
            </w:tr>
            <w:tr w14:paraId="597971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7" w:hRule="exact"/>
                <w:jc w:val="center"/>
              </w:trPr>
              <w:tc>
                <w:tcPr>
                  <w:tcW w:w="843" w:type="pct"/>
                  <w:noWrap w:val="0"/>
                  <w:vAlign w:val="center"/>
                </w:tcPr>
                <w:p w14:paraId="3CAF23E8">
                  <w:pPr>
                    <w:adjustRightInd w:val="0"/>
                    <w:snapToGrid w:val="0"/>
                    <w:spacing w:line="240" w:lineRule="exact"/>
                    <w:jc w:val="center"/>
                    <w:rPr>
                      <w:color w:val="auto"/>
                      <w:szCs w:val="21"/>
                      <w:highlight w:val="none"/>
                    </w:rPr>
                  </w:pPr>
                  <w:r>
                    <w:rPr>
                      <w:rFonts w:hAnsi="宋体"/>
                      <w:color w:val="auto"/>
                      <w:szCs w:val="21"/>
                      <w:highlight w:val="none"/>
                    </w:rPr>
                    <w:t>氨氮</w:t>
                  </w:r>
                </w:p>
              </w:tc>
              <w:tc>
                <w:tcPr>
                  <w:tcW w:w="1741" w:type="pct"/>
                  <w:noWrap w:val="0"/>
                  <w:vAlign w:val="center"/>
                </w:tcPr>
                <w:p w14:paraId="0AE66AD6">
                  <w:pPr>
                    <w:pStyle w:val="78"/>
                    <w:adjustRightInd w:val="0"/>
                    <w:snapToGrid w:val="0"/>
                    <w:spacing w:line="240" w:lineRule="exact"/>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45</w:t>
                  </w:r>
                </w:p>
              </w:tc>
              <w:tc>
                <w:tcPr>
                  <w:tcW w:w="4067" w:type="dxa"/>
                  <w:noWrap w:val="0"/>
                  <w:vAlign w:val="center"/>
                </w:tcPr>
                <w:p w14:paraId="71CA8C49">
                  <w:pPr>
                    <w:pStyle w:val="78"/>
                    <w:adjustRightInd w:val="0"/>
                    <w:snapToGrid w:val="0"/>
                    <w:spacing w:line="240" w:lineRule="exact"/>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5（8）</w:t>
                  </w:r>
                </w:p>
              </w:tc>
            </w:tr>
            <w:tr w14:paraId="65A79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7" w:hRule="exact"/>
                <w:jc w:val="center"/>
              </w:trPr>
              <w:tc>
                <w:tcPr>
                  <w:tcW w:w="843" w:type="pct"/>
                  <w:noWrap w:val="0"/>
                  <w:vAlign w:val="center"/>
                </w:tcPr>
                <w:p w14:paraId="27DE8916">
                  <w:pPr>
                    <w:adjustRightInd w:val="0"/>
                    <w:snapToGrid w:val="0"/>
                    <w:spacing w:line="240" w:lineRule="exact"/>
                    <w:jc w:val="center"/>
                    <w:rPr>
                      <w:rFonts w:hint="eastAsia"/>
                      <w:color w:val="auto"/>
                      <w:szCs w:val="21"/>
                      <w:highlight w:val="none"/>
                    </w:rPr>
                  </w:pPr>
                  <w:r>
                    <w:rPr>
                      <w:rFonts w:hint="eastAsia"/>
                      <w:color w:val="auto"/>
                      <w:szCs w:val="21"/>
                      <w:highlight w:val="none"/>
                    </w:rPr>
                    <w:t>TP</w:t>
                  </w:r>
                </w:p>
              </w:tc>
              <w:tc>
                <w:tcPr>
                  <w:tcW w:w="1741" w:type="pct"/>
                  <w:noWrap w:val="0"/>
                  <w:vAlign w:val="center"/>
                </w:tcPr>
                <w:p w14:paraId="485E54F7">
                  <w:pPr>
                    <w:spacing w:line="240" w:lineRule="exact"/>
                    <w:jc w:val="center"/>
                    <w:rPr>
                      <w:rFonts w:hint="eastAsia"/>
                      <w:color w:val="auto"/>
                      <w:kern w:val="44"/>
                      <w:szCs w:val="21"/>
                      <w:highlight w:val="none"/>
                    </w:rPr>
                  </w:pPr>
                  <w:r>
                    <w:rPr>
                      <w:rFonts w:hint="eastAsia"/>
                      <w:color w:val="auto"/>
                      <w:kern w:val="44"/>
                      <w:szCs w:val="21"/>
                      <w:highlight w:val="none"/>
                    </w:rPr>
                    <w:t>8</w:t>
                  </w:r>
                </w:p>
              </w:tc>
              <w:tc>
                <w:tcPr>
                  <w:tcW w:w="4067" w:type="dxa"/>
                  <w:noWrap w:val="0"/>
                  <w:vAlign w:val="center"/>
                </w:tcPr>
                <w:p w14:paraId="54A997EF">
                  <w:pPr>
                    <w:pStyle w:val="78"/>
                    <w:adjustRightInd w:val="0"/>
                    <w:snapToGrid w:val="0"/>
                    <w:spacing w:line="240" w:lineRule="exact"/>
                    <w:rPr>
                      <w:rFonts w:hint="default" w:ascii="Times New Roman" w:hAnsi="Times New Roman" w:eastAsia="宋体"/>
                      <w:color w:val="auto"/>
                      <w:sz w:val="21"/>
                      <w:szCs w:val="21"/>
                      <w:highlight w:val="none"/>
                      <w:lang w:val="en-US"/>
                    </w:rPr>
                  </w:pPr>
                  <w:r>
                    <w:rPr>
                      <w:rFonts w:hint="eastAsia" w:ascii="Times New Roman" w:hAnsi="Times New Roman" w:eastAsia="宋体"/>
                      <w:color w:val="auto"/>
                      <w:sz w:val="21"/>
                      <w:szCs w:val="21"/>
                      <w:highlight w:val="none"/>
                      <w:lang w:val="en-US" w:eastAsia="zh-CN"/>
                    </w:rPr>
                    <w:t>0.5</w:t>
                  </w:r>
                </w:p>
              </w:tc>
            </w:tr>
            <w:tr w14:paraId="3EBB7F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7" w:hRule="exact"/>
                <w:jc w:val="center"/>
              </w:trPr>
              <w:tc>
                <w:tcPr>
                  <w:tcW w:w="843" w:type="pct"/>
                  <w:noWrap w:val="0"/>
                  <w:vAlign w:val="center"/>
                </w:tcPr>
                <w:p w14:paraId="19700764">
                  <w:pPr>
                    <w:adjustRightInd w:val="0"/>
                    <w:snapToGrid w:val="0"/>
                    <w:spacing w:line="240" w:lineRule="exact"/>
                    <w:jc w:val="center"/>
                    <w:rPr>
                      <w:rFonts w:hint="eastAsia"/>
                      <w:color w:val="auto"/>
                      <w:szCs w:val="21"/>
                      <w:highlight w:val="none"/>
                    </w:rPr>
                  </w:pPr>
                  <w:r>
                    <w:rPr>
                      <w:rFonts w:hint="eastAsia"/>
                      <w:color w:val="auto"/>
                      <w:szCs w:val="21"/>
                      <w:highlight w:val="none"/>
                    </w:rPr>
                    <w:t>TN</w:t>
                  </w:r>
                </w:p>
              </w:tc>
              <w:tc>
                <w:tcPr>
                  <w:tcW w:w="1741" w:type="pct"/>
                  <w:noWrap w:val="0"/>
                  <w:vAlign w:val="center"/>
                </w:tcPr>
                <w:p w14:paraId="06CF06DD">
                  <w:pPr>
                    <w:spacing w:line="240" w:lineRule="exact"/>
                    <w:jc w:val="center"/>
                    <w:rPr>
                      <w:rFonts w:hint="eastAsia"/>
                      <w:color w:val="auto"/>
                      <w:kern w:val="44"/>
                      <w:szCs w:val="21"/>
                      <w:highlight w:val="none"/>
                    </w:rPr>
                  </w:pPr>
                  <w:r>
                    <w:rPr>
                      <w:rFonts w:hint="eastAsia"/>
                      <w:color w:val="auto"/>
                      <w:kern w:val="44"/>
                      <w:szCs w:val="21"/>
                      <w:highlight w:val="none"/>
                    </w:rPr>
                    <w:t>70</w:t>
                  </w:r>
                </w:p>
              </w:tc>
              <w:tc>
                <w:tcPr>
                  <w:tcW w:w="4067" w:type="dxa"/>
                  <w:noWrap w:val="0"/>
                  <w:vAlign w:val="center"/>
                </w:tcPr>
                <w:p w14:paraId="3716A179">
                  <w:pPr>
                    <w:pStyle w:val="78"/>
                    <w:adjustRightInd w:val="0"/>
                    <w:snapToGrid w:val="0"/>
                    <w:spacing w:line="240" w:lineRule="exact"/>
                    <w:rPr>
                      <w:rFonts w:hint="default" w:ascii="Times New Roman" w:hAnsi="Times New Roman" w:eastAsia="宋体"/>
                      <w:color w:val="auto"/>
                      <w:sz w:val="21"/>
                      <w:szCs w:val="21"/>
                      <w:highlight w:val="none"/>
                      <w:lang w:val="en-US"/>
                    </w:rPr>
                  </w:pPr>
                  <w:r>
                    <w:rPr>
                      <w:rFonts w:hint="eastAsia" w:ascii="Times New Roman" w:hAnsi="Times New Roman" w:eastAsia="宋体"/>
                      <w:color w:val="auto"/>
                      <w:sz w:val="21"/>
                      <w:szCs w:val="21"/>
                      <w:highlight w:val="none"/>
                      <w:lang w:val="en-US" w:eastAsia="zh-CN"/>
                    </w:rPr>
                    <w:t>15</w:t>
                  </w:r>
                </w:p>
              </w:tc>
            </w:tr>
            <w:tr w14:paraId="6C437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843" w:type="pct"/>
                  <w:noWrap w:val="0"/>
                  <w:vAlign w:val="center"/>
                </w:tcPr>
                <w:p w14:paraId="5402EE81">
                  <w:pPr>
                    <w:adjustRightInd w:val="0"/>
                    <w:snapToGrid w:val="0"/>
                    <w:spacing w:line="240" w:lineRule="exact"/>
                    <w:jc w:val="center"/>
                    <w:rPr>
                      <w:rFonts w:hAnsi="宋体"/>
                      <w:color w:val="auto"/>
                      <w:szCs w:val="21"/>
                      <w:highlight w:val="none"/>
                    </w:rPr>
                  </w:pPr>
                  <w:r>
                    <w:rPr>
                      <w:rFonts w:hAnsi="宋体"/>
                      <w:color w:val="auto"/>
                      <w:szCs w:val="21"/>
                      <w:highlight w:val="none"/>
                    </w:rPr>
                    <w:t>标准</w:t>
                  </w:r>
                </w:p>
              </w:tc>
              <w:tc>
                <w:tcPr>
                  <w:tcW w:w="1741" w:type="pct"/>
                  <w:noWrap w:val="0"/>
                  <w:vAlign w:val="center"/>
                </w:tcPr>
                <w:p w14:paraId="1B80E00A">
                  <w:pPr>
                    <w:spacing w:line="240" w:lineRule="exact"/>
                    <w:jc w:val="center"/>
                    <w:rPr>
                      <w:color w:val="auto"/>
                      <w:szCs w:val="21"/>
                      <w:highlight w:val="none"/>
                    </w:rPr>
                  </w:pPr>
                  <w:r>
                    <w:rPr>
                      <w:snapToGrid w:val="0"/>
                      <w:color w:val="auto"/>
                      <w:kern w:val="0"/>
                      <w:szCs w:val="21"/>
                      <w:highlight w:val="none"/>
                    </w:rPr>
                    <w:t>《污水综合排放标准》（GB8978-1996）</w:t>
                  </w:r>
                  <w:r>
                    <w:rPr>
                      <w:rFonts w:hint="eastAsia"/>
                      <w:snapToGrid w:val="0"/>
                      <w:color w:val="auto"/>
                      <w:kern w:val="0"/>
                      <w:szCs w:val="21"/>
                      <w:highlight w:val="none"/>
                    </w:rPr>
                    <w:t>、</w:t>
                  </w:r>
                  <w:r>
                    <w:rPr>
                      <w:snapToGrid w:val="0"/>
                      <w:color w:val="auto"/>
                      <w:kern w:val="0"/>
                      <w:szCs w:val="21"/>
                      <w:highlight w:val="none"/>
                    </w:rPr>
                    <w:t>《污水排入城镇下水道水质标准》（GB/T31962-2015）</w:t>
                  </w:r>
                </w:p>
              </w:tc>
              <w:tc>
                <w:tcPr>
                  <w:tcW w:w="2414" w:type="pct"/>
                  <w:noWrap w:val="0"/>
                  <w:vAlign w:val="center"/>
                </w:tcPr>
                <w:p w14:paraId="4383C05C">
                  <w:pPr>
                    <w:pStyle w:val="78"/>
                    <w:adjustRightInd w:val="0"/>
                    <w:snapToGrid w:val="0"/>
                    <w:spacing w:line="240" w:lineRule="exact"/>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《城镇污水处理厂污染物排放标准》（GB18918-2002）</w:t>
                  </w:r>
                </w:p>
              </w:tc>
            </w:tr>
            <w:tr w14:paraId="0E57C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5000" w:type="pct"/>
                  <w:gridSpan w:val="3"/>
                  <w:noWrap w:val="0"/>
                  <w:vAlign w:val="center"/>
                </w:tcPr>
                <w:p w14:paraId="06FDD928">
                  <w:pPr>
                    <w:pStyle w:val="78"/>
                    <w:adjustRightInd w:val="0"/>
                    <w:snapToGrid w:val="0"/>
                    <w:spacing w:line="240" w:lineRule="exact"/>
                    <w:jc w:val="both"/>
                    <w:rPr>
                      <w:rFonts w:ascii="Times New Roman" w:hAnsi="Times New Roman" w:eastAsia="宋体"/>
                      <w:color w:val="auto"/>
                      <w:sz w:val="21"/>
                      <w:szCs w:val="21"/>
                      <w:highlight w:val="none"/>
                    </w:rPr>
                  </w:pPr>
                  <w:r>
                    <w:rPr>
                      <w:rFonts w:ascii="Times New Roman" w:hAnsi="宋体" w:eastAsia="宋体"/>
                      <w:bCs/>
                      <w:color w:val="auto"/>
                      <w:sz w:val="21"/>
                      <w:szCs w:val="21"/>
                      <w:highlight w:val="none"/>
                    </w:rPr>
                    <w:t>注：括号外数值为水温</w:t>
                  </w:r>
                  <w:r>
                    <w:rPr>
                      <w:rFonts w:ascii="Times New Roman" w:hAnsi="Times New Roman" w:eastAsia="宋体"/>
                      <w:bCs/>
                      <w:color w:val="auto"/>
                      <w:sz w:val="21"/>
                      <w:szCs w:val="21"/>
                      <w:highlight w:val="none"/>
                    </w:rPr>
                    <w:t>&gt;12</w:t>
                  </w:r>
                  <w:r>
                    <w:rPr>
                      <w:rFonts w:ascii="宋体" w:hAnsi="宋体" w:eastAsia="宋体"/>
                      <w:bCs/>
                      <w:color w:val="auto"/>
                      <w:sz w:val="21"/>
                      <w:szCs w:val="21"/>
                      <w:highlight w:val="none"/>
                    </w:rPr>
                    <w:t>℃</w:t>
                  </w:r>
                  <w:r>
                    <w:rPr>
                      <w:rFonts w:ascii="Times New Roman" w:hAnsi="宋体" w:eastAsia="宋体"/>
                      <w:bCs/>
                      <w:color w:val="auto"/>
                      <w:sz w:val="21"/>
                      <w:szCs w:val="21"/>
                      <w:highlight w:val="none"/>
                    </w:rPr>
                    <w:t>时的控制指标，括号内数值为水温</w:t>
                  </w:r>
                  <w:r>
                    <w:rPr>
                      <w:rFonts w:ascii="宋体" w:hAnsi="宋体" w:eastAsia="宋体"/>
                      <w:bCs/>
                      <w:color w:val="auto"/>
                      <w:sz w:val="21"/>
                      <w:szCs w:val="21"/>
                      <w:highlight w:val="none"/>
                    </w:rPr>
                    <w:t>≤</w:t>
                  </w:r>
                  <w:r>
                    <w:rPr>
                      <w:rFonts w:ascii="Times New Roman" w:hAnsi="Times New Roman" w:eastAsia="宋体"/>
                      <w:bCs/>
                      <w:color w:val="auto"/>
                      <w:sz w:val="21"/>
                      <w:szCs w:val="21"/>
                      <w:highlight w:val="none"/>
                    </w:rPr>
                    <w:t>12</w:t>
                  </w:r>
                  <w:r>
                    <w:rPr>
                      <w:rFonts w:ascii="宋体" w:hAnsi="宋体" w:eastAsia="宋体"/>
                      <w:bCs/>
                      <w:color w:val="auto"/>
                      <w:sz w:val="21"/>
                      <w:szCs w:val="21"/>
                      <w:highlight w:val="none"/>
                    </w:rPr>
                    <w:t>℃</w:t>
                  </w:r>
                  <w:r>
                    <w:rPr>
                      <w:rFonts w:ascii="Times New Roman" w:hAnsi="宋体" w:eastAsia="宋体"/>
                      <w:bCs/>
                      <w:color w:val="auto"/>
                      <w:sz w:val="21"/>
                      <w:szCs w:val="21"/>
                      <w:highlight w:val="none"/>
                    </w:rPr>
                    <w:t>时的控制指标</w:t>
                  </w:r>
                </w:p>
              </w:tc>
            </w:tr>
          </w:tbl>
          <w:p w14:paraId="0C9FA75E">
            <w:pPr>
              <w:widowControl/>
              <w:adjustRightInd w:val="0"/>
              <w:snapToGrid w:val="0"/>
              <w:spacing w:line="360" w:lineRule="auto"/>
              <w:ind w:left="105" w:leftChars="50" w:firstLine="482" w:firstLineChars="200"/>
              <w:rPr>
                <w:rFonts w:eastAsiaTheme="minorEastAsia"/>
                <w:b/>
                <w:color w:val="auto"/>
                <w:kern w:val="0"/>
                <w:sz w:val="24"/>
                <w:szCs w:val="20"/>
                <w:highlight w:val="none"/>
              </w:rPr>
            </w:pPr>
            <w:r>
              <w:rPr>
                <w:rFonts w:hint="eastAsia" w:eastAsiaTheme="minorEastAsia"/>
                <w:b/>
                <w:color w:val="auto"/>
                <w:kern w:val="0"/>
                <w:sz w:val="24"/>
                <w:szCs w:val="20"/>
                <w:highlight w:val="none"/>
                <w:lang w:val="en-US" w:eastAsia="zh-CN"/>
              </w:rPr>
              <w:t>2、</w:t>
            </w:r>
            <w:r>
              <w:rPr>
                <w:rFonts w:hint="eastAsia" w:eastAsiaTheme="minorEastAsia"/>
                <w:b/>
                <w:color w:val="auto"/>
                <w:kern w:val="0"/>
                <w:sz w:val="24"/>
                <w:szCs w:val="20"/>
                <w:highlight w:val="none"/>
              </w:rPr>
              <w:t>废气</w:t>
            </w:r>
          </w:p>
          <w:p w14:paraId="50E15C61">
            <w:pPr>
              <w:keepNext/>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eastAsiaTheme="minorEastAsia"/>
                <w:color w:val="auto"/>
                <w:kern w:val="0"/>
                <w:sz w:val="24"/>
                <w:szCs w:val="20"/>
                <w:highlight w:val="none"/>
              </w:rPr>
            </w:pPr>
            <w:bookmarkStart w:id="14" w:name="_Ref35426485"/>
            <w:bookmarkStart w:id="15" w:name="_Ref6476551"/>
            <w:r>
              <w:rPr>
                <w:rFonts w:hint="eastAsia" w:eastAsiaTheme="minorEastAsia"/>
                <w:color w:val="auto"/>
                <w:kern w:val="0"/>
                <w:sz w:val="24"/>
                <w:szCs w:val="20"/>
                <w:highlight w:val="none"/>
                <w:lang w:val="en-US" w:eastAsia="zh-CN"/>
              </w:rPr>
              <w:t xml:space="preserve">     </w:t>
            </w:r>
            <w:r>
              <w:rPr>
                <w:rFonts w:hint="eastAsia" w:eastAsiaTheme="minorEastAsia"/>
                <w:color w:val="auto"/>
                <w:kern w:val="0"/>
                <w:sz w:val="24"/>
                <w:szCs w:val="20"/>
                <w:highlight w:val="none"/>
              </w:rPr>
              <w:t>本项目产生的废气主要为胶合和擦</w:t>
            </w:r>
            <w:r>
              <w:rPr>
                <w:rFonts w:hint="eastAsia" w:eastAsiaTheme="minorEastAsia"/>
                <w:color w:val="auto"/>
                <w:kern w:val="0"/>
                <w:sz w:val="24"/>
                <w:szCs w:val="20"/>
                <w:highlight w:val="none"/>
                <w:lang w:val="en-US" w:eastAsia="zh-CN"/>
              </w:rPr>
              <w:t>片</w:t>
            </w:r>
            <w:r>
              <w:rPr>
                <w:rFonts w:hint="eastAsia" w:eastAsiaTheme="minorEastAsia"/>
                <w:color w:val="auto"/>
                <w:kern w:val="0"/>
                <w:sz w:val="24"/>
                <w:szCs w:val="20"/>
                <w:highlight w:val="none"/>
              </w:rPr>
              <w:t>工序产生的有机废气（以非甲烷总烃表征）；非甲烷总烃执行《大气污染物综合排放标准》（DB32/4041-2021）3中标准限值，具体标准限值见表3-4；厂区内无组织挥发性有机物（以非甲烷总烃计）执行江苏省《大气污染物综合排放标准》（DB32/4041-2021）表2中标准。具体标准限值见表3-5。</w:t>
            </w:r>
          </w:p>
          <w:p w14:paraId="4483E08B">
            <w:pPr>
              <w:keepNext/>
              <w:keepLines w:val="0"/>
              <w:pageBreakBefore w:val="0"/>
              <w:widowControl w:val="0"/>
              <w:kinsoku/>
              <w:wordWrap/>
              <w:overflowPunct/>
              <w:topLinePunct w:val="0"/>
              <w:autoSpaceDE/>
              <w:autoSpaceDN/>
              <w:bidi w:val="0"/>
              <w:adjustRightInd w:val="0"/>
              <w:snapToGrid/>
              <w:spacing w:line="240" w:lineRule="auto"/>
              <w:jc w:val="center"/>
              <w:textAlignment w:val="auto"/>
              <w:rPr>
                <w:b/>
                <w:color w:val="auto"/>
                <w:sz w:val="24"/>
                <w:highlight w:val="none"/>
              </w:rPr>
            </w:pPr>
            <w:r>
              <w:rPr>
                <w:rFonts w:hAnsi="宋体"/>
                <w:b/>
                <w:color w:val="auto"/>
                <w:sz w:val="24"/>
                <w:highlight w:val="none"/>
              </w:rPr>
              <w:t>表</w:t>
            </w:r>
            <w:bookmarkEnd w:id="14"/>
            <w:r>
              <w:rPr>
                <w:rFonts w:hint="eastAsia" w:hAnsi="宋体"/>
                <w:b/>
                <w:color w:val="auto"/>
                <w:sz w:val="24"/>
                <w:highlight w:val="none"/>
              </w:rPr>
              <w:t>3-</w:t>
            </w:r>
            <w:r>
              <w:rPr>
                <w:rFonts w:hint="eastAsia"/>
                <w:b/>
                <w:color w:val="auto"/>
                <w:sz w:val="24"/>
                <w:highlight w:val="none"/>
                <w:lang w:val="en-US" w:eastAsia="zh-CN"/>
              </w:rPr>
              <w:t>4</w:t>
            </w:r>
            <w:r>
              <w:rPr>
                <w:b/>
                <w:color w:val="auto"/>
                <w:sz w:val="24"/>
                <w:highlight w:val="none"/>
              </w:rPr>
              <w:t xml:space="preserve"> </w:t>
            </w:r>
            <w:r>
              <w:rPr>
                <w:rFonts w:hAnsi="宋体"/>
                <w:b/>
                <w:color w:val="auto"/>
                <w:sz w:val="24"/>
                <w:highlight w:val="none"/>
              </w:rPr>
              <w:t>本项目大气污染物排放标准</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49"/>
              <w:gridCol w:w="1266"/>
              <w:gridCol w:w="1003"/>
              <w:gridCol w:w="1043"/>
              <w:gridCol w:w="1411"/>
              <w:gridCol w:w="2452"/>
            </w:tblGrid>
            <w:tr w14:paraId="0D0A6C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9" w:hRule="atLeast"/>
                <w:jc w:val="center"/>
              </w:trPr>
              <w:tc>
                <w:tcPr>
                  <w:tcW w:w="742" w:type="pct"/>
                  <w:vMerge w:val="restart"/>
                  <w:noWrap w:val="0"/>
                  <w:tcMar>
                    <w:left w:w="28" w:type="dxa"/>
                    <w:right w:w="28" w:type="dxa"/>
                  </w:tcMar>
                  <w:vAlign w:val="center"/>
                </w:tcPr>
                <w:p w14:paraId="0C107C77">
                  <w:pPr>
                    <w:pStyle w:val="87"/>
                    <w:adjustRightInd w:val="0"/>
                    <w:snapToGrid w:val="0"/>
                    <w:jc w:val="both"/>
                    <w:rPr>
                      <w:rFonts w:ascii="Times New Roman" w:eastAsia="宋体" w:cs="Times New Roman"/>
                      <w:b/>
                      <w:color w:val="auto"/>
                      <w:sz w:val="21"/>
                      <w:szCs w:val="21"/>
                      <w:highlight w:val="none"/>
                    </w:rPr>
                  </w:pPr>
                  <w:r>
                    <w:rPr>
                      <w:rFonts w:ascii="Times New Roman" w:eastAsia="宋体" w:cs="Times New Roman"/>
                      <w:b/>
                      <w:color w:val="auto"/>
                      <w:sz w:val="21"/>
                      <w:szCs w:val="21"/>
                      <w:highlight w:val="none"/>
                    </w:rPr>
                    <w:t>污染物名称</w:t>
                  </w:r>
                </w:p>
              </w:tc>
              <w:tc>
                <w:tcPr>
                  <w:tcW w:w="2802" w:type="pct"/>
                  <w:gridSpan w:val="4"/>
                  <w:noWrap w:val="0"/>
                  <w:tcMar>
                    <w:left w:w="28" w:type="dxa"/>
                    <w:right w:w="28" w:type="dxa"/>
                  </w:tcMar>
                  <w:vAlign w:val="center"/>
                </w:tcPr>
                <w:p w14:paraId="30B0A20E">
                  <w:pPr>
                    <w:pStyle w:val="87"/>
                    <w:adjustRightInd w:val="0"/>
                    <w:snapToGrid w:val="0"/>
                    <w:rPr>
                      <w:rFonts w:ascii="Times New Roman" w:eastAsia="宋体" w:cs="Times New Roman"/>
                      <w:b/>
                      <w:color w:val="auto"/>
                      <w:sz w:val="21"/>
                      <w:szCs w:val="21"/>
                      <w:highlight w:val="none"/>
                    </w:rPr>
                  </w:pPr>
                  <w:r>
                    <w:rPr>
                      <w:rFonts w:ascii="Times New Roman" w:eastAsia="宋体" w:cs="Times New Roman"/>
                      <w:b/>
                      <w:color w:val="auto"/>
                      <w:sz w:val="21"/>
                      <w:szCs w:val="21"/>
                      <w:highlight w:val="none"/>
                    </w:rPr>
                    <w:t>污染物排放浓度限值</w:t>
                  </w:r>
                </w:p>
              </w:tc>
              <w:tc>
                <w:tcPr>
                  <w:tcW w:w="1455" w:type="pct"/>
                  <w:vMerge w:val="restart"/>
                  <w:noWrap w:val="0"/>
                  <w:tcMar>
                    <w:left w:w="28" w:type="dxa"/>
                    <w:right w:w="28" w:type="dxa"/>
                  </w:tcMar>
                  <w:vAlign w:val="center"/>
                </w:tcPr>
                <w:p w14:paraId="4E3E3EE2">
                  <w:pPr>
                    <w:pStyle w:val="87"/>
                    <w:adjustRightInd w:val="0"/>
                    <w:snapToGrid w:val="0"/>
                    <w:rPr>
                      <w:rFonts w:ascii="Times New Roman" w:eastAsia="宋体" w:cs="Times New Roman"/>
                      <w:b/>
                      <w:color w:val="auto"/>
                      <w:sz w:val="21"/>
                      <w:szCs w:val="21"/>
                      <w:highlight w:val="none"/>
                    </w:rPr>
                  </w:pPr>
                  <w:r>
                    <w:rPr>
                      <w:rFonts w:ascii="Times New Roman" w:eastAsia="宋体" w:cs="Times New Roman"/>
                      <w:b/>
                      <w:color w:val="auto"/>
                      <w:sz w:val="21"/>
                      <w:szCs w:val="21"/>
                      <w:highlight w:val="none"/>
                    </w:rPr>
                    <w:t>标准来源</w:t>
                  </w:r>
                </w:p>
              </w:tc>
            </w:tr>
            <w:tr w14:paraId="56EAFC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37" w:hRule="atLeast"/>
                <w:jc w:val="center"/>
              </w:trPr>
              <w:tc>
                <w:tcPr>
                  <w:tcW w:w="742" w:type="pct"/>
                  <w:vMerge w:val="continue"/>
                  <w:tcBorders>
                    <w:bottom w:val="single" w:color="000000" w:sz="12" w:space="0"/>
                  </w:tcBorders>
                  <w:noWrap w:val="0"/>
                  <w:tcMar>
                    <w:left w:w="28" w:type="dxa"/>
                    <w:right w:w="28" w:type="dxa"/>
                  </w:tcMar>
                  <w:vAlign w:val="center"/>
                </w:tcPr>
                <w:p w14:paraId="424C088B">
                  <w:pPr>
                    <w:pStyle w:val="87"/>
                    <w:adjustRightInd w:val="0"/>
                    <w:snapToGrid w:val="0"/>
                    <w:rPr>
                      <w:rFonts w:ascii="Times New Roman" w:eastAsia="宋体" w:cs="Times New Roman"/>
                      <w:b/>
                      <w:color w:val="auto"/>
                      <w:sz w:val="21"/>
                      <w:szCs w:val="21"/>
                      <w:highlight w:val="none"/>
                    </w:rPr>
                  </w:pPr>
                </w:p>
              </w:tc>
              <w:tc>
                <w:tcPr>
                  <w:tcW w:w="751" w:type="pct"/>
                  <w:tcBorders>
                    <w:bottom w:val="single" w:color="000000" w:sz="12" w:space="0"/>
                  </w:tcBorders>
                  <w:noWrap w:val="0"/>
                  <w:tcMar>
                    <w:left w:w="28" w:type="dxa"/>
                    <w:right w:w="28" w:type="dxa"/>
                  </w:tcMar>
                  <w:vAlign w:val="center"/>
                </w:tcPr>
                <w:p w14:paraId="138084AA">
                  <w:pPr>
                    <w:pStyle w:val="87"/>
                    <w:adjustRightInd w:val="0"/>
                    <w:snapToGrid w:val="0"/>
                    <w:rPr>
                      <w:rFonts w:ascii="Times New Roman" w:eastAsia="宋体" w:cs="Times New Roman"/>
                      <w:b/>
                      <w:color w:val="auto"/>
                      <w:sz w:val="21"/>
                      <w:szCs w:val="21"/>
                      <w:highlight w:val="none"/>
                    </w:rPr>
                  </w:pPr>
                  <w:r>
                    <w:rPr>
                      <w:rFonts w:ascii="Times New Roman" w:eastAsia="宋体" w:cs="Times New Roman"/>
                      <w:b/>
                      <w:color w:val="auto"/>
                      <w:sz w:val="21"/>
                      <w:szCs w:val="21"/>
                      <w:highlight w:val="none"/>
                    </w:rPr>
                    <w:t>最高允许排放浓度（mg/m</w:t>
                  </w:r>
                  <w:r>
                    <w:rPr>
                      <w:rFonts w:ascii="Times New Roman" w:eastAsia="宋体" w:cs="Times New Roman"/>
                      <w:b/>
                      <w:color w:val="auto"/>
                      <w:sz w:val="21"/>
                      <w:szCs w:val="21"/>
                      <w:highlight w:val="none"/>
                      <w:vertAlign w:val="superscript"/>
                    </w:rPr>
                    <w:t>3</w:t>
                  </w:r>
                  <w:r>
                    <w:rPr>
                      <w:rFonts w:ascii="Times New Roman" w:eastAsia="宋体" w:cs="Times New Roman"/>
                      <w:b/>
                      <w:color w:val="auto"/>
                      <w:sz w:val="21"/>
                      <w:szCs w:val="21"/>
                      <w:highlight w:val="none"/>
                    </w:rPr>
                    <w:t>）</w:t>
                  </w:r>
                </w:p>
              </w:tc>
              <w:tc>
                <w:tcPr>
                  <w:tcW w:w="595" w:type="pct"/>
                  <w:tcBorders>
                    <w:bottom w:val="single" w:color="000000" w:sz="12" w:space="0"/>
                  </w:tcBorders>
                  <w:noWrap w:val="0"/>
                  <w:tcMar>
                    <w:left w:w="28" w:type="dxa"/>
                    <w:right w:w="28" w:type="dxa"/>
                  </w:tcMar>
                  <w:vAlign w:val="center"/>
                </w:tcPr>
                <w:p w14:paraId="352793B2">
                  <w:pPr>
                    <w:pStyle w:val="87"/>
                    <w:adjustRightInd w:val="0"/>
                    <w:snapToGrid w:val="0"/>
                    <w:rPr>
                      <w:rFonts w:ascii="Times New Roman" w:eastAsia="宋体" w:cs="Times New Roman"/>
                      <w:b/>
                      <w:color w:val="auto"/>
                      <w:sz w:val="21"/>
                      <w:szCs w:val="21"/>
                      <w:highlight w:val="none"/>
                    </w:rPr>
                  </w:pPr>
                  <w:r>
                    <w:rPr>
                      <w:rFonts w:ascii="Times New Roman" w:eastAsia="宋体" w:cs="Times New Roman"/>
                      <w:b/>
                      <w:color w:val="auto"/>
                      <w:sz w:val="21"/>
                      <w:szCs w:val="21"/>
                      <w:highlight w:val="none"/>
                    </w:rPr>
                    <w:t>排气筒高度</w:t>
                  </w:r>
                </w:p>
                <w:p w14:paraId="72EDDA0D">
                  <w:pPr>
                    <w:pStyle w:val="87"/>
                    <w:adjustRightInd w:val="0"/>
                    <w:snapToGrid w:val="0"/>
                    <w:rPr>
                      <w:rFonts w:ascii="Times New Roman" w:eastAsia="宋体" w:cs="Times New Roman"/>
                      <w:b/>
                      <w:color w:val="auto"/>
                      <w:sz w:val="21"/>
                      <w:szCs w:val="21"/>
                      <w:highlight w:val="none"/>
                    </w:rPr>
                  </w:pPr>
                  <w:r>
                    <w:rPr>
                      <w:rFonts w:ascii="Times New Roman" w:eastAsia="宋体" w:cs="Times New Roman"/>
                      <w:b/>
                      <w:color w:val="auto"/>
                      <w:sz w:val="21"/>
                      <w:szCs w:val="21"/>
                      <w:highlight w:val="none"/>
                    </w:rPr>
                    <w:t>（m）</w:t>
                  </w:r>
                </w:p>
              </w:tc>
              <w:tc>
                <w:tcPr>
                  <w:tcW w:w="619" w:type="pct"/>
                  <w:tcBorders>
                    <w:bottom w:val="single" w:color="000000" w:sz="12" w:space="0"/>
                  </w:tcBorders>
                  <w:noWrap w:val="0"/>
                  <w:tcMar>
                    <w:left w:w="28" w:type="dxa"/>
                    <w:right w:w="28" w:type="dxa"/>
                  </w:tcMar>
                  <w:vAlign w:val="center"/>
                </w:tcPr>
                <w:p w14:paraId="16291661">
                  <w:pPr>
                    <w:pStyle w:val="87"/>
                    <w:adjustRightInd w:val="0"/>
                    <w:snapToGrid w:val="0"/>
                    <w:rPr>
                      <w:rFonts w:ascii="Times New Roman" w:eastAsia="宋体" w:cs="Times New Roman"/>
                      <w:b/>
                      <w:color w:val="auto"/>
                      <w:sz w:val="21"/>
                      <w:szCs w:val="21"/>
                      <w:highlight w:val="none"/>
                    </w:rPr>
                  </w:pPr>
                  <w:r>
                    <w:rPr>
                      <w:rFonts w:ascii="Times New Roman" w:eastAsia="宋体" w:cs="Times New Roman"/>
                      <w:b/>
                      <w:color w:val="auto"/>
                      <w:sz w:val="21"/>
                      <w:szCs w:val="21"/>
                      <w:highlight w:val="none"/>
                    </w:rPr>
                    <w:t>排放速率（kg/h）</w:t>
                  </w:r>
                </w:p>
              </w:tc>
              <w:tc>
                <w:tcPr>
                  <w:tcW w:w="837" w:type="pct"/>
                  <w:tcBorders>
                    <w:bottom w:val="single" w:color="000000" w:sz="12" w:space="0"/>
                  </w:tcBorders>
                  <w:noWrap w:val="0"/>
                  <w:tcMar>
                    <w:left w:w="28" w:type="dxa"/>
                    <w:right w:w="28" w:type="dxa"/>
                  </w:tcMar>
                  <w:vAlign w:val="center"/>
                </w:tcPr>
                <w:p w14:paraId="274D713E">
                  <w:pPr>
                    <w:pStyle w:val="87"/>
                    <w:adjustRightInd w:val="0"/>
                    <w:snapToGrid w:val="0"/>
                    <w:rPr>
                      <w:rFonts w:ascii="Times New Roman" w:eastAsia="宋体" w:cs="Times New Roman"/>
                      <w:b/>
                      <w:color w:val="auto"/>
                      <w:sz w:val="21"/>
                      <w:szCs w:val="21"/>
                      <w:highlight w:val="none"/>
                    </w:rPr>
                  </w:pPr>
                  <w:r>
                    <w:rPr>
                      <w:rFonts w:ascii="Times New Roman" w:eastAsia="宋体" w:cs="Times New Roman"/>
                      <w:b/>
                      <w:color w:val="auto"/>
                      <w:sz w:val="21"/>
                      <w:szCs w:val="21"/>
                      <w:highlight w:val="none"/>
                    </w:rPr>
                    <w:t>无组织排放监控浓度限值</w:t>
                  </w:r>
                </w:p>
                <w:p w14:paraId="2AE8D048">
                  <w:pPr>
                    <w:pStyle w:val="87"/>
                    <w:adjustRightInd w:val="0"/>
                    <w:snapToGrid w:val="0"/>
                    <w:rPr>
                      <w:rFonts w:ascii="Times New Roman" w:eastAsia="宋体" w:cs="Times New Roman"/>
                      <w:b/>
                      <w:color w:val="auto"/>
                      <w:sz w:val="21"/>
                      <w:szCs w:val="21"/>
                      <w:highlight w:val="none"/>
                    </w:rPr>
                  </w:pPr>
                  <w:r>
                    <w:rPr>
                      <w:rFonts w:ascii="Times New Roman" w:eastAsia="宋体" w:cs="Times New Roman"/>
                      <w:b/>
                      <w:color w:val="auto"/>
                      <w:sz w:val="21"/>
                      <w:szCs w:val="21"/>
                      <w:highlight w:val="none"/>
                    </w:rPr>
                    <w:t>（mg/m</w:t>
                  </w:r>
                  <w:r>
                    <w:rPr>
                      <w:rFonts w:ascii="Times New Roman" w:eastAsia="宋体" w:cs="Times New Roman"/>
                      <w:b/>
                      <w:color w:val="auto"/>
                      <w:sz w:val="21"/>
                      <w:szCs w:val="21"/>
                      <w:highlight w:val="none"/>
                      <w:vertAlign w:val="superscript"/>
                    </w:rPr>
                    <w:t>3</w:t>
                  </w:r>
                  <w:r>
                    <w:rPr>
                      <w:rFonts w:ascii="Times New Roman" w:eastAsia="宋体" w:cs="Times New Roman"/>
                      <w:b/>
                      <w:color w:val="auto"/>
                      <w:sz w:val="21"/>
                      <w:szCs w:val="21"/>
                      <w:highlight w:val="none"/>
                    </w:rPr>
                    <w:t>）</w:t>
                  </w:r>
                </w:p>
              </w:tc>
              <w:tc>
                <w:tcPr>
                  <w:tcW w:w="1455" w:type="pct"/>
                  <w:vMerge w:val="continue"/>
                  <w:tcBorders>
                    <w:bottom w:val="single" w:color="000000" w:sz="12" w:space="0"/>
                  </w:tcBorders>
                  <w:noWrap w:val="0"/>
                  <w:tcMar>
                    <w:left w:w="28" w:type="dxa"/>
                    <w:right w:w="28" w:type="dxa"/>
                  </w:tcMar>
                  <w:vAlign w:val="center"/>
                </w:tcPr>
                <w:p w14:paraId="78FC664E">
                  <w:pPr>
                    <w:pStyle w:val="87"/>
                    <w:adjustRightInd w:val="0"/>
                    <w:snapToGrid w:val="0"/>
                    <w:rPr>
                      <w:rFonts w:ascii="Times New Roman" w:eastAsia="宋体" w:cs="Times New Roman"/>
                      <w:b/>
                      <w:color w:val="auto"/>
                      <w:sz w:val="21"/>
                      <w:szCs w:val="21"/>
                      <w:highlight w:val="none"/>
                    </w:rPr>
                  </w:pPr>
                </w:p>
              </w:tc>
            </w:tr>
            <w:tr w14:paraId="2174B5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03" w:hRule="atLeast"/>
                <w:jc w:val="center"/>
              </w:trPr>
              <w:tc>
                <w:tcPr>
                  <w:tcW w:w="742" w:type="pct"/>
                  <w:tcBorders>
                    <w:top w:val="single" w:color="000000" w:sz="12" w:space="0"/>
                  </w:tcBorders>
                  <w:noWrap w:val="0"/>
                  <w:tcMar>
                    <w:left w:w="28" w:type="dxa"/>
                    <w:right w:w="28" w:type="dxa"/>
                  </w:tcMar>
                  <w:vAlign w:val="center"/>
                </w:tcPr>
                <w:p w14:paraId="2CC9BA51">
                  <w:pPr>
                    <w:pStyle w:val="87"/>
                    <w:adjustRightInd w:val="0"/>
                    <w:snapToGrid w:val="0"/>
                    <w:rPr>
                      <w:rFonts w:ascii="Times New Roman" w:eastAsia="宋体" w:cs="Times New Roman"/>
                      <w:color w:val="auto"/>
                      <w:sz w:val="21"/>
                      <w:szCs w:val="21"/>
                      <w:highlight w:val="none"/>
                    </w:rPr>
                  </w:pPr>
                  <w:r>
                    <w:rPr>
                      <w:rFonts w:ascii="Times New Roman" w:eastAsia="宋体" w:cs="Times New Roman"/>
                      <w:color w:val="auto"/>
                      <w:sz w:val="21"/>
                      <w:szCs w:val="21"/>
                      <w:highlight w:val="none"/>
                    </w:rPr>
                    <w:t>非甲烷总烃</w:t>
                  </w:r>
                </w:p>
              </w:tc>
              <w:tc>
                <w:tcPr>
                  <w:tcW w:w="751" w:type="pct"/>
                  <w:tcBorders>
                    <w:top w:val="single" w:color="000000" w:sz="12" w:space="0"/>
                  </w:tcBorders>
                  <w:noWrap w:val="0"/>
                  <w:tcMar>
                    <w:left w:w="28" w:type="dxa"/>
                    <w:right w:w="28" w:type="dxa"/>
                  </w:tcMar>
                  <w:vAlign w:val="center"/>
                </w:tcPr>
                <w:p w14:paraId="1A27D408">
                  <w:pPr>
                    <w:pStyle w:val="87"/>
                    <w:adjustRightInd w:val="0"/>
                    <w:snapToGrid w:val="0"/>
                    <w:rPr>
                      <w:rFonts w:hint="eastAsia" w:ascii="Times New Roman" w:eastAsia="宋体" w:cs="Times New Roman"/>
                      <w:color w:val="auto"/>
                      <w:sz w:val="21"/>
                      <w:szCs w:val="21"/>
                      <w:highlight w:val="none"/>
                      <w:lang w:eastAsia="zh-CN"/>
                    </w:rPr>
                  </w:pPr>
                  <w:r>
                    <w:rPr>
                      <w:rFonts w:hint="eastAsia" w:ascii="Times New Roman" w:cs="Times New Roman"/>
                      <w:color w:val="auto"/>
                      <w:sz w:val="21"/>
                      <w:szCs w:val="21"/>
                      <w:highlight w:val="none"/>
                      <w:lang w:val="en-US" w:eastAsia="zh-CN"/>
                    </w:rPr>
                    <w:t>/</w:t>
                  </w:r>
                </w:p>
              </w:tc>
              <w:tc>
                <w:tcPr>
                  <w:tcW w:w="595" w:type="pct"/>
                  <w:tcBorders>
                    <w:top w:val="single" w:color="000000" w:sz="12" w:space="0"/>
                  </w:tcBorders>
                  <w:noWrap w:val="0"/>
                  <w:tcMar>
                    <w:left w:w="28" w:type="dxa"/>
                    <w:right w:w="28" w:type="dxa"/>
                  </w:tcMar>
                  <w:vAlign w:val="center"/>
                </w:tcPr>
                <w:p w14:paraId="2D7A2669">
                  <w:pPr>
                    <w:pStyle w:val="87"/>
                    <w:adjustRightInd w:val="0"/>
                    <w:snapToGrid w:val="0"/>
                    <w:rPr>
                      <w:rFonts w:hint="eastAsia" w:ascii="Times New Roman" w:eastAsia="宋体" w:cs="Times New Roman"/>
                      <w:color w:val="auto"/>
                      <w:sz w:val="21"/>
                      <w:szCs w:val="21"/>
                      <w:highlight w:val="none"/>
                      <w:lang w:eastAsia="zh-CN"/>
                    </w:rPr>
                  </w:pPr>
                  <w:r>
                    <w:rPr>
                      <w:rFonts w:hint="eastAsia" w:ascii="Times New Roman" w:cs="Times New Roman"/>
                      <w:color w:val="auto"/>
                      <w:sz w:val="21"/>
                      <w:szCs w:val="21"/>
                      <w:highlight w:val="none"/>
                      <w:lang w:val="en-US" w:eastAsia="zh-CN"/>
                    </w:rPr>
                    <w:t>/</w:t>
                  </w:r>
                </w:p>
              </w:tc>
              <w:tc>
                <w:tcPr>
                  <w:tcW w:w="619" w:type="pct"/>
                  <w:tcBorders>
                    <w:top w:val="single" w:color="000000" w:sz="12" w:space="0"/>
                  </w:tcBorders>
                  <w:noWrap w:val="0"/>
                  <w:tcMar>
                    <w:left w:w="28" w:type="dxa"/>
                    <w:right w:w="28" w:type="dxa"/>
                  </w:tcMar>
                  <w:vAlign w:val="center"/>
                </w:tcPr>
                <w:p w14:paraId="2057EE7A">
                  <w:pPr>
                    <w:pStyle w:val="87"/>
                    <w:adjustRightInd w:val="0"/>
                    <w:snapToGrid w:val="0"/>
                    <w:rPr>
                      <w:rFonts w:hint="eastAsia" w:ascii="Times New Roman" w:eastAsia="宋体" w:cs="Times New Roman"/>
                      <w:color w:val="auto"/>
                      <w:sz w:val="21"/>
                      <w:szCs w:val="21"/>
                      <w:highlight w:val="none"/>
                      <w:lang w:eastAsia="zh-CN"/>
                    </w:rPr>
                  </w:pPr>
                  <w:r>
                    <w:rPr>
                      <w:rFonts w:hint="eastAsia" w:ascii="Times New Roman" w:cs="Times New Roman"/>
                      <w:color w:val="auto"/>
                      <w:sz w:val="21"/>
                      <w:szCs w:val="21"/>
                      <w:highlight w:val="none"/>
                      <w:lang w:val="en-US" w:eastAsia="zh-CN"/>
                    </w:rPr>
                    <w:t>/</w:t>
                  </w:r>
                </w:p>
              </w:tc>
              <w:tc>
                <w:tcPr>
                  <w:tcW w:w="837" w:type="pct"/>
                  <w:tcBorders>
                    <w:top w:val="single" w:color="000000" w:sz="12" w:space="0"/>
                  </w:tcBorders>
                  <w:noWrap w:val="0"/>
                  <w:tcMar>
                    <w:left w:w="28" w:type="dxa"/>
                    <w:right w:w="28" w:type="dxa"/>
                  </w:tcMar>
                  <w:vAlign w:val="center"/>
                </w:tcPr>
                <w:p w14:paraId="323E4C3B">
                  <w:pPr>
                    <w:pStyle w:val="87"/>
                    <w:adjustRightInd w:val="0"/>
                    <w:snapToGrid w:val="0"/>
                    <w:rPr>
                      <w:rFonts w:ascii="Times New Roman" w:eastAsia="宋体" w:cs="Times New Roman"/>
                      <w:color w:val="auto"/>
                      <w:sz w:val="21"/>
                      <w:szCs w:val="21"/>
                      <w:highlight w:val="none"/>
                    </w:rPr>
                  </w:pPr>
                  <w:r>
                    <w:rPr>
                      <w:rFonts w:ascii="Times New Roman" w:eastAsia="宋体" w:cs="Times New Roman"/>
                      <w:color w:val="auto"/>
                      <w:sz w:val="21"/>
                      <w:szCs w:val="21"/>
                      <w:highlight w:val="none"/>
                    </w:rPr>
                    <w:t>4</w:t>
                  </w:r>
                </w:p>
              </w:tc>
              <w:tc>
                <w:tcPr>
                  <w:tcW w:w="1455" w:type="pct"/>
                  <w:tcBorders>
                    <w:top w:val="single" w:color="000000" w:sz="12" w:space="0"/>
                  </w:tcBorders>
                  <w:noWrap w:val="0"/>
                  <w:tcMar>
                    <w:left w:w="28" w:type="dxa"/>
                    <w:right w:w="28" w:type="dxa"/>
                  </w:tcMar>
                  <w:vAlign w:val="center"/>
                </w:tcPr>
                <w:p w14:paraId="0BE1BFBB">
                  <w:pPr>
                    <w:pStyle w:val="87"/>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江苏省地方标准《大气污染物综合排放标准》（DB32/4041-2021）</w:t>
                  </w:r>
                </w:p>
              </w:tc>
            </w:tr>
          </w:tbl>
          <w:p w14:paraId="451C264F">
            <w:pPr>
              <w:widowControl/>
              <w:spacing w:line="500" w:lineRule="exact"/>
              <w:jc w:val="center"/>
              <w:rPr>
                <w:b/>
                <w:color w:val="auto"/>
                <w:sz w:val="24"/>
                <w:highlight w:val="none"/>
              </w:rPr>
            </w:pPr>
            <w:r>
              <w:rPr>
                <w:b/>
                <w:color w:val="auto"/>
                <w:sz w:val="24"/>
                <w:highlight w:val="none"/>
              </w:rPr>
              <w:t>表3</w:t>
            </w:r>
            <w:bookmarkEnd w:id="15"/>
            <w:r>
              <w:rPr>
                <w:b/>
                <w:color w:val="auto"/>
                <w:sz w:val="24"/>
                <w:highlight w:val="none"/>
              </w:rPr>
              <w:t>-</w:t>
            </w:r>
            <w:r>
              <w:rPr>
                <w:rFonts w:hint="eastAsia"/>
                <w:b/>
                <w:color w:val="auto"/>
                <w:sz w:val="24"/>
                <w:highlight w:val="none"/>
                <w:lang w:val="en-US" w:eastAsia="zh-CN"/>
              </w:rPr>
              <w:t>5</w:t>
            </w:r>
            <w:r>
              <w:rPr>
                <w:b/>
                <w:color w:val="auto"/>
                <w:sz w:val="24"/>
                <w:highlight w:val="none"/>
              </w:rPr>
              <w:t xml:space="preserve"> 本项目厂区内无组织废气排放限值</w:t>
            </w:r>
          </w:p>
          <w:tbl>
            <w:tblPr>
              <w:tblStyle w:val="37"/>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294"/>
              <w:gridCol w:w="2434"/>
              <w:gridCol w:w="2724"/>
              <w:gridCol w:w="1975"/>
            </w:tblGrid>
            <w:tr w14:paraId="23DD67D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68" w:type="pct"/>
                  <w:tcBorders>
                    <w:top w:val="single" w:color="000000" w:sz="12" w:space="0"/>
                    <w:left w:val="nil"/>
                    <w:bottom w:val="single" w:color="000000" w:sz="12" w:space="0"/>
                    <w:right w:val="single" w:color="000000" w:sz="6" w:space="0"/>
                  </w:tcBorders>
                  <w:tcMar>
                    <w:top w:w="0" w:type="dxa"/>
                    <w:left w:w="28" w:type="dxa"/>
                    <w:bottom w:w="0" w:type="dxa"/>
                    <w:right w:w="28" w:type="dxa"/>
                  </w:tcMar>
                  <w:vAlign w:val="center"/>
                </w:tcPr>
                <w:p w14:paraId="2CC7D6FC">
                  <w:pPr>
                    <w:spacing w:line="300" w:lineRule="exact"/>
                    <w:jc w:val="center"/>
                    <w:rPr>
                      <w:b/>
                      <w:color w:val="auto"/>
                      <w:szCs w:val="21"/>
                      <w:highlight w:val="none"/>
                    </w:rPr>
                  </w:pPr>
                  <w:r>
                    <w:rPr>
                      <w:b/>
                      <w:color w:val="auto"/>
                      <w:szCs w:val="21"/>
                      <w:highlight w:val="none"/>
                    </w:rPr>
                    <w:t>污染物项目</w:t>
                  </w:r>
                </w:p>
              </w:tc>
              <w:tc>
                <w:tcPr>
                  <w:tcW w:w="1444" w:type="pct"/>
                  <w:tcBorders>
                    <w:top w:val="single" w:color="000000" w:sz="12"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263B0BFB">
                  <w:pPr>
                    <w:spacing w:line="300" w:lineRule="exact"/>
                    <w:jc w:val="center"/>
                    <w:rPr>
                      <w:b/>
                      <w:color w:val="auto"/>
                      <w:szCs w:val="21"/>
                      <w:highlight w:val="none"/>
                    </w:rPr>
                  </w:pPr>
                  <w:r>
                    <w:rPr>
                      <w:b/>
                      <w:color w:val="auto"/>
                      <w:szCs w:val="21"/>
                      <w:highlight w:val="none"/>
                    </w:rPr>
                    <w:t>监控点限值（mg/m</w:t>
                  </w:r>
                  <w:r>
                    <w:rPr>
                      <w:b/>
                      <w:color w:val="auto"/>
                      <w:szCs w:val="21"/>
                      <w:highlight w:val="none"/>
                      <w:vertAlign w:val="superscript"/>
                    </w:rPr>
                    <w:t>3</w:t>
                  </w:r>
                  <w:r>
                    <w:rPr>
                      <w:b/>
                      <w:color w:val="auto"/>
                      <w:szCs w:val="21"/>
                      <w:highlight w:val="none"/>
                    </w:rPr>
                    <w:t>）</w:t>
                  </w:r>
                </w:p>
              </w:tc>
              <w:tc>
                <w:tcPr>
                  <w:tcW w:w="1616" w:type="pct"/>
                  <w:tcBorders>
                    <w:top w:val="single" w:color="000000" w:sz="12"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2AD3E3DA">
                  <w:pPr>
                    <w:spacing w:line="300" w:lineRule="exact"/>
                    <w:jc w:val="center"/>
                    <w:rPr>
                      <w:b/>
                      <w:color w:val="auto"/>
                      <w:szCs w:val="21"/>
                      <w:highlight w:val="none"/>
                    </w:rPr>
                  </w:pPr>
                  <w:r>
                    <w:rPr>
                      <w:b/>
                      <w:color w:val="auto"/>
                      <w:szCs w:val="21"/>
                      <w:highlight w:val="none"/>
                    </w:rPr>
                    <w:t>限值含义</w:t>
                  </w:r>
                </w:p>
              </w:tc>
              <w:tc>
                <w:tcPr>
                  <w:tcW w:w="1172" w:type="pct"/>
                  <w:tcBorders>
                    <w:top w:val="single" w:color="000000" w:sz="12" w:space="0"/>
                    <w:left w:val="single" w:color="000000" w:sz="6" w:space="0"/>
                    <w:bottom w:val="single" w:color="000000" w:sz="12" w:space="0"/>
                    <w:right w:val="nil"/>
                  </w:tcBorders>
                  <w:tcMar>
                    <w:top w:w="0" w:type="dxa"/>
                    <w:left w:w="28" w:type="dxa"/>
                    <w:bottom w:w="0" w:type="dxa"/>
                    <w:right w:w="28" w:type="dxa"/>
                  </w:tcMar>
                  <w:vAlign w:val="center"/>
                </w:tcPr>
                <w:p w14:paraId="6E8C4F29">
                  <w:pPr>
                    <w:spacing w:line="300" w:lineRule="exact"/>
                    <w:jc w:val="center"/>
                    <w:rPr>
                      <w:b/>
                      <w:color w:val="auto"/>
                      <w:szCs w:val="21"/>
                      <w:highlight w:val="none"/>
                    </w:rPr>
                  </w:pPr>
                  <w:r>
                    <w:rPr>
                      <w:b/>
                      <w:color w:val="auto"/>
                      <w:szCs w:val="21"/>
                      <w:highlight w:val="none"/>
                    </w:rPr>
                    <w:t>无组织排放监控位置</w:t>
                  </w:r>
                </w:p>
              </w:tc>
            </w:tr>
            <w:tr w14:paraId="0150CF2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68" w:type="pct"/>
                  <w:vMerge w:val="restart"/>
                  <w:tcBorders>
                    <w:top w:val="single" w:color="000000" w:sz="12" w:space="0"/>
                    <w:left w:val="nil"/>
                    <w:bottom w:val="single" w:color="000000" w:sz="12" w:space="0"/>
                    <w:right w:val="single" w:color="000000" w:sz="6" w:space="0"/>
                  </w:tcBorders>
                  <w:tcMar>
                    <w:top w:w="0" w:type="dxa"/>
                    <w:left w:w="28" w:type="dxa"/>
                    <w:bottom w:w="0" w:type="dxa"/>
                    <w:right w:w="28" w:type="dxa"/>
                  </w:tcMar>
                  <w:vAlign w:val="center"/>
                </w:tcPr>
                <w:p w14:paraId="5F5F5037">
                  <w:pPr>
                    <w:spacing w:line="300" w:lineRule="exact"/>
                    <w:jc w:val="center"/>
                    <w:rPr>
                      <w:color w:val="auto"/>
                      <w:szCs w:val="21"/>
                      <w:highlight w:val="none"/>
                    </w:rPr>
                  </w:pPr>
                  <w:r>
                    <w:rPr>
                      <w:rFonts w:hint="eastAsia"/>
                      <w:color w:val="auto"/>
                      <w:highlight w:val="none"/>
                    </w:rPr>
                    <w:t>非甲烷总烃</w:t>
                  </w:r>
                </w:p>
              </w:tc>
              <w:tc>
                <w:tcPr>
                  <w:tcW w:w="1444" w:type="pct"/>
                  <w:tcBorders>
                    <w:top w:val="single" w:color="000000" w:sz="12"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8A40F9C">
                  <w:pPr>
                    <w:spacing w:line="300" w:lineRule="exact"/>
                    <w:jc w:val="center"/>
                    <w:rPr>
                      <w:color w:val="auto"/>
                      <w:szCs w:val="21"/>
                      <w:highlight w:val="none"/>
                    </w:rPr>
                  </w:pPr>
                  <w:r>
                    <w:rPr>
                      <w:color w:val="auto"/>
                      <w:szCs w:val="21"/>
                      <w:highlight w:val="none"/>
                    </w:rPr>
                    <w:t>6</w:t>
                  </w:r>
                </w:p>
              </w:tc>
              <w:tc>
                <w:tcPr>
                  <w:tcW w:w="1616" w:type="pct"/>
                  <w:tcBorders>
                    <w:top w:val="single" w:color="000000" w:sz="12"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A3BB482">
                  <w:pPr>
                    <w:spacing w:line="300" w:lineRule="exact"/>
                    <w:jc w:val="center"/>
                    <w:rPr>
                      <w:color w:val="auto"/>
                      <w:szCs w:val="21"/>
                      <w:highlight w:val="none"/>
                    </w:rPr>
                  </w:pPr>
                  <w:r>
                    <w:rPr>
                      <w:color w:val="auto"/>
                      <w:szCs w:val="21"/>
                      <w:highlight w:val="none"/>
                    </w:rPr>
                    <w:t>监控点处1h平均浓度值</w:t>
                  </w:r>
                </w:p>
              </w:tc>
              <w:tc>
                <w:tcPr>
                  <w:tcW w:w="1172" w:type="pct"/>
                  <w:vMerge w:val="restart"/>
                  <w:tcBorders>
                    <w:top w:val="single" w:color="000000" w:sz="12" w:space="0"/>
                    <w:left w:val="single" w:color="000000" w:sz="6" w:space="0"/>
                    <w:bottom w:val="single" w:color="000000" w:sz="12" w:space="0"/>
                    <w:right w:val="nil"/>
                  </w:tcBorders>
                  <w:tcMar>
                    <w:top w:w="0" w:type="dxa"/>
                    <w:left w:w="28" w:type="dxa"/>
                    <w:bottom w:w="0" w:type="dxa"/>
                    <w:right w:w="28" w:type="dxa"/>
                  </w:tcMar>
                  <w:vAlign w:val="center"/>
                </w:tcPr>
                <w:p w14:paraId="3C60FE21">
                  <w:pPr>
                    <w:spacing w:line="300" w:lineRule="exact"/>
                    <w:jc w:val="center"/>
                    <w:rPr>
                      <w:color w:val="auto"/>
                      <w:szCs w:val="21"/>
                      <w:highlight w:val="none"/>
                    </w:rPr>
                  </w:pPr>
                  <w:r>
                    <w:rPr>
                      <w:color w:val="auto"/>
                      <w:szCs w:val="21"/>
                      <w:highlight w:val="none"/>
                    </w:rPr>
                    <w:t>在厂房外设置监控点</w:t>
                  </w:r>
                </w:p>
              </w:tc>
            </w:tr>
            <w:tr w14:paraId="5E8DB6B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289" w:type="dxa"/>
                  <w:vMerge w:val="continue"/>
                  <w:tcBorders>
                    <w:top w:val="single" w:color="000000" w:sz="12" w:space="0"/>
                    <w:left w:val="nil"/>
                    <w:bottom w:val="single" w:color="000000" w:sz="12" w:space="0"/>
                    <w:right w:val="single" w:color="000000" w:sz="6" w:space="0"/>
                  </w:tcBorders>
                  <w:vAlign w:val="center"/>
                </w:tcPr>
                <w:p w14:paraId="51E9CFE8">
                  <w:pPr>
                    <w:jc w:val="center"/>
                    <w:rPr>
                      <w:color w:val="auto"/>
                      <w:szCs w:val="21"/>
                      <w:highlight w:val="none"/>
                    </w:rPr>
                  </w:pPr>
                </w:p>
              </w:tc>
              <w:tc>
                <w:tcPr>
                  <w:tcW w:w="1444" w:type="pct"/>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4752ED80">
                  <w:pPr>
                    <w:spacing w:line="300" w:lineRule="exact"/>
                    <w:jc w:val="center"/>
                    <w:rPr>
                      <w:color w:val="auto"/>
                      <w:szCs w:val="21"/>
                      <w:highlight w:val="none"/>
                    </w:rPr>
                  </w:pPr>
                  <w:r>
                    <w:rPr>
                      <w:color w:val="auto"/>
                      <w:szCs w:val="21"/>
                      <w:highlight w:val="none"/>
                    </w:rPr>
                    <w:t>20</w:t>
                  </w:r>
                </w:p>
              </w:tc>
              <w:tc>
                <w:tcPr>
                  <w:tcW w:w="1616" w:type="pct"/>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5CACEDD6">
                  <w:pPr>
                    <w:spacing w:line="300" w:lineRule="exact"/>
                    <w:jc w:val="center"/>
                    <w:rPr>
                      <w:color w:val="auto"/>
                      <w:szCs w:val="21"/>
                      <w:highlight w:val="none"/>
                    </w:rPr>
                  </w:pPr>
                  <w:r>
                    <w:rPr>
                      <w:color w:val="auto"/>
                      <w:szCs w:val="21"/>
                      <w:highlight w:val="none"/>
                    </w:rPr>
                    <w:t>监控点处任意一次浓度值</w:t>
                  </w:r>
                </w:p>
              </w:tc>
              <w:tc>
                <w:tcPr>
                  <w:tcW w:w="1967" w:type="dxa"/>
                  <w:vMerge w:val="continue"/>
                  <w:tcBorders>
                    <w:top w:val="single" w:color="000000" w:sz="12" w:space="0"/>
                    <w:left w:val="single" w:color="000000" w:sz="6" w:space="0"/>
                    <w:bottom w:val="single" w:color="000000" w:sz="12" w:space="0"/>
                    <w:right w:val="nil"/>
                  </w:tcBorders>
                  <w:vAlign w:val="center"/>
                </w:tcPr>
                <w:p w14:paraId="3FFA690C">
                  <w:pPr>
                    <w:jc w:val="center"/>
                    <w:rPr>
                      <w:color w:val="auto"/>
                      <w:szCs w:val="21"/>
                      <w:highlight w:val="none"/>
                    </w:rPr>
                  </w:pPr>
                </w:p>
              </w:tc>
            </w:tr>
          </w:tbl>
          <w:p w14:paraId="12C7F295">
            <w:pPr>
              <w:widowControl/>
              <w:adjustRightInd w:val="0"/>
              <w:snapToGrid w:val="0"/>
              <w:spacing w:line="360" w:lineRule="auto"/>
              <w:ind w:firstLine="482" w:firstLineChars="200"/>
              <w:rPr>
                <w:rFonts w:eastAsiaTheme="minorEastAsia"/>
                <w:b/>
                <w:color w:val="auto"/>
                <w:kern w:val="0"/>
                <w:sz w:val="24"/>
                <w:szCs w:val="20"/>
                <w:highlight w:val="none"/>
              </w:rPr>
            </w:pPr>
            <w:r>
              <w:rPr>
                <w:rFonts w:hint="eastAsia" w:eastAsiaTheme="minorEastAsia"/>
                <w:b/>
                <w:color w:val="auto"/>
                <w:kern w:val="0"/>
                <w:sz w:val="24"/>
                <w:szCs w:val="20"/>
                <w:highlight w:val="none"/>
                <w:lang w:val="en-US" w:eastAsia="zh-CN"/>
              </w:rPr>
              <w:t>3、</w:t>
            </w:r>
            <w:r>
              <w:rPr>
                <w:rFonts w:eastAsiaTheme="minorEastAsia"/>
                <w:b/>
                <w:color w:val="auto"/>
                <w:kern w:val="0"/>
                <w:sz w:val="24"/>
                <w:szCs w:val="20"/>
                <w:highlight w:val="none"/>
              </w:rPr>
              <w:t>噪声</w:t>
            </w:r>
          </w:p>
          <w:p w14:paraId="09B297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本项目运营期厂界噪声执行《工业企业厂界环境噪声排放标准》（GB12348-2008）中的3类标准，具体标准见表3-</w:t>
            </w:r>
            <w:r>
              <w:rPr>
                <w:rFonts w:hint="eastAsia" w:ascii="Times New Roman" w:hAnsi="Times New Roman" w:cs="Times New Roman"/>
                <w:color w:val="auto"/>
                <w:sz w:val="24"/>
                <w:szCs w:val="24"/>
                <w:highlight w:val="none"/>
                <w:lang w:val="en-US" w:eastAsia="zh-CN"/>
              </w:rPr>
              <w:t>6</w:t>
            </w:r>
            <w:r>
              <w:rPr>
                <w:rFonts w:hint="eastAsia" w:ascii="Times New Roman" w:hAnsi="Times New Roman" w:cs="Times New Roman"/>
                <w:color w:val="auto"/>
                <w:sz w:val="24"/>
                <w:szCs w:val="24"/>
                <w:highlight w:val="none"/>
              </w:rPr>
              <w:t>。</w:t>
            </w:r>
          </w:p>
          <w:p w14:paraId="1BC6DDF8">
            <w:pPr>
              <w:widowControl/>
              <w:adjustRightInd w:val="0"/>
              <w:snapToGrid w:val="0"/>
              <w:jc w:val="center"/>
              <w:rPr>
                <w:rFonts w:eastAsiaTheme="minorEastAsia"/>
                <w:b/>
                <w:bCs/>
                <w:color w:val="auto"/>
                <w:kern w:val="0"/>
                <w:sz w:val="24"/>
                <w:highlight w:val="none"/>
              </w:rPr>
            </w:pPr>
            <w:r>
              <w:rPr>
                <w:rFonts w:eastAsiaTheme="minorEastAsia"/>
                <w:b/>
                <w:color w:val="auto"/>
                <w:kern w:val="0"/>
                <w:sz w:val="24"/>
                <w:highlight w:val="none"/>
              </w:rPr>
              <w:t>表3-</w:t>
            </w:r>
            <w:r>
              <w:rPr>
                <w:rFonts w:hint="eastAsia" w:eastAsiaTheme="minorEastAsia"/>
                <w:b/>
                <w:color w:val="auto"/>
                <w:kern w:val="0"/>
                <w:sz w:val="24"/>
                <w:highlight w:val="none"/>
                <w:lang w:val="en-US" w:eastAsia="zh-CN"/>
              </w:rPr>
              <w:t>6</w:t>
            </w:r>
            <w:r>
              <w:rPr>
                <w:rFonts w:eastAsiaTheme="minorEastAsia"/>
                <w:b/>
                <w:color w:val="auto"/>
                <w:kern w:val="0"/>
                <w:sz w:val="24"/>
                <w:highlight w:val="none"/>
              </w:rPr>
              <w:t xml:space="preserve"> 噪声排放标准限值 </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autofit"/>
              <w:tblCellMar>
                <w:top w:w="0" w:type="dxa"/>
                <w:left w:w="0" w:type="dxa"/>
                <w:bottom w:w="0" w:type="dxa"/>
                <w:right w:w="0" w:type="dxa"/>
              </w:tblCellMar>
            </w:tblPr>
            <w:tblGrid>
              <w:gridCol w:w="1170"/>
              <w:gridCol w:w="1853"/>
              <w:gridCol w:w="1950"/>
              <w:gridCol w:w="3454"/>
            </w:tblGrid>
            <w:tr w14:paraId="4D7432CE">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0" w:type="dxa"/>
                  <w:bottom w:w="0" w:type="dxa"/>
                  <w:right w:w="0" w:type="dxa"/>
                </w:tblCellMar>
              </w:tblPrEx>
              <w:trPr>
                <w:trHeight w:val="301" w:hRule="atLeast"/>
                <w:jc w:val="center"/>
              </w:trPr>
              <w:tc>
                <w:tcPr>
                  <w:tcW w:w="694" w:type="pct"/>
                  <w:vMerge w:val="restart"/>
                  <w:tcMar>
                    <w:top w:w="0" w:type="dxa"/>
                    <w:left w:w="108" w:type="dxa"/>
                    <w:bottom w:w="0" w:type="dxa"/>
                    <w:right w:w="108" w:type="dxa"/>
                  </w:tcMar>
                  <w:vAlign w:val="center"/>
                </w:tcPr>
                <w:p w14:paraId="3230582D">
                  <w:pPr>
                    <w:jc w:val="center"/>
                    <w:rPr>
                      <w:b/>
                      <w:color w:val="auto"/>
                      <w:szCs w:val="21"/>
                      <w:highlight w:val="none"/>
                    </w:rPr>
                  </w:pPr>
                  <w:r>
                    <w:rPr>
                      <w:b/>
                      <w:bCs/>
                      <w:color w:val="auto"/>
                      <w:szCs w:val="21"/>
                      <w:highlight w:val="none"/>
                    </w:rPr>
                    <w:t>项目</w:t>
                  </w:r>
                </w:p>
              </w:tc>
              <w:tc>
                <w:tcPr>
                  <w:tcW w:w="2256" w:type="pct"/>
                  <w:gridSpan w:val="2"/>
                  <w:tcBorders>
                    <w:bottom w:val="single" w:color="auto" w:sz="4" w:space="0"/>
                  </w:tcBorders>
                  <w:vAlign w:val="center"/>
                </w:tcPr>
                <w:p w14:paraId="3332DD44">
                  <w:pPr>
                    <w:jc w:val="center"/>
                    <w:rPr>
                      <w:b/>
                      <w:color w:val="auto"/>
                      <w:szCs w:val="21"/>
                      <w:highlight w:val="none"/>
                    </w:rPr>
                  </w:pPr>
                  <w:r>
                    <w:rPr>
                      <w:b/>
                      <w:color w:val="auto"/>
                      <w:szCs w:val="21"/>
                      <w:highlight w:val="none"/>
                    </w:rPr>
                    <w:t>标准限值</w:t>
                  </w:r>
                  <w:r>
                    <w:rPr>
                      <w:b/>
                      <w:bCs/>
                      <w:color w:val="auto"/>
                      <w:szCs w:val="21"/>
                      <w:highlight w:val="none"/>
                    </w:rPr>
                    <w:t>(dB(A))</w:t>
                  </w:r>
                </w:p>
              </w:tc>
              <w:tc>
                <w:tcPr>
                  <w:tcW w:w="2049" w:type="pct"/>
                  <w:vMerge w:val="restart"/>
                  <w:vAlign w:val="center"/>
                </w:tcPr>
                <w:p w14:paraId="658350FB">
                  <w:pPr>
                    <w:jc w:val="center"/>
                    <w:rPr>
                      <w:b/>
                      <w:color w:val="auto"/>
                      <w:szCs w:val="21"/>
                      <w:highlight w:val="none"/>
                    </w:rPr>
                  </w:pPr>
                  <w:r>
                    <w:rPr>
                      <w:b/>
                      <w:color w:val="auto"/>
                      <w:szCs w:val="21"/>
                      <w:highlight w:val="none"/>
                    </w:rPr>
                    <w:t>标准来源</w:t>
                  </w:r>
                </w:p>
              </w:tc>
            </w:tr>
            <w:tr w14:paraId="043B5EB7">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0" w:type="dxa"/>
                  <w:bottom w:w="0" w:type="dxa"/>
                  <w:right w:w="0" w:type="dxa"/>
                </w:tblCellMar>
              </w:tblPrEx>
              <w:trPr>
                <w:trHeight w:val="301" w:hRule="atLeast"/>
                <w:jc w:val="center"/>
              </w:trPr>
              <w:tc>
                <w:tcPr>
                  <w:tcW w:w="694" w:type="pct"/>
                  <w:vMerge w:val="continue"/>
                  <w:tcMar>
                    <w:top w:w="0" w:type="dxa"/>
                    <w:left w:w="108" w:type="dxa"/>
                    <w:bottom w:w="0" w:type="dxa"/>
                    <w:right w:w="108" w:type="dxa"/>
                  </w:tcMar>
                  <w:vAlign w:val="center"/>
                </w:tcPr>
                <w:p w14:paraId="505353C3">
                  <w:pPr>
                    <w:jc w:val="center"/>
                    <w:rPr>
                      <w:b/>
                      <w:color w:val="auto"/>
                      <w:szCs w:val="21"/>
                      <w:highlight w:val="none"/>
                    </w:rPr>
                  </w:pPr>
                </w:p>
              </w:tc>
              <w:tc>
                <w:tcPr>
                  <w:tcW w:w="1099" w:type="pct"/>
                  <w:tcBorders>
                    <w:top w:val="single" w:color="auto" w:sz="4" w:space="0"/>
                  </w:tcBorders>
                  <w:vAlign w:val="center"/>
                </w:tcPr>
                <w:p w14:paraId="35BE42FB">
                  <w:pPr>
                    <w:jc w:val="center"/>
                    <w:rPr>
                      <w:b/>
                      <w:color w:val="auto"/>
                      <w:szCs w:val="21"/>
                      <w:highlight w:val="none"/>
                    </w:rPr>
                  </w:pPr>
                  <w:r>
                    <w:rPr>
                      <w:b/>
                      <w:color w:val="auto"/>
                      <w:szCs w:val="21"/>
                      <w:highlight w:val="none"/>
                    </w:rPr>
                    <w:t>昼间</w:t>
                  </w:r>
                </w:p>
              </w:tc>
              <w:tc>
                <w:tcPr>
                  <w:tcW w:w="1156" w:type="pct"/>
                  <w:tcBorders>
                    <w:top w:val="single" w:color="auto" w:sz="4" w:space="0"/>
                  </w:tcBorders>
                  <w:vAlign w:val="center"/>
                </w:tcPr>
                <w:p w14:paraId="208C9993">
                  <w:pPr>
                    <w:jc w:val="center"/>
                    <w:rPr>
                      <w:b/>
                      <w:color w:val="auto"/>
                      <w:szCs w:val="21"/>
                      <w:highlight w:val="none"/>
                    </w:rPr>
                  </w:pPr>
                  <w:r>
                    <w:rPr>
                      <w:b/>
                      <w:color w:val="auto"/>
                      <w:szCs w:val="21"/>
                      <w:highlight w:val="none"/>
                    </w:rPr>
                    <w:t>夜间</w:t>
                  </w:r>
                </w:p>
              </w:tc>
              <w:tc>
                <w:tcPr>
                  <w:tcW w:w="2049" w:type="pct"/>
                  <w:vMerge w:val="continue"/>
                  <w:vAlign w:val="center"/>
                </w:tcPr>
                <w:p w14:paraId="08A7FD99">
                  <w:pPr>
                    <w:jc w:val="center"/>
                    <w:rPr>
                      <w:b/>
                      <w:color w:val="auto"/>
                      <w:szCs w:val="21"/>
                      <w:highlight w:val="none"/>
                    </w:rPr>
                  </w:pPr>
                </w:p>
              </w:tc>
            </w:tr>
            <w:tr w14:paraId="2E9C0A4F">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0" w:type="dxa"/>
                  <w:bottom w:w="0" w:type="dxa"/>
                  <w:right w:w="0" w:type="dxa"/>
                </w:tblCellMar>
              </w:tblPrEx>
              <w:trPr>
                <w:trHeight w:val="301" w:hRule="atLeast"/>
                <w:jc w:val="center"/>
              </w:trPr>
              <w:tc>
                <w:tcPr>
                  <w:tcW w:w="694" w:type="pct"/>
                  <w:tcMar>
                    <w:top w:w="0" w:type="dxa"/>
                    <w:left w:w="108" w:type="dxa"/>
                    <w:bottom w:w="0" w:type="dxa"/>
                    <w:right w:w="108" w:type="dxa"/>
                  </w:tcMar>
                  <w:vAlign w:val="center"/>
                </w:tcPr>
                <w:p w14:paraId="2BCCA9F6">
                  <w:pPr>
                    <w:jc w:val="center"/>
                    <w:rPr>
                      <w:color w:val="auto"/>
                      <w:szCs w:val="21"/>
                      <w:highlight w:val="none"/>
                    </w:rPr>
                  </w:pPr>
                  <w:r>
                    <w:rPr>
                      <w:color w:val="auto"/>
                      <w:szCs w:val="21"/>
                      <w:highlight w:val="none"/>
                    </w:rPr>
                    <w:t>厂界</w:t>
                  </w:r>
                </w:p>
              </w:tc>
              <w:tc>
                <w:tcPr>
                  <w:tcW w:w="1099" w:type="pct"/>
                  <w:vAlign w:val="center"/>
                </w:tcPr>
                <w:p w14:paraId="2C4D5E83">
                  <w:pPr>
                    <w:jc w:val="center"/>
                    <w:rPr>
                      <w:color w:val="auto"/>
                      <w:szCs w:val="21"/>
                      <w:highlight w:val="none"/>
                    </w:rPr>
                  </w:pPr>
                  <w:r>
                    <w:rPr>
                      <w:color w:val="auto"/>
                      <w:szCs w:val="21"/>
                      <w:highlight w:val="none"/>
                    </w:rPr>
                    <w:t>65</w:t>
                  </w:r>
                </w:p>
              </w:tc>
              <w:tc>
                <w:tcPr>
                  <w:tcW w:w="1156" w:type="pct"/>
                  <w:vAlign w:val="center"/>
                </w:tcPr>
                <w:p w14:paraId="36ACC72A">
                  <w:pPr>
                    <w:jc w:val="center"/>
                    <w:rPr>
                      <w:color w:val="auto"/>
                      <w:szCs w:val="21"/>
                      <w:highlight w:val="none"/>
                    </w:rPr>
                  </w:pPr>
                  <w:r>
                    <w:rPr>
                      <w:color w:val="auto"/>
                      <w:szCs w:val="21"/>
                      <w:highlight w:val="none"/>
                    </w:rPr>
                    <w:t>55</w:t>
                  </w:r>
                </w:p>
              </w:tc>
              <w:tc>
                <w:tcPr>
                  <w:tcW w:w="2049" w:type="pct"/>
                  <w:vAlign w:val="center"/>
                </w:tcPr>
                <w:p w14:paraId="11C83E17">
                  <w:pPr>
                    <w:jc w:val="center"/>
                    <w:rPr>
                      <w:color w:val="auto"/>
                      <w:szCs w:val="21"/>
                      <w:highlight w:val="none"/>
                    </w:rPr>
                  </w:pPr>
                  <w:r>
                    <w:rPr>
                      <w:bCs/>
                      <w:color w:val="auto"/>
                      <w:szCs w:val="21"/>
                      <w:highlight w:val="none"/>
                    </w:rPr>
                    <w:t>《工业企业厂界环境噪声排放标准》（GB12348-2008）3</w:t>
                  </w:r>
                  <w:r>
                    <w:rPr>
                      <w:color w:val="auto"/>
                      <w:highlight w:val="none"/>
                    </w:rPr>
                    <w:t>类标准</w:t>
                  </w:r>
                </w:p>
              </w:tc>
            </w:tr>
          </w:tbl>
          <w:p w14:paraId="72D5B2CE">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eastAsiaTheme="minorEastAsia"/>
                <w:b/>
                <w:color w:val="auto"/>
                <w:sz w:val="24"/>
                <w:szCs w:val="20"/>
                <w:highlight w:val="none"/>
              </w:rPr>
            </w:pPr>
            <w:r>
              <w:rPr>
                <w:rFonts w:hint="eastAsia" w:eastAsiaTheme="minorEastAsia"/>
                <w:b/>
                <w:color w:val="auto"/>
                <w:sz w:val="24"/>
                <w:szCs w:val="20"/>
                <w:highlight w:val="none"/>
                <w:lang w:val="en-US" w:eastAsia="zh-CN"/>
              </w:rPr>
              <w:t>4、</w:t>
            </w:r>
            <w:r>
              <w:rPr>
                <w:rFonts w:eastAsiaTheme="minorEastAsia"/>
                <w:b/>
                <w:color w:val="auto"/>
                <w:sz w:val="24"/>
                <w:szCs w:val="20"/>
                <w:highlight w:val="none"/>
              </w:rPr>
              <w:t>固废</w:t>
            </w:r>
          </w:p>
          <w:p w14:paraId="0380C12B">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eastAsiaTheme="minorEastAsia"/>
                <w:color w:val="auto"/>
                <w:highlight w:val="none"/>
              </w:rPr>
            </w:pPr>
            <w:r>
              <w:rPr>
                <w:rFonts w:eastAsiaTheme="minorEastAsia"/>
                <w:color w:val="auto"/>
                <w:kern w:val="0"/>
                <w:sz w:val="24"/>
                <w:highlight w:val="none"/>
              </w:rPr>
              <w:t>一般工业固体废弃物执行《一般工业固体废物贮存和填埋污染控制标准》（GB18599-2020）；危险废物贮存</w:t>
            </w:r>
            <w:r>
              <w:rPr>
                <w:color w:val="auto"/>
                <w:sz w:val="24"/>
                <w:szCs w:val="24"/>
                <w:highlight w:val="none"/>
              </w:rPr>
              <w:t>执行《危险废物贮存污染控制标准》（GB18597-20</w:t>
            </w:r>
            <w:r>
              <w:rPr>
                <w:rFonts w:hint="eastAsia"/>
                <w:color w:val="auto"/>
                <w:sz w:val="24"/>
                <w:szCs w:val="24"/>
                <w:highlight w:val="none"/>
                <w:lang w:val="en-US" w:eastAsia="zh-CN"/>
              </w:rPr>
              <w:t>23</w:t>
            </w:r>
            <w:r>
              <w:rPr>
                <w:color w:val="auto"/>
                <w:sz w:val="24"/>
                <w:szCs w:val="24"/>
                <w:highlight w:val="none"/>
              </w:rPr>
              <w:t>）</w:t>
            </w:r>
            <w:r>
              <w:rPr>
                <w:rFonts w:hint="eastAsia"/>
                <w:color w:val="auto"/>
                <w:sz w:val="24"/>
                <w:szCs w:val="24"/>
                <w:highlight w:val="none"/>
                <w:lang w:val="en-US" w:eastAsia="zh-CN"/>
              </w:rPr>
              <w:t>以及</w:t>
            </w:r>
            <w:r>
              <w:rPr>
                <w:rFonts w:hint="eastAsia"/>
                <w:color w:val="auto"/>
                <w:sz w:val="24"/>
                <w:szCs w:val="24"/>
                <w:highlight w:val="none"/>
              </w:rPr>
              <w:t>省生态环境厅关于印发《江苏省固体废物全过程环境监管工作意见》的通知（苏环办〔2024〕16号）</w:t>
            </w:r>
            <w:r>
              <w:rPr>
                <w:rFonts w:hint="eastAsia" w:cs="Times New Roman"/>
                <w:color w:val="auto"/>
                <w:sz w:val="24"/>
                <w:szCs w:val="24"/>
                <w:highlight w:val="none"/>
                <w:lang w:eastAsia="zh-CN"/>
              </w:rPr>
              <w:t>。</w:t>
            </w:r>
            <w:r>
              <w:rPr>
                <w:color w:val="auto"/>
                <w:sz w:val="24"/>
                <w:szCs w:val="24"/>
                <w:highlight w:val="none"/>
              </w:rPr>
              <w:t>生活垃圾处理执行《城市生活垃圾处理及污染防治技术政策》（建城</w:t>
            </w:r>
            <w:r>
              <w:rPr>
                <w:rFonts w:ascii="Times New Roman" w:eastAsia="Times New Roman"/>
                <w:color w:val="auto"/>
                <w:sz w:val="24"/>
                <w:szCs w:val="24"/>
                <w:highlight w:val="none"/>
              </w:rPr>
              <w:t>[2000]120</w:t>
            </w:r>
            <w:r>
              <w:rPr>
                <w:color w:val="auto"/>
                <w:sz w:val="24"/>
                <w:szCs w:val="24"/>
                <w:highlight w:val="none"/>
              </w:rPr>
              <w:t>号）和《生活垃圾处理技术指南》（建城</w:t>
            </w:r>
            <w:r>
              <w:rPr>
                <w:rFonts w:ascii="Times New Roman" w:eastAsia="Times New Roman"/>
                <w:color w:val="auto"/>
                <w:sz w:val="24"/>
                <w:szCs w:val="24"/>
                <w:highlight w:val="none"/>
              </w:rPr>
              <w:t>[2010]61</w:t>
            </w:r>
            <w:r>
              <w:rPr>
                <w:color w:val="auto"/>
                <w:sz w:val="24"/>
                <w:szCs w:val="24"/>
                <w:highlight w:val="none"/>
              </w:rPr>
              <w:t>号）以及国家、省市关于固体废物污染环境防治的法律法规。</w:t>
            </w:r>
          </w:p>
        </w:tc>
      </w:tr>
      <w:tr w14:paraId="7805CF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233" w:type="pct"/>
            <w:vAlign w:val="center"/>
          </w:tcPr>
          <w:p w14:paraId="17D6A54A">
            <w:pPr>
              <w:adjustRightInd w:val="0"/>
              <w:snapToGrid w:val="0"/>
              <w:jc w:val="center"/>
              <w:rPr>
                <w:rFonts w:eastAsiaTheme="minorEastAsia"/>
                <w:b/>
                <w:bCs/>
                <w:color w:val="auto"/>
                <w:kern w:val="0"/>
                <w:szCs w:val="21"/>
                <w:highlight w:val="none"/>
              </w:rPr>
            </w:pPr>
            <w:r>
              <w:rPr>
                <w:rFonts w:eastAsiaTheme="minorEastAsia"/>
                <w:b/>
                <w:bCs/>
                <w:color w:val="auto"/>
                <w:kern w:val="0"/>
                <w:szCs w:val="21"/>
                <w:highlight w:val="none"/>
              </w:rPr>
              <w:t>总量</w:t>
            </w:r>
          </w:p>
          <w:p w14:paraId="66D8086E">
            <w:pPr>
              <w:adjustRightInd w:val="0"/>
              <w:snapToGrid w:val="0"/>
              <w:jc w:val="center"/>
              <w:rPr>
                <w:rFonts w:eastAsiaTheme="minorEastAsia"/>
                <w:b/>
                <w:bCs/>
                <w:color w:val="auto"/>
                <w:kern w:val="0"/>
                <w:szCs w:val="21"/>
                <w:highlight w:val="none"/>
              </w:rPr>
            </w:pPr>
            <w:r>
              <w:rPr>
                <w:rFonts w:eastAsiaTheme="minorEastAsia"/>
                <w:b/>
                <w:bCs/>
                <w:color w:val="auto"/>
                <w:kern w:val="0"/>
                <w:szCs w:val="21"/>
                <w:highlight w:val="none"/>
              </w:rPr>
              <w:t>控制</w:t>
            </w:r>
          </w:p>
          <w:p w14:paraId="56D76F74">
            <w:pPr>
              <w:adjustRightInd w:val="0"/>
              <w:snapToGrid w:val="0"/>
              <w:jc w:val="center"/>
              <w:rPr>
                <w:rFonts w:eastAsiaTheme="minorEastAsia"/>
                <w:b/>
                <w:bCs/>
                <w:color w:val="auto"/>
                <w:kern w:val="0"/>
                <w:szCs w:val="21"/>
                <w:highlight w:val="none"/>
              </w:rPr>
            </w:pPr>
            <w:r>
              <w:rPr>
                <w:rFonts w:eastAsiaTheme="minorEastAsia"/>
                <w:b/>
                <w:bCs/>
                <w:color w:val="auto"/>
                <w:kern w:val="0"/>
                <w:szCs w:val="21"/>
                <w:highlight w:val="none"/>
              </w:rPr>
              <w:t>指标</w:t>
            </w:r>
          </w:p>
        </w:tc>
        <w:tc>
          <w:tcPr>
            <w:tcW w:w="4766" w:type="pct"/>
            <w:vAlign w:val="center"/>
          </w:tcPr>
          <w:p w14:paraId="3E0773AB">
            <w:pPr>
              <w:adjustRightInd w:val="0"/>
              <w:snapToGrid w:val="0"/>
              <w:spacing w:line="360" w:lineRule="auto"/>
              <w:ind w:firstLine="480" w:firstLineChars="200"/>
              <w:jc w:val="both"/>
              <w:rPr>
                <w:b/>
                <w:color w:val="auto"/>
                <w:sz w:val="24"/>
                <w:szCs w:val="24"/>
                <w:highlight w:val="none"/>
              </w:rPr>
            </w:pPr>
            <w:r>
              <w:rPr>
                <w:rFonts w:hint="default"/>
                <w:color w:val="auto"/>
                <w:sz w:val="24"/>
                <w:szCs w:val="24"/>
                <w:highlight w:val="none"/>
              </w:rPr>
              <w:t>建设项目污染物排放总量指标见表</w:t>
            </w:r>
            <w:r>
              <w:rPr>
                <w:rFonts w:hint="default"/>
                <w:color w:val="auto"/>
                <w:sz w:val="24"/>
                <w:szCs w:val="24"/>
                <w:highlight w:val="none"/>
                <w:lang w:val="en-US" w:eastAsia="zh-CN"/>
              </w:rPr>
              <w:t>3</w:t>
            </w:r>
            <w:r>
              <w:rPr>
                <w:rFonts w:hint="default"/>
                <w:color w:val="auto"/>
                <w:sz w:val="24"/>
                <w:szCs w:val="24"/>
                <w:highlight w:val="none"/>
              </w:rPr>
              <w:t>-</w:t>
            </w:r>
            <w:r>
              <w:rPr>
                <w:rFonts w:hint="eastAsia"/>
                <w:color w:val="auto"/>
                <w:sz w:val="24"/>
                <w:szCs w:val="24"/>
                <w:highlight w:val="none"/>
                <w:lang w:val="en-US" w:eastAsia="zh-CN"/>
              </w:rPr>
              <w:t>7</w:t>
            </w:r>
            <w:r>
              <w:rPr>
                <w:rFonts w:hint="default"/>
                <w:color w:val="auto"/>
                <w:sz w:val="24"/>
                <w:szCs w:val="24"/>
                <w:highlight w:val="none"/>
              </w:rPr>
              <w:t>。</w:t>
            </w:r>
          </w:p>
          <w:p w14:paraId="0B538EF3">
            <w:pPr>
              <w:keepNext/>
              <w:adjustRightInd w:val="0"/>
              <w:snapToGrid w:val="0"/>
              <w:jc w:val="center"/>
              <w:rPr>
                <w:b/>
                <w:color w:val="auto"/>
                <w:szCs w:val="21"/>
                <w:highlight w:val="none"/>
              </w:rPr>
            </w:pPr>
            <w:r>
              <w:rPr>
                <w:b/>
                <w:color w:val="auto"/>
                <w:sz w:val="24"/>
                <w:szCs w:val="24"/>
                <w:highlight w:val="none"/>
              </w:rPr>
              <w:t>表3-</w:t>
            </w:r>
            <w:r>
              <w:rPr>
                <w:rFonts w:hint="eastAsia"/>
                <w:b/>
                <w:color w:val="auto"/>
                <w:sz w:val="24"/>
                <w:szCs w:val="24"/>
                <w:highlight w:val="none"/>
                <w:lang w:val="en-US" w:eastAsia="zh-CN"/>
              </w:rPr>
              <w:t>7</w:t>
            </w:r>
            <w:r>
              <w:rPr>
                <w:rFonts w:hint="default"/>
                <w:b/>
                <w:bCs w:val="0"/>
                <w:color w:val="auto"/>
                <w:sz w:val="24"/>
                <w:szCs w:val="24"/>
                <w:highlight w:val="none"/>
              </w:rPr>
              <w:t>建设项目污染物排放总量指标</w:t>
            </w:r>
            <w:r>
              <w:rPr>
                <w:b/>
                <w:color w:val="auto"/>
                <w:sz w:val="24"/>
                <w:szCs w:val="24"/>
                <w:highlight w:val="none"/>
              </w:rPr>
              <w:t>（</w:t>
            </w:r>
            <w:r>
              <w:rPr>
                <w:rFonts w:hint="eastAsia"/>
                <w:b/>
                <w:color w:val="auto"/>
                <w:sz w:val="24"/>
                <w:szCs w:val="24"/>
                <w:highlight w:val="none"/>
              </w:rPr>
              <w:t>单位：</w:t>
            </w:r>
            <w:r>
              <w:rPr>
                <w:b/>
                <w:color w:val="auto"/>
                <w:sz w:val="24"/>
                <w:szCs w:val="24"/>
                <w:highlight w:val="none"/>
              </w:rPr>
              <w:t>t/a）</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03"/>
              <w:gridCol w:w="848"/>
              <w:gridCol w:w="1252"/>
              <w:gridCol w:w="1306"/>
              <w:gridCol w:w="1699"/>
              <w:gridCol w:w="1353"/>
              <w:gridCol w:w="1363"/>
            </w:tblGrid>
            <w:tr w14:paraId="620EC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7" w:hRule="atLeast"/>
                <w:tblHeader/>
                <w:jc w:val="center"/>
              </w:trPr>
              <w:tc>
                <w:tcPr>
                  <w:tcW w:w="861" w:type="pct"/>
                  <w:gridSpan w:val="2"/>
                  <w:tcBorders>
                    <w:top w:val="single" w:color="auto" w:sz="12" w:space="0"/>
                    <w:bottom w:val="single" w:color="auto" w:sz="12" w:space="0"/>
                    <w:right w:val="single" w:color="000000" w:sz="4" w:space="0"/>
                  </w:tcBorders>
                  <w:vAlign w:val="center"/>
                </w:tcPr>
                <w:p w14:paraId="2E3FFCB8">
                  <w:pPr>
                    <w:autoSpaceDE w:val="0"/>
                    <w:autoSpaceDN w:val="0"/>
                    <w:adjustRightInd w:val="0"/>
                    <w:snapToGrid w:val="0"/>
                    <w:jc w:val="center"/>
                    <w:rPr>
                      <w:rFonts w:hint="eastAsia" w:eastAsia="宋体"/>
                      <w:b/>
                      <w:color w:val="auto"/>
                      <w:szCs w:val="21"/>
                      <w:highlight w:val="none"/>
                      <w:lang w:eastAsia="zh-CN"/>
                    </w:rPr>
                  </w:pPr>
                  <w:r>
                    <w:rPr>
                      <w:rFonts w:hint="eastAsia"/>
                      <w:b/>
                      <w:color w:val="auto"/>
                      <w:szCs w:val="21"/>
                      <w:highlight w:val="none"/>
                      <w:lang w:eastAsia="zh-CN"/>
                    </w:rPr>
                    <w:t>种类</w:t>
                  </w:r>
                </w:p>
              </w:tc>
              <w:tc>
                <w:tcPr>
                  <w:tcW w:w="743" w:type="pct"/>
                  <w:tcBorders>
                    <w:top w:val="single" w:color="auto" w:sz="12" w:space="0"/>
                    <w:left w:val="single" w:color="000000" w:sz="4" w:space="0"/>
                    <w:bottom w:val="single" w:color="auto" w:sz="12" w:space="0"/>
                    <w:right w:val="single" w:color="auto" w:sz="4" w:space="0"/>
                  </w:tcBorders>
                  <w:vAlign w:val="center"/>
                </w:tcPr>
                <w:p w14:paraId="0884B50C">
                  <w:pPr>
                    <w:autoSpaceDE w:val="0"/>
                    <w:autoSpaceDN w:val="0"/>
                    <w:adjustRightInd w:val="0"/>
                    <w:snapToGrid w:val="0"/>
                    <w:jc w:val="center"/>
                    <w:rPr>
                      <w:rFonts w:hint="eastAsia"/>
                      <w:b/>
                      <w:color w:val="auto"/>
                      <w:szCs w:val="21"/>
                      <w:highlight w:val="none"/>
                    </w:rPr>
                  </w:pPr>
                  <w:r>
                    <w:rPr>
                      <w:rFonts w:hint="eastAsia"/>
                      <w:b/>
                      <w:color w:val="auto"/>
                      <w:szCs w:val="21"/>
                      <w:highlight w:val="none"/>
                    </w:rPr>
                    <w:t>污染物名称</w:t>
                  </w:r>
                </w:p>
              </w:tc>
              <w:tc>
                <w:tcPr>
                  <w:tcW w:w="775" w:type="pct"/>
                  <w:tcBorders>
                    <w:top w:val="single" w:color="auto" w:sz="12" w:space="0"/>
                    <w:left w:val="single" w:color="auto" w:sz="4" w:space="0"/>
                    <w:bottom w:val="single" w:color="auto" w:sz="12" w:space="0"/>
                    <w:right w:val="single" w:color="auto" w:sz="4" w:space="0"/>
                  </w:tcBorders>
                  <w:vAlign w:val="center"/>
                </w:tcPr>
                <w:p w14:paraId="70FAC07E">
                  <w:pPr>
                    <w:adjustRightInd w:val="0"/>
                    <w:snapToGrid w:val="0"/>
                    <w:jc w:val="center"/>
                    <w:rPr>
                      <w:b/>
                      <w:color w:val="auto"/>
                      <w:szCs w:val="21"/>
                      <w:highlight w:val="none"/>
                    </w:rPr>
                  </w:pPr>
                  <w:r>
                    <w:rPr>
                      <w:b/>
                      <w:bCs/>
                      <w:color w:val="auto"/>
                      <w:szCs w:val="21"/>
                      <w:highlight w:val="none"/>
                    </w:rPr>
                    <w:t>产生量</w:t>
                  </w:r>
                </w:p>
              </w:tc>
              <w:tc>
                <w:tcPr>
                  <w:tcW w:w="1008" w:type="pct"/>
                  <w:tcBorders>
                    <w:top w:val="single" w:color="auto" w:sz="12" w:space="0"/>
                    <w:left w:val="single" w:color="auto" w:sz="4" w:space="0"/>
                    <w:bottom w:val="single" w:color="auto" w:sz="12" w:space="0"/>
                    <w:right w:val="single" w:color="auto" w:sz="4" w:space="0"/>
                  </w:tcBorders>
                  <w:vAlign w:val="center"/>
                </w:tcPr>
                <w:p w14:paraId="39979B51">
                  <w:pPr>
                    <w:adjustRightInd w:val="0"/>
                    <w:snapToGrid w:val="0"/>
                    <w:jc w:val="center"/>
                    <w:rPr>
                      <w:b/>
                      <w:color w:val="auto"/>
                      <w:szCs w:val="21"/>
                      <w:highlight w:val="none"/>
                    </w:rPr>
                  </w:pPr>
                  <w:r>
                    <w:rPr>
                      <w:rFonts w:hint="eastAsia"/>
                      <w:b/>
                      <w:bCs/>
                      <w:color w:val="auto"/>
                      <w:szCs w:val="21"/>
                      <w:highlight w:val="none"/>
                    </w:rPr>
                    <w:t>削减量</w:t>
                  </w:r>
                </w:p>
              </w:tc>
              <w:tc>
                <w:tcPr>
                  <w:tcW w:w="803" w:type="pct"/>
                  <w:tcBorders>
                    <w:top w:val="single" w:color="auto" w:sz="12" w:space="0"/>
                    <w:left w:val="single" w:color="auto" w:sz="4" w:space="0"/>
                    <w:bottom w:val="single" w:color="auto" w:sz="12" w:space="0"/>
                    <w:right w:val="single" w:color="auto" w:sz="4" w:space="0"/>
                  </w:tcBorders>
                  <w:vAlign w:val="center"/>
                </w:tcPr>
                <w:p w14:paraId="0683987E">
                  <w:pPr>
                    <w:autoSpaceDE w:val="0"/>
                    <w:autoSpaceDN w:val="0"/>
                    <w:adjustRightInd w:val="0"/>
                    <w:snapToGrid w:val="0"/>
                    <w:jc w:val="center"/>
                    <w:rPr>
                      <w:b/>
                      <w:color w:val="auto"/>
                      <w:szCs w:val="21"/>
                      <w:highlight w:val="none"/>
                    </w:rPr>
                  </w:pPr>
                  <w:r>
                    <w:rPr>
                      <w:rFonts w:hint="eastAsia"/>
                      <w:b/>
                      <w:color w:val="auto"/>
                      <w:szCs w:val="21"/>
                      <w:highlight w:val="none"/>
                      <w:lang w:eastAsia="zh-CN"/>
                    </w:rPr>
                    <w:t>接管</w:t>
                  </w:r>
                  <w:r>
                    <w:rPr>
                      <w:rFonts w:hint="eastAsia"/>
                      <w:b/>
                      <w:color w:val="auto"/>
                      <w:szCs w:val="21"/>
                      <w:highlight w:val="none"/>
                    </w:rPr>
                    <w:t>量</w:t>
                  </w:r>
                </w:p>
              </w:tc>
              <w:tc>
                <w:tcPr>
                  <w:tcW w:w="809" w:type="pct"/>
                  <w:tcBorders>
                    <w:top w:val="single" w:color="auto" w:sz="12" w:space="0"/>
                    <w:left w:val="single" w:color="auto" w:sz="4" w:space="0"/>
                    <w:bottom w:val="single" w:color="auto" w:sz="12" w:space="0"/>
                  </w:tcBorders>
                  <w:vAlign w:val="center"/>
                </w:tcPr>
                <w:p w14:paraId="1DDB6982">
                  <w:pPr>
                    <w:autoSpaceDE w:val="0"/>
                    <w:autoSpaceDN w:val="0"/>
                    <w:adjustRightInd w:val="0"/>
                    <w:snapToGrid w:val="0"/>
                    <w:jc w:val="center"/>
                    <w:rPr>
                      <w:rFonts w:hint="eastAsia" w:eastAsia="宋体"/>
                      <w:b/>
                      <w:color w:val="auto"/>
                      <w:szCs w:val="21"/>
                      <w:highlight w:val="none"/>
                      <w:lang w:eastAsia="zh-CN"/>
                    </w:rPr>
                  </w:pPr>
                  <w:r>
                    <w:rPr>
                      <w:rFonts w:hint="eastAsia"/>
                      <w:b/>
                      <w:color w:val="auto"/>
                      <w:szCs w:val="21"/>
                      <w:highlight w:val="none"/>
                      <w:lang w:eastAsia="zh-CN"/>
                    </w:rPr>
                    <w:t>外排量</w:t>
                  </w:r>
                </w:p>
              </w:tc>
            </w:tr>
            <w:tr w14:paraId="673282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58" w:type="pct"/>
                  <w:tcBorders>
                    <w:top w:val="single" w:color="auto" w:sz="12" w:space="0"/>
                    <w:right w:val="single" w:color="auto" w:sz="4" w:space="0"/>
                  </w:tcBorders>
                  <w:vAlign w:val="center"/>
                </w:tcPr>
                <w:p w14:paraId="64D96479">
                  <w:pPr>
                    <w:autoSpaceDE w:val="0"/>
                    <w:autoSpaceDN w:val="0"/>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废气</w:t>
                  </w:r>
                </w:p>
              </w:tc>
              <w:tc>
                <w:tcPr>
                  <w:tcW w:w="503" w:type="pct"/>
                  <w:tcBorders>
                    <w:top w:val="single" w:color="auto" w:sz="12" w:space="0"/>
                    <w:left w:val="single" w:color="auto" w:sz="4" w:space="0"/>
                    <w:bottom w:val="single" w:color="auto" w:sz="4" w:space="0"/>
                    <w:right w:val="single" w:color="auto" w:sz="4" w:space="0"/>
                  </w:tcBorders>
                  <w:vAlign w:val="center"/>
                </w:tcPr>
                <w:p w14:paraId="3E5CAC5D">
                  <w:pPr>
                    <w:autoSpaceDE w:val="0"/>
                    <w:autoSpaceDN w:val="0"/>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无组织</w:t>
                  </w:r>
                </w:p>
              </w:tc>
              <w:tc>
                <w:tcPr>
                  <w:tcW w:w="743" w:type="pct"/>
                  <w:tcBorders>
                    <w:top w:val="single" w:color="auto" w:sz="12" w:space="0"/>
                    <w:left w:val="single" w:color="auto" w:sz="4" w:space="0"/>
                    <w:bottom w:val="single" w:color="auto" w:sz="4" w:space="0"/>
                    <w:right w:val="single" w:color="auto" w:sz="4" w:space="0"/>
                  </w:tcBorders>
                  <w:vAlign w:val="center"/>
                </w:tcPr>
                <w:p w14:paraId="3D12BD7A">
                  <w:pPr>
                    <w:adjustRightInd w:val="0"/>
                    <w:snapToGrid w:val="0"/>
                    <w:jc w:val="center"/>
                    <w:rPr>
                      <w:rFonts w:hint="eastAsia"/>
                      <w:color w:val="auto"/>
                      <w:szCs w:val="21"/>
                      <w:highlight w:val="none"/>
                    </w:rPr>
                  </w:pPr>
                  <w:r>
                    <w:rPr>
                      <w:rFonts w:hint="eastAsia"/>
                      <w:color w:val="auto"/>
                      <w:szCs w:val="21"/>
                      <w:highlight w:val="none"/>
                    </w:rPr>
                    <w:t>非甲烷总烃</w:t>
                  </w:r>
                </w:p>
              </w:tc>
              <w:tc>
                <w:tcPr>
                  <w:tcW w:w="775" w:type="pct"/>
                  <w:tcBorders>
                    <w:top w:val="single" w:color="auto" w:sz="12" w:space="0"/>
                    <w:left w:val="single" w:color="auto" w:sz="4" w:space="0"/>
                    <w:bottom w:val="single" w:color="auto" w:sz="4" w:space="0"/>
                    <w:right w:val="single" w:color="auto" w:sz="4" w:space="0"/>
                  </w:tcBorders>
                  <w:vAlign w:val="center"/>
                </w:tcPr>
                <w:p w14:paraId="0ACB5AE8">
                  <w:pPr>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0.208</w:t>
                  </w:r>
                </w:p>
              </w:tc>
              <w:tc>
                <w:tcPr>
                  <w:tcW w:w="1008" w:type="pct"/>
                  <w:tcBorders>
                    <w:top w:val="single" w:color="auto" w:sz="12" w:space="0"/>
                    <w:left w:val="single" w:color="auto" w:sz="4" w:space="0"/>
                    <w:bottom w:val="single" w:color="auto" w:sz="4" w:space="0"/>
                    <w:right w:val="single" w:color="auto" w:sz="4" w:space="0"/>
                  </w:tcBorders>
                  <w:vAlign w:val="center"/>
                </w:tcPr>
                <w:p w14:paraId="4F02A143">
                  <w:pPr>
                    <w:widowControl/>
                    <w:jc w:val="center"/>
                    <w:textAlignment w:val="center"/>
                    <w:rPr>
                      <w:rFonts w:hint="default" w:eastAsia="宋体"/>
                      <w:color w:val="auto"/>
                      <w:highlight w:val="none"/>
                      <w:lang w:val="en-US" w:eastAsia="zh-CN"/>
                    </w:rPr>
                  </w:pPr>
                  <w:r>
                    <w:rPr>
                      <w:rFonts w:hint="eastAsia"/>
                      <w:color w:val="auto"/>
                      <w:highlight w:val="none"/>
                      <w:lang w:val="en-US" w:eastAsia="zh-CN"/>
                    </w:rPr>
                    <w:t>0</w:t>
                  </w:r>
                </w:p>
              </w:tc>
              <w:tc>
                <w:tcPr>
                  <w:tcW w:w="803" w:type="pct"/>
                  <w:tcBorders>
                    <w:top w:val="single" w:color="auto" w:sz="12" w:space="0"/>
                    <w:left w:val="single" w:color="auto" w:sz="4" w:space="0"/>
                    <w:bottom w:val="single" w:color="auto" w:sz="4" w:space="0"/>
                    <w:right w:val="single" w:color="auto" w:sz="4" w:space="0"/>
                  </w:tcBorders>
                  <w:vAlign w:val="center"/>
                </w:tcPr>
                <w:p w14:paraId="2E2936EF">
                  <w:pPr>
                    <w:adjustRightInd w:val="0"/>
                    <w:snapToGrid w:val="0"/>
                    <w:jc w:val="center"/>
                    <w:rPr>
                      <w:rFonts w:hint="default" w:eastAsiaTheme="minorEastAsia"/>
                      <w:color w:val="auto"/>
                      <w:kern w:val="0"/>
                      <w:szCs w:val="21"/>
                      <w:highlight w:val="none"/>
                      <w:lang w:val="en-US"/>
                    </w:rPr>
                  </w:pPr>
                  <w:r>
                    <w:rPr>
                      <w:rFonts w:hint="eastAsia" w:eastAsiaTheme="minorEastAsia"/>
                      <w:color w:val="auto"/>
                      <w:kern w:val="0"/>
                      <w:szCs w:val="21"/>
                      <w:highlight w:val="none"/>
                      <w:lang w:val="en-US" w:eastAsia="zh-CN"/>
                    </w:rPr>
                    <w:t>0</w:t>
                  </w:r>
                </w:p>
              </w:tc>
              <w:tc>
                <w:tcPr>
                  <w:tcW w:w="809" w:type="pct"/>
                  <w:tcBorders>
                    <w:top w:val="single" w:color="auto" w:sz="12" w:space="0"/>
                    <w:left w:val="single" w:color="auto" w:sz="4" w:space="0"/>
                    <w:bottom w:val="single" w:color="auto" w:sz="4" w:space="0"/>
                  </w:tcBorders>
                  <w:vAlign w:val="center"/>
                </w:tcPr>
                <w:p w14:paraId="4989CE52">
                  <w:pPr>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0.208</w:t>
                  </w:r>
                </w:p>
              </w:tc>
            </w:tr>
            <w:tr w14:paraId="6386D3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8" w:type="pct"/>
                  <w:vMerge w:val="restart"/>
                  <w:tcBorders>
                    <w:top w:val="single" w:color="auto" w:sz="4" w:space="0"/>
                    <w:bottom w:val="single" w:color="auto" w:sz="4" w:space="0"/>
                    <w:right w:val="single" w:color="auto" w:sz="4" w:space="0"/>
                  </w:tcBorders>
                  <w:vAlign w:val="center"/>
                </w:tcPr>
                <w:p w14:paraId="7429013C">
                  <w:pPr>
                    <w:autoSpaceDE w:val="0"/>
                    <w:autoSpaceDN w:val="0"/>
                    <w:adjustRightInd w:val="0"/>
                    <w:snapToGrid w:val="0"/>
                    <w:jc w:val="center"/>
                    <w:rPr>
                      <w:color w:val="auto"/>
                      <w:szCs w:val="21"/>
                      <w:highlight w:val="none"/>
                    </w:rPr>
                  </w:pPr>
                  <w:r>
                    <w:rPr>
                      <w:rFonts w:hint="eastAsia"/>
                      <w:color w:val="auto"/>
                      <w:szCs w:val="21"/>
                      <w:highlight w:val="none"/>
                    </w:rPr>
                    <w:t>废水</w:t>
                  </w:r>
                </w:p>
              </w:tc>
              <w:tc>
                <w:tcPr>
                  <w:tcW w:w="1246" w:type="pct"/>
                  <w:gridSpan w:val="2"/>
                  <w:tcBorders>
                    <w:top w:val="single" w:color="auto" w:sz="4" w:space="0"/>
                    <w:left w:val="single" w:color="auto" w:sz="4" w:space="0"/>
                    <w:bottom w:val="single" w:color="auto" w:sz="4" w:space="0"/>
                    <w:right w:val="single" w:color="auto" w:sz="4" w:space="0"/>
                  </w:tcBorders>
                  <w:vAlign w:val="center"/>
                </w:tcPr>
                <w:p w14:paraId="214DF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auto"/>
                      <w:szCs w:val="21"/>
                      <w:highlight w:val="none"/>
                    </w:rPr>
                  </w:pPr>
                  <w:r>
                    <w:rPr>
                      <w:color w:val="auto"/>
                      <w:szCs w:val="21"/>
                      <w:highlight w:val="none"/>
                    </w:rPr>
                    <w:t>废水量</w:t>
                  </w:r>
                </w:p>
              </w:tc>
              <w:tc>
                <w:tcPr>
                  <w:tcW w:w="775" w:type="pct"/>
                  <w:tcBorders>
                    <w:top w:val="single" w:color="auto" w:sz="4" w:space="0"/>
                    <w:left w:val="single" w:color="auto" w:sz="4" w:space="0"/>
                    <w:bottom w:val="single" w:color="auto" w:sz="4" w:space="0"/>
                    <w:right w:val="single" w:color="auto" w:sz="4" w:space="0"/>
                  </w:tcBorders>
                  <w:vAlign w:val="center"/>
                </w:tcPr>
                <w:p w14:paraId="2F98085E">
                  <w:pPr>
                    <w:jc w:val="center"/>
                    <w:rPr>
                      <w:rFonts w:hint="default" w:eastAsia="宋体"/>
                      <w:bCs/>
                      <w:color w:val="auto"/>
                      <w:szCs w:val="21"/>
                      <w:highlight w:val="none"/>
                      <w:lang w:val="en-US" w:eastAsia="zh-CN"/>
                    </w:rPr>
                  </w:pPr>
                  <w:r>
                    <w:rPr>
                      <w:rFonts w:hint="eastAsia"/>
                      <w:color w:val="auto"/>
                      <w:szCs w:val="21"/>
                      <w:highlight w:val="none"/>
                      <w:lang w:val="en-US" w:eastAsia="zh-CN"/>
                    </w:rPr>
                    <w:t>840</w:t>
                  </w:r>
                </w:p>
              </w:tc>
              <w:tc>
                <w:tcPr>
                  <w:tcW w:w="1008" w:type="pct"/>
                  <w:tcBorders>
                    <w:top w:val="single" w:color="auto" w:sz="4" w:space="0"/>
                    <w:left w:val="single" w:color="auto" w:sz="4" w:space="0"/>
                    <w:bottom w:val="single" w:color="auto" w:sz="4" w:space="0"/>
                    <w:right w:val="single" w:color="auto" w:sz="4" w:space="0"/>
                  </w:tcBorders>
                  <w:vAlign w:val="center"/>
                </w:tcPr>
                <w:p w14:paraId="30307137">
                  <w:pPr>
                    <w:jc w:val="center"/>
                    <w:rPr>
                      <w:bCs/>
                      <w:color w:val="auto"/>
                      <w:szCs w:val="21"/>
                      <w:highlight w:val="none"/>
                    </w:rPr>
                  </w:pPr>
                  <w:r>
                    <w:rPr>
                      <w:rFonts w:hint="eastAsia"/>
                      <w:color w:val="auto"/>
                      <w:highlight w:val="none"/>
                    </w:rPr>
                    <w:t>0</w:t>
                  </w:r>
                </w:p>
              </w:tc>
              <w:tc>
                <w:tcPr>
                  <w:tcW w:w="803" w:type="pct"/>
                  <w:tcBorders>
                    <w:top w:val="single" w:color="auto" w:sz="4" w:space="0"/>
                    <w:left w:val="single" w:color="auto" w:sz="4" w:space="0"/>
                    <w:bottom w:val="single" w:color="auto" w:sz="4" w:space="0"/>
                    <w:right w:val="single" w:color="auto" w:sz="4" w:space="0"/>
                  </w:tcBorders>
                  <w:vAlign w:val="center"/>
                </w:tcPr>
                <w:p w14:paraId="6D1FFDF5">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840</w:t>
                  </w:r>
                </w:p>
              </w:tc>
              <w:tc>
                <w:tcPr>
                  <w:tcW w:w="809" w:type="pct"/>
                  <w:tcBorders>
                    <w:top w:val="single" w:color="auto" w:sz="4" w:space="0"/>
                    <w:left w:val="single" w:color="auto" w:sz="4" w:space="0"/>
                    <w:bottom w:val="single" w:color="auto" w:sz="4" w:space="0"/>
                  </w:tcBorders>
                  <w:vAlign w:val="center"/>
                </w:tcPr>
                <w:p w14:paraId="07FA3CAE">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840</w:t>
                  </w:r>
                </w:p>
              </w:tc>
            </w:tr>
            <w:tr w14:paraId="5F801F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8" w:type="pct"/>
                  <w:vMerge w:val="continue"/>
                  <w:tcBorders>
                    <w:top w:val="single" w:color="auto" w:sz="4" w:space="0"/>
                    <w:bottom w:val="single" w:color="auto" w:sz="4" w:space="0"/>
                    <w:right w:val="single" w:color="auto" w:sz="4" w:space="0"/>
                  </w:tcBorders>
                  <w:vAlign w:val="center"/>
                </w:tcPr>
                <w:p w14:paraId="090447D5">
                  <w:pPr>
                    <w:autoSpaceDE w:val="0"/>
                    <w:autoSpaceDN w:val="0"/>
                    <w:adjustRightInd w:val="0"/>
                    <w:snapToGrid w:val="0"/>
                    <w:jc w:val="center"/>
                    <w:rPr>
                      <w:color w:val="auto"/>
                      <w:szCs w:val="21"/>
                      <w:highlight w:val="none"/>
                    </w:rPr>
                  </w:pPr>
                </w:p>
              </w:tc>
              <w:tc>
                <w:tcPr>
                  <w:tcW w:w="1246" w:type="pct"/>
                  <w:gridSpan w:val="2"/>
                  <w:tcBorders>
                    <w:top w:val="single" w:color="auto" w:sz="4" w:space="0"/>
                    <w:left w:val="single" w:color="auto" w:sz="4" w:space="0"/>
                    <w:bottom w:val="single" w:color="auto" w:sz="4" w:space="0"/>
                    <w:right w:val="single" w:color="auto" w:sz="4" w:space="0"/>
                  </w:tcBorders>
                  <w:vAlign w:val="center"/>
                </w:tcPr>
                <w:p w14:paraId="6FFE6FC1">
                  <w:pPr>
                    <w:adjustRightInd w:val="0"/>
                    <w:snapToGrid w:val="0"/>
                    <w:spacing w:line="240" w:lineRule="auto"/>
                    <w:ind w:firstLine="0" w:firstLineChars="0"/>
                    <w:jc w:val="center"/>
                    <w:rPr>
                      <w:color w:val="auto"/>
                      <w:szCs w:val="21"/>
                      <w:highlight w:val="none"/>
                    </w:rPr>
                  </w:pPr>
                  <w:r>
                    <w:rPr>
                      <w:rFonts w:hint="default" w:ascii="Times New Roman" w:hAnsi="Times New Roman" w:cs="Times New Roman"/>
                      <w:color w:val="auto"/>
                      <w:sz w:val="21"/>
                      <w:szCs w:val="21"/>
                      <w:highlight w:val="none"/>
                    </w:rPr>
                    <w:t>COD</w:t>
                  </w:r>
                </w:p>
              </w:tc>
              <w:tc>
                <w:tcPr>
                  <w:tcW w:w="1305" w:type="dxa"/>
                  <w:tcBorders>
                    <w:top w:val="single" w:color="auto" w:sz="4" w:space="0"/>
                    <w:left w:val="single" w:color="auto" w:sz="4" w:space="0"/>
                    <w:bottom w:val="single" w:color="auto" w:sz="4" w:space="0"/>
                    <w:right w:val="single" w:color="auto" w:sz="4" w:space="0"/>
                  </w:tcBorders>
                  <w:vAlign w:val="center"/>
                </w:tcPr>
                <w:p w14:paraId="13630A71">
                  <w:pPr>
                    <w:adjustRightInd w:val="0"/>
                    <w:snapToGrid w:val="0"/>
                    <w:spacing w:line="240" w:lineRule="auto"/>
                    <w:ind w:firstLine="0" w:firstLineChars="0"/>
                    <w:jc w:val="center"/>
                    <w:rPr>
                      <w:rFonts w:hint="eastAsia" w:eastAsia="宋体"/>
                      <w:bCs/>
                      <w:color w:val="auto"/>
                      <w:szCs w:val="21"/>
                      <w:highlight w:val="none"/>
                      <w:lang w:val="en-US" w:eastAsia="zh-CN"/>
                    </w:rPr>
                  </w:pPr>
                  <w:r>
                    <w:rPr>
                      <w:rFonts w:hint="eastAsia"/>
                      <w:color w:val="auto"/>
                      <w:sz w:val="21"/>
                      <w:szCs w:val="21"/>
                      <w:highlight w:val="none"/>
                      <w:lang w:eastAsia="zh-CN"/>
                    </w:rPr>
                    <w:t>0.</w:t>
                  </w:r>
                  <w:r>
                    <w:rPr>
                      <w:rFonts w:hint="eastAsia"/>
                      <w:color w:val="auto"/>
                      <w:sz w:val="21"/>
                      <w:szCs w:val="21"/>
                      <w:highlight w:val="none"/>
                      <w:lang w:val="en-US" w:eastAsia="zh-CN"/>
                    </w:rPr>
                    <w:t>2158</w:t>
                  </w:r>
                </w:p>
              </w:tc>
              <w:tc>
                <w:tcPr>
                  <w:tcW w:w="1008" w:type="pct"/>
                  <w:tcBorders>
                    <w:top w:val="single" w:color="auto" w:sz="4" w:space="0"/>
                    <w:left w:val="single" w:color="auto" w:sz="4" w:space="0"/>
                    <w:bottom w:val="single" w:color="auto" w:sz="4" w:space="0"/>
                    <w:right w:val="single" w:color="auto" w:sz="4" w:space="0"/>
                  </w:tcBorders>
                  <w:vAlign w:val="center"/>
                </w:tcPr>
                <w:p w14:paraId="5D80D855">
                  <w:pPr>
                    <w:jc w:val="center"/>
                    <w:rPr>
                      <w:bCs/>
                      <w:color w:val="auto"/>
                      <w:szCs w:val="21"/>
                      <w:highlight w:val="none"/>
                    </w:rPr>
                  </w:pPr>
                  <w:r>
                    <w:rPr>
                      <w:rFonts w:hint="eastAsia"/>
                      <w:color w:val="auto"/>
                      <w:highlight w:val="none"/>
                    </w:rPr>
                    <w:t>0</w:t>
                  </w:r>
                </w:p>
              </w:tc>
              <w:tc>
                <w:tcPr>
                  <w:tcW w:w="1352" w:type="dxa"/>
                  <w:tcBorders>
                    <w:top w:val="single" w:color="auto" w:sz="4" w:space="0"/>
                    <w:left w:val="single" w:color="auto" w:sz="4" w:space="0"/>
                    <w:bottom w:val="single" w:color="auto" w:sz="4" w:space="0"/>
                    <w:right w:val="single" w:color="auto" w:sz="4" w:space="0"/>
                  </w:tcBorders>
                  <w:vAlign w:val="center"/>
                </w:tcPr>
                <w:p w14:paraId="0F75D1CC">
                  <w:pPr>
                    <w:adjustRightInd w:val="0"/>
                    <w:snapToGrid w:val="0"/>
                    <w:spacing w:line="240" w:lineRule="auto"/>
                    <w:ind w:firstLine="0" w:firstLineChars="0"/>
                    <w:jc w:val="center"/>
                    <w:rPr>
                      <w:rFonts w:hint="eastAsia" w:eastAsia="宋体"/>
                      <w:color w:val="auto"/>
                      <w:szCs w:val="21"/>
                      <w:highlight w:val="none"/>
                      <w:lang w:val="en-US" w:eastAsia="zh-CN"/>
                    </w:rPr>
                  </w:pPr>
                  <w:r>
                    <w:rPr>
                      <w:rFonts w:hint="eastAsia"/>
                      <w:color w:val="auto"/>
                      <w:sz w:val="21"/>
                      <w:szCs w:val="21"/>
                      <w:highlight w:val="none"/>
                      <w:lang w:eastAsia="zh-CN"/>
                    </w:rPr>
                    <w:t>0.</w:t>
                  </w:r>
                  <w:r>
                    <w:rPr>
                      <w:rFonts w:hint="eastAsia"/>
                      <w:color w:val="auto"/>
                      <w:sz w:val="21"/>
                      <w:szCs w:val="21"/>
                      <w:highlight w:val="none"/>
                      <w:lang w:val="en-US" w:eastAsia="zh-CN"/>
                    </w:rPr>
                    <w:t>2158</w:t>
                  </w:r>
                </w:p>
              </w:tc>
              <w:tc>
                <w:tcPr>
                  <w:tcW w:w="1362" w:type="dxa"/>
                  <w:tcBorders>
                    <w:top w:val="single" w:color="auto" w:sz="4" w:space="0"/>
                    <w:left w:val="single" w:color="auto" w:sz="4" w:space="0"/>
                    <w:bottom w:val="single" w:color="auto" w:sz="4" w:space="0"/>
                  </w:tcBorders>
                  <w:vAlign w:val="center"/>
                </w:tcPr>
                <w:p w14:paraId="00E67E63">
                  <w:pPr>
                    <w:adjustRightInd w:val="0"/>
                    <w:snapToGrid w:val="0"/>
                    <w:spacing w:line="240" w:lineRule="auto"/>
                    <w:ind w:firstLine="0" w:firstLineChars="0"/>
                    <w:jc w:val="center"/>
                    <w:rPr>
                      <w:rFonts w:hint="default" w:eastAsia="宋体"/>
                      <w:color w:val="auto"/>
                      <w:szCs w:val="21"/>
                      <w:highlight w:val="none"/>
                      <w:lang w:val="en-US" w:eastAsia="zh-CN"/>
                    </w:rPr>
                  </w:pPr>
                  <w:r>
                    <w:rPr>
                      <w:rFonts w:hint="eastAsia"/>
                      <w:color w:val="auto"/>
                      <w:sz w:val="21"/>
                      <w:szCs w:val="21"/>
                      <w:highlight w:val="none"/>
                    </w:rPr>
                    <w:t>0.0</w:t>
                  </w:r>
                  <w:r>
                    <w:rPr>
                      <w:rFonts w:hint="eastAsia"/>
                      <w:color w:val="auto"/>
                      <w:sz w:val="21"/>
                      <w:szCs w:val="21"/>
                      <w:highlight w:val="none"/>
                      <w:lang w:val="en-US" w:eastAsia="zh-CN"/>
                    </w:rPr>
                    <w:t>42</w:t>
                  </w:r>
                </w:p>
              </w:tc>
            </w:tr>
            <w:tr w14:paraId="49A6FD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8" w:type="pct"/>
                  <w:vMerge w:val="continue"/>
                  <w:tcBorders>
                    <w:top w:val="single" w:color="auto" w:sz="4" w:space="0"/>
                    <w:bottom w:val="single" w:color="auto" w:sz="4" w:space="0"/>
                    <w:right w:val="single" w:color="auto" w:sz="4" w:space="0"/>
                  </w:tcBorders>
                  <w:vAlign w:val="center"/>
                </w:tcPr>
                <w:p w14:paraId="7173DF6F">
                  <w:pPr>
                    <w:autoSpaceDE w:val="0"/>
                    <w:autoSpaceDN w:val="0"/>
                    <w:adjustRightInd w:val="0"/>
                    <w:snapToGrid w:val="0"/>
                    <w:jc w:val="center"/>
                    <w:rPr>
                      <w:color w:val="auto"/>
                      <w:szCs w:val="21"/>
                      <w:highlight w:val="none"/>
                    </w:rPr>
                  </w:pPr>
                </w:p>
              </w:tc>
              <w:tc>
                <w:tcPr>
                  <w:tcW w:w="1246" w:type="pct"/>
                  <w:gridSpan w:val="2"/>
                  <w:tcBorders>
                    <w:top w:val="single" w:color="auto" w:sz="4" w:space="0"/>
                    <w:left w:val="single" w:color="auto" w:sz="4" w:space="0"/>
                    <w:bottom w:val="single" w:color="auto" w:sz="4" w:space="0"/>
                    <w:right w:val="single" w:color="auto" w:sz="4" w:space="0"/>
                  </w:tcBorders>
                  <w:vAlign w:val="center"/>
                </w:tcPr>
                <w:p w14:paraId="35CC18BE">
                  <w:pPr>
                    <w:pStyle w:val="62"/>
                    <w:spacing w:before="0" w:line="240" w:lineRule="auto"/>
                    <w:ind w:firstLine="0" w:firstLineChars="0"/>
                    <w:rPr>
                      <w:color w:val="auto"/>
                      <w:szCs w:val="21"/>
                      <w:highlight w:val="none"/>
                    </w:rPr>
                  </w:pPr>
                  <w:r>
                    <w:rPr>
                      <w:rFonts w:hint="default" w:ascii="Times New Roman" w:hAnsi="Times New Roman" w:cs="Times New Roman"/>
                      <w:color w:val="auto"/>
                      <w:sz w:val="21"/>
                      <w:szCs w:val="21"/>
                      <w:highlight w:val="none"/>
                    </w:rPr>
                    <w:t>SS</w:t>
                  </w:r>
                </w:p>
              </w:tc>
              <w:tc>
                <w:tcPr>
                  <w:tcW w:w="1305" w:type="dxa"/>
                  <w:tcBorders>
                    <w:top w:val="single" w:color="auto" w:sz="4" w:space="0"/>
                    <w:left w:val="single" w:color="auto" w:sz="4" w:space="0"/>
                    <w:bottom w:val="single" w:color="auto" w:sz="4" w:space="0"/>
                    <w:right w:val="single" w:color="auto" w:sz="4" w:space="0"/>
                  </w:tcBorders>
                  <w:vAlign w:val="center"/>
                </w:tcPr>
                <w:p w14:paraId="450371CA">
                  <w:pPr>
                    <w:adjustRightInd w:val="0"/>
                    <w:snapToGrid w:val="0"/>
                    <w:spacing w:line="240" w:lineRule="auto"/>
                    <w:ind w:firstLine="0" w:firstLineChars="0"/>
                    <w:jc w:val="center"/>
                    <w:rPr>
                      <w:rFonts w:hint="eastAsia" w:eastAsia="宋体"/>
                      <w:bCs/>
                      <w:color w:val="auto"/>
                      <w:szCs w:val="21"/>
                      <w:highlight w:val="none"/>
                      <w:lang w:val="en-US" w:eastAsia="zh-CN"/>
                    </w:rPr>
                  </w:pPr>
                  <w:r>
                    <w:rPr>
                      <w:rFonts w:hint="eastAsia"/>
                      <w:color w:val="auto"/>
                      <w:sz w:val="21"/>
                      <w:szCs w:val="21"/>
                      <w:highlight w:val="none"/>
                      <w:lang w:val="en-US" w:eastAsia="zh-CN"/>
                    </w:rPr>
                    <w:t>0.1915</w:t>
                  </w:r>
                </w:p>
              </w:tc>
              <w:tc>
                <w:tcPr>
                  <w:tcW w:w="1008" w:type="pct"/>
                  <w:tcBorders>
                    <w:top w:val="single" w:color="auto" w:sz="4" w:space="0"/>
                    <w:left w:val="single" w:color="auto" w:sz="4" w:space="0"/>
                    <w:bottom w:val="single" w:color="auto" w:sz="4" w:space="0"/>
                    <w:right w:val="single" w:color="auto" w:sz="4" w:space="0"/>
                  </w:tcBorders>
                  <w:vAlign w:val="center"/>
                </w:tcPr>
                <w:p w14:paraId="23654106">
                  <w:pPr>
                    <w:jc w:val="center"/>
                    <w:rPr>
                      <w:bCs/>
                      <w:color w:val="auto"/>
                      <w:szCs w:val="21"/>
                      <w:highlight w:val="none"/>
                    </w:rPr>
                  </w:pPr>
                  <w:r>
                    <w:rPr>
                      <w:rFonts w:hint="eastAsia"/>
                      <w:color w:val="auto"/>
                      <w:highlight w:val="none"/>
                    </w:rPr>
                    <w:t>0</w:t>
                  </w:r>
                </w:p>
              </w:tc>
              <w:tc>
                <w:tcPr>
                  <w:tcW w:w="1352" w:type="dxa"/>
                  <w:tcBorders>
                    <w:top w:val="single" w:color="auto" w:sz="4" w:space="0"/>
                    <w:left w:val="single" w:color="auto" w:sz="4" w:space="0"/>
                    <w:bottom w:val="single" w:color="auto" w:sz="4" w:space="0"/>
                    <w:right w:val="single" w:color="auto" w:sz="4" w:space="0"/>
                  </w:tcBorders>
                  <w:vAlign w:val="center"/>
                </w:tcPr>
                <w:p w14:paraId="57F0EB20">
                  <w:pPr>
                    <w:adjustRightInd w:val="0"/>
                    <w:snapToGrid w:val="0"/>
                    <w:spacing w:line="240" w:lineRule="auto"/>
                    <w:ind w:firstLine="0" w:firstLineChars="0"/>
                    <w:jc w:val="center"/>
                    <w:rPr>
                      <w:rFonts w:hint="eastAsia" w:eastAsia="宋体"/>
                      <w:color w:val="auto"/>
                      <w:szCs w:val="21"/>
                      <w:highlight w:val="none"/>
                      <w:lang w:val="en-US" w:eastAsia="zh-CN"/>
                    </w:rPr>
                  </w:pPr>
                  <w:r>
                    <w:rPr>
                      <w:rFonts w:hint="eastAsia"/>
                      <w:color w:val="auto"/>
                      <w:sz w:val="21"/>
                      <w:szCs w:val="21"/>
                      <w:highlight w:val="none"/>
                      <w:lang w:val="en-US" w:eastAsia="zh-CN"/>
                    </w:rPr>
                    <w:t>0.1915</w:t>
                  </w:r>
                </w:p>
              </w:tc>
              <w:tc>
                <w:tcPr>
                  <w:tcW w:w="1362" w:type="dxa"/>
                  <w:tcBorders>
                    <w:top w:val="single" w:color="auto" w:sz="4" w:space="0"/>
                    <w:left w:val="single" w:color="auto" w:sz="4" w:space="0"/>
                    <w:bottom w:val="single" w:color="auto" w:sz="4" w:space="0"/>
                  </w:tcBorders>
                  <w:vAlign w:val="center"/>
                </w:tcPr>
                <w:p w14:paraId="09561C16">
                  <w:pPr>
                    <w:adjustRightInd w:val="0"/>
                    <w:snapToGrid w:val="0"/>
                    <w:spacing w:line="240" w:lineRule="auto"/>
                    <w:ind w:firstLine="0" w:firstLineChars="0"/>
                    <w:jc w:val="center"/>
                    <w:rPr>
                      <w:rFonts w:hint="default" w:eastAsia="宋体"/>
                      <w:color w:val="auto"/>
                      <w:szCs w:val="21"/>
                      <w:highlight w:val="none"/>
                      <w:lang w:val="en-US" w:eastAsia="zh-CN"/>
                    </w:rPr>
                  </w:pPr>
                  <w:r>
                    <w:rPr>
                      <w:rFonts w:hint="eastAsia"/>
                      <w:color w:val="auto"/>
                      <w:sz w:val="21"/>
                      <w:szCs w:val="21"/>
                      <w:highlight w:val="none"/>
                    </w:rPr>
                    <w:t>0.00</w:t>
                  </w:r>
                  <w:r>
                    <w:rPr>
                      <w:rFonts w:hint="eastAsia"/>
                      <w:color w:val="auto"/>
                      <w:sz w:val="21"/>
                      <w:szCs w:val="21"/>
                      <w:highlight w:val="none"/>
                      <w:lang w:val="en-US" w:eastAsia="zh-CN"/>
                    </w:rPr>
                    <w:t>84</w:t>
                  </w:r>
                </w:p>
              </w:tc>
            </w:tr>
            <w:tr w14:paraId="0A113D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8" w:type="pct"/>
                  <w:vMerge w:val="continue"/>
                  <w:tcBorders>
                    <w:top w:val="single" w:color="auto" w:sz="4" w:space="0"/>
                    <w:bottom w:val="single" w:color="auto" w:sz="4" w:space="0"/>
                    <w:right w:val="single" w:color="auto" w:sz="4" w:space="0"/>
                  </w:tcBorders>
                  <w:vAlign w:val="center"/>
                </w:tcPr>
                <w:p w14:paraId="14FCD9CC">
                  <w:pPr>
                    <w:autoSpaceDE w:val="0"/>
                    <w:autoSpaceDN w:val="0"/>
                    <w:adjustRightInd w:val="0"/>
                    <w:snapToGrid w:val="0"/>
                    <w:jc w:val="center"/>
                    <w:rPr>
                      <w:color w:val="auto"/>
                      <w:szCs w:val="21"/>
                      <w:highlight w:val="none"/>
                    </w:rPr>
                  </w:pPr>
                </w:p>
              </w:tc>
              <w:tc>
                <w:tcPr>
                  <w:tcW w:w="1246" w:type="pct"/>
                  <w:gridSpan w:val="2"/>
                  <w:tcBorders>
                    <w:top w:val="single" w:color="auto" w:sz="4" w:space="0"/>
                    <w:left w:val="single" w:color="auto" w:sz="4" w:space="0"/>
                    <w:bottom w:val="single" w:color="auto" w:sz="4" w:space="0"/>
                    <w:right w:val="single" w:color="auto" w:sz="4" w:space="0"/>
                  </w:tcBorders>
                  <w:vAlign w:val="center"/>
                </w:tcPr>
                <w:p w14:paraId="039B4AA0">
                  <w:pPr>
                    <w:pStyle w:val="62"/>
                    <w:spacing w:before="0" w:line="240" w:lineRule="auto"/>
                    <w:ind w:firstLine="0" w:firstLineChars="0"/>
                    <w:rPr>
                      <w:color w:val="auto"/>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1305" w:type="dxa"/>
                  <w:tcBorders>
                    <w:top w:val="single" w:color="auto" w:sz="4" w:space="0"/>
                    <w:left w:val="single" w:color="auto" w:sz="4" w:space="0"/>
                    <w:bottom w:val="single" w:color="auto" w:sz="4" w:space="0"/>
                    <w:right w:val="single" w:color="auto" w:sz="4" w:space="0"/>
                  </w:tcBorders>
                  <w:vAlign w:val="center"/>
                </w:tcPr>
                <w:p w14:paraId="0A86F637">
                  <w:pPr>
                    <w:adjustRightInd w:val="0"/>
                    <w:snapToGrid w:val="0"/>
                    <w:spacing w:line="240" w:lineRule="auto"/>
                    <w:ind w:firstLine="0" w:firstLineChars="0"/>
                    <w:jc w:val="center"/>
                    <w:rPr>
                      <w:rFonts w:hint="default" w:eastAsia="宋体"/>
                      <w:bCs/>
                      <w:color w:val="auto"/>
                      <w:szCs w:val="21"/>
                      <w:highlight w:val="none"/>
                      <w:lang w:val="en-US" w:eastAsia="zh-CN"/>
                    </w:rPr>
                  </w:pPr>
                  <w:r>
                    <w:rPr>
                      <w:rFonts w:hint="eastAsia"/>
                      <w:color w:val="auto"/>
                      <w:sz w:val="21"/>
                      <w:szCs w:val="21"/>
                      <w:highlight w:val="none"/>
                      <w:lang w:val="en-US" w:eastAsia="zh-CN"/>
                    </w:rPr>
                    <w:t>0.0209</w:t>
                  </w:r>
                </w:p>
              </w:tc>
              <w:tc>
                <w:tcPr>
                  <w:tcW w:w="1008" w:type="pct"/>
                  <w:tcBorders>
                    <w:top w:val="single" w:color="auto" w:sz="4" w:space="0"/>
                    <w:left w:val="single" w:color="auto" w:sz="4" w:space="0"/>
                    <w:bottom w:val="single" w:color="auto" w:sz="4" w:space="0"/>
                    <w:right w:val="single" w:color="auto" w:sz="4" w:space="0"/>
                  </w:tcBorders>
                  <w:vAlign w:val="center"/>
                </w:tcPr>
                <w:p w14:paraId="2353556E">
                  <w:pPr>
                    <w:jc w:val="center"/>
                    <w:rPr>
                      <w:bCs/>
                      <w:color w:val="auto"/>
                      <w:szCs w:val="21"/>
                      <w:highlight w:val="none"/>
                    </w:rPr>
                  </w:pPr>
                  <w:r>
                    <w:rPr>
                      <w:rFonts w:hint="eastAsia"/>
                      <w:color w:val="auto"/>
                      <w:highlight w:val="none"/>
                    </w:rPr>
                    <w:t>0</w:t>
                  </w:r>
                </w:p>
              </w:tc>
              <w:tc>
                <w:tcPr>
                  <w:tcW w:w="1352" w:type="dxa"/>
                  <w:tcBorders>
                    <w:top w:val="single" w:color="auto" w:sz="4" w:space="0"/>
                    <w:left w:val="single" w:color="auto" w:sz="4" w:space="0"/>
                    <w:bottom w:val="single" w:color="auto" w:sz="4" w:space="0"/>
                    <w:right w:val="single" w:color="auto" w:sz="4" w:space="0"/>
                  </w:tcBorders>
                  <w:vAlign w:val="center"/>
                </w:tcPr>
                <w:p w14:paraId="0A834F20">
                  <w:pPr>
                    <w:adjustRightInd w:val="0"/>
                    <w:snapToGrid w:val="0"/>
                    <w:spacing w:line="240" w:lineRule="auto"/>
                    <w:ind w:firstLine="0" w:firstLineChars="0"/>
                    <w:jc w:val="center"/>
                    <w:rPr>
                      <w:rFonts w:hint="default" w:eastAsia="宋体"/>
                      <w:color w:val="auto"/>
                      <w:szCs w:val="21"/>
                      <w:highlight w:val="none"/>
                      <w:lang w:val="en-US" w:eastAsia="zh-CN"/>
                    </w:rPr>
                  </w:pPr>
                  <w:r>
                    <w:rPr>
                      <w:rFonts w:hint="eastAsia"/>
                      <w:color w:val="auto"/>
                      <w:sz w:val="21"/>
                      <w:szCs w:val="21"/>
                      <w:highlight w:val="none"/>
                      <w:lang w:val="en-US" w:eastAsia="zh-CN"/>
                    </w:rPr>
                    <w:t>0.0209</w:t>
                  </w:r>
                </w:p>
              </w:tc>
              <w:tc>
                <w:tcPr>
                  <w:tcW w:w="1362" w:type="dxa"/>
                  <w:tcBorders>
                    <w:top w:val="single" w:color="auto" w:sz="4" w:space="0"/>
                    <w:left w:val="single" w:color="auto" w:sz="4" w:space="0"/>
                    <w:bottom w:val="single" w:color="auto" w:sz="4" w:space="0"/>
                  </w:tcBorders>
                  <w:vAlign w:val="center"/>
                </w:tcPr>
                <w:p w14:paraId="1F6CB7E9">
                  <w:pPr>
                    <w:adjustRightInd w:val="0"/>
                    <w:snapToGrid w:val="0"/>
                    <w:spacing w:line="240" w:lineRule="auto"/>
                    <w:ind w:firstLine="0" w:firstLineChars="0"/>
                    <w:jc w:val="center"/>
                    <w:rPr>
                      <w:rFonts w:hint="default" w:eastAsia="宋体"/>
                      <w:color w:val="auto"/>
                      <w:szCs w:val="21"/>
                      <w:highlight w:val="none"/>
                      <w:lang w:val="en-US" w:eastAsia="zh-CN"/>
                    </w:rPr>
                  </w:pPr>
                  <w:r>
                    <w:rPr>
                      <w:rFonts w:hint="eastAsia"/>
                      <w:color w:val="auto"/>
                      <w:sz w:val="21"/>
                      <w:szCs w:val="21"/>
                      <w:highlight w:val="none"/>
                    </w:rPr>
                    <w:t>0.00</w:t>
                  </w:r>
                  <w:r>
                    <w:rPr>
                      <w:rFonts w:hint="eastAsia"/>
                      <w:color w:val="auto"/>
                      <w:sz w:val="21"/>
                      <w:szCs w:val="21"/>
                      <w:highlight w:val="none"/>
                      <w:lang w:val="en-US" w:eastAsia="zh-CN"/>
                    </w:rPr>
                    <w:t>42</w:t>
                  </w:r>
                </w:p>
              </w:tc>
            </w:tr>
            <w:tr w14:paraId="41BA2A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8" w:type="pct"/>
                  <w:vMerge w:val="continue"/>
                  <w:tcBorders>
                    <w:top w:val="single" w:color="auto" w:sz="4" w:space="0"/>
                    <w:bottom w:val="single" w:color="auto" w:sz="4" w:space="0"/>
                    <w:right w:val="single" w:color="auto" w:sz="4" w:space="0"/>
                  </w:tcBorders>
                  <w:vAlign w:val="center"/>
                </w:tcPr>
                <w:p w14:paraId="095368BA">
                  <w:pPr>
                    <w:autoSpaceDE w:val="0"/>
                    <w:autoSpaceDN w:val="0"/>
                    <w:adjustRightInd w:val="0"/>
                    <w:snapToGrid w:val="0"/>
                    <w:jc w:val="center"/>
                    <w:rPr>
                      <w:color w:val="auto"/>
                      <w:szCs w:val="21"/>
                      <w:highlight w:val="none"/>
                    </w:rPr>
                  </w:pPr>
                </w:p>
              </w:tc>
              <w:tc>
                <w:tcPr>
                  <w:tcW w:w="1246" w:type="pct"/>
                  <w:gridSpan w:val="2"/>
                  <w:tcBorders>
                    <w:top w:val="single" w:color="auto" w:sz="4" w:space="0"/>
                    <w:left w:val="single" w:color="auto" w:sz="4" w:space="0"/>
                    <w:bottom w:val="single" w:color="auto" w:sz="4" w:space="0"/>
                    <w:right w:val="single" w:color="auto" w:sz="4" w:space="0"/>
                  </w:tcBorders>
                  <w:vAlign w:val="center"/>
                </w:tcPr>
                <w:p w14:paraId="1602BFCF">
                  <w:pPr>
                    <w:pStyle w:val="62"/>
                    <w:spacing w:before="0" w:line="240" w:lineRule="auto"/>
                    <w:ind w:firstLine="0" w:firstLineChars="0"/>
                    <w:rPr>
                      <w:color w:val="auto"/>
                      <w:szCs w:val="21"/>
                      <w:highlight w:val="none"/>
                    </w:rPr>
                  </w:pPr>
                  <w:r>
                    <w:rPr>
                      <w:rFonts w:hint="default" w:ascii="Times New Roman" w:hAnsi="Times New Roman" w:cs="Times New Roman"/>
                      <w:color w:val="auto"/>
                      <w:sz w:val="21"/>
                      <w:szCs w:val="21"/>
                      <w:highlight w:val="none"/>
                    </w:rPr>
                    <w:t>TP</w:t>
                  </w:r>
                </w:p>
              </w:tc>
              <w:tc>
                <w:tcPr>
                  <w:tcW w:w="1305" w:type="dxa"/>
                  <w:tcBorders>
                    <w:top w:val="single" w:color="auto" w:sz="4" w:space="0"/>
                    <w:left w:val="single" w:color="auto" w:sz="4" w:space="0"/>
                    <w:bottom w:val="single" w:color="auto" w:sz="4" w:space="0"/>
                    <w:right w:val="single" w:color="auto" w:sz="4" w:space="0"/>
                  </w:tcBorders>
                  <w:vAlign w:val="center"/>
                </w:tcPr>
                <w:p w14:paraId="5B4961DE">
                  <w:pPr>
                    <w:adjustRightInd w:val="0"/>
                    <w:snapToGrid w:val="0"/>
                    <w:spacing w:line="240" w:lineRule="auto"/>
                    <w:ind w:firstLine="0" w:firstLineChars="0"/>
                    <w:jc w:val="center"/>
                    <w:rPr>
                      <w:rFonts w:hint="default" w:eastAsia="宋体"/>
                      <w:bCs/>
                      <w:color w:val="auto"/>
                      <w:szCs w:val="21"/>
                      <w:highlight w:val="none"/>
                      <w:lang w:val="en-US" w:eastAsia="zh-CN"/>
                    </w:rPr>
                  </w:pPr>
                  <w:r>
                    <w:rPr>
                      <w:rFonts w:hint="eastAsia"/>
                      <w:color w:val="auto"/>
                      <w:sz w:val="21"/>
                      <w:szCs w:val="21"/>
                      <w:highlight w:val="none"/>
                      <w:lang w:val="en-US" w:eastAsia="zh-CN"/>
                    </w:rPr>
                    <w:t>0.0023</w:t>
                  </w:r>
                </w:p>
              </w:tc>
              <w:tc>
                <w:tcPr>
                  <w:tcW w:w="1008" w:type="pct"/>
                  <w:tcBorders>
                    <w:top w:val="single" w:color="auto" w:sz="4" w:space="0"/>
                    <w:left w:val="single" w:color="auto" w:sz="4" w:space="0"/>
                    <w:bottom w:val="single" w:color="auto" w:sz="4" w:space="0"/>
                    <w:right w:val="single" w:color="auto" w:sz="4" w:space="0"/>
                  </w:tcBorders>
                  <w:vAlign w:val="center"/>
                </w:tcPr>
                <w:p w14:paraId="5AFDC373">
                  <w:pPr>
                    <w:jc w:val="center"/>
                    <w:rPr>
                      <w:bCs/>
                      <w:color w:val="auto"/>
                      <w:szCs w:val="21"/>
                      <w:highlight w:val="none"/>
                    </w:rPr>
                  </w:pPr>
                  <w:r>
                    <w:rPr>
                      <w:rFonts w:hint="eastAsia"/>
                      <w:color w:val="auto"/>
                      <w:highlight w:val="none"/>
                    </w:rPr>
                    <w:t>0</w:t>
                  </w:r>
                </w:p>
              </w:tc>
              <w:tc>
                <w:tcPr>
                  <w:tcW w:w="1352" w:type="dxa"/>
                  <w:tcBorders>
                    <w:top w:val="single" w:color="auto" w:sz="4" w:space="0"/>
                    <w:left w:val="single" w:color="auto" w:sz="4" w:space="0"/>
                    <w:bottom w:val="single" w:color="auto" w:sz="4" w:space="0"/>
                    <w:right w:val="single" w:color="auto" w:sz="4" w:space="0"/>
                  </w:tcBorders>
                  <w:vAlign w:val="center"/>
                </w:tcPr>
                <w:p w14:paraId="1683F773">
                  <w:pPr>
                    <w:adjustRightInd w:val="0"/>
                    <w:snapToGrid w:val="0"/>
                    <w:spacing w:line="240" w:lineRule="auto"/>
                    <w:ind w:firstLine="0" w:firstLineChars="0"/>
                    <w:jc w:val="center"/>
                    <w:rPr>
                      <w:rFonts w:hint="default" w:eastAsia="宋体"/>
                      <w:color w:val="auto"/>
                      <w:szCs w:val="21"/>
                      <w:highlight w:val="none"/>
                      <w:lang w:val="en-US" w:eastAsia="zh-CN"/>
                    </w:rPr>
                  </w:pPr>
                  <w:r>
                    <w:rPr>
                      <w:rFonts w:hint="eastAsia"/>
                      <w:color w:val="auto"/>
                      <w:sz w:val="21"/>
                      <w:szCs w:val="21"/>
                      <w:highlight w:val="none"/>
                      <w:lang w:val="en-US" w:eastAsia="zh-CN"/>
                    </w:rPr>
                    <w:t>0.0023</w:t>
                  </w:r>
                </w:p>
              </w:tc>
              <w:tc>
                <w:tcPr>
                  <w:tcW w:w="1362" w:type="dxa"/>
                  <w:tcBorders>
                    <w:top w:val="single" w:color="auto" w:sz="4" w:space="0"/>
                    <w:left w:val="single" w:color="auto" w:sz="4" w:space="0"/>
                    <w:bottom w:val="single" w:color="auto" w:sz="4" w:space="0"/>
                  </w:tcBorders>
                  <w:vAlign w:val="center"/>
                </w:tcPr>
                <w:p w14:paraId="4C43167B">
                  <w:pPr>
                    <w:adjustRightInd w:val="0"/>
                    <w:snapToGrid w:val="0"/>
                    <w:spacing w:line="240" w:lineRule="auto"/>
                    <w:ind w:firstLine="0" w:firstLineChars="0"/>
                    <w:jc w:val="center"/>
                    <w:rPr>
                      <w:rFonts w:hint="default" w:eastAsia="宋体"/>
                      <w:color w:val="auto"/>
                      <w:szCs w:val="21"/>
                      <w:highlight w:val="none"/>
                      <w:lang w:val="en-US" w:eastAsia="zh-CN"/>
                    </w:rPr>
                  </w:pPr>
                  <w:r>
                    <w:rPr>
                      <w:rFonts w:hint="eastAsia"/>
                      <w:color w:val="auto"/>
                      <w:sz w:val="21"/>
                      <w:szCs w:val="21"/>
                      <w:highlight w:val="none"/>
                    </w:rPr>
                    <w:t>0.000</w:t>
                  </w:r>
                  <w:r>
                    <w:rPr>
                      <w:rFonts w:hint="eastAsia"/>
                      <w:color w:val="auto"/>
                      <w:sz w:val="21"/>
                      <w:szCs w:val="21"/>
                      <w:highlight w:val="none"/>
                      <w:lang w:val="en-US" w:eastAsia="zh-CN"/>
                    </w:rPr>
                    <w:t>4</w:t>
                  </w:r>
                </w:p>
              </w:tc>
            </w:tr>
            <w:tr w14:paraId="3D23C6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4" w:hRule="atLeast"/>
                <w:jc w:val="center"/>
              </w:trPr>
              <w:tc>
                <w:tcPr>
                  <w:tcW w:w="358" w:type="pct"/>
                  <w:vMerge w:val="continue"/>
                  <w:tcBorders>
                    <w:top w:val="single" w:color="auto" w:sz="4" w:space="0"/>
                    <w:bottom w:val="single" w:color="auto" w:sz="4" w:space="0"/>
                    <w:right w:val="single" w:color="auto" w:sz="4" w:space="0"/>
                  </w:tcBorders>
                  <w:vAlign w:val="center"/>
                </w:tcPr>
                <w:p w14:paraId="02FE96F7">
                  <w:pPr>
                    <w:autoSpaceDE w:val="0"/>
                    <w:autoSpaceDN w:val="0"/>
                    <w:adjustRightInd w:val="0"/>
                    <w:snapToGrid w:val="0"/>
                    <w:jc w:val="center"/>
                    <w:rPr>
                      <w:color w:val="auto"/>
                      <w:szCs w:val="21"/>
                      <w:highlight w:val="none"/>
                    </w:rPr>
                  </w:pPr>
                </w:p>
              </w:tc>
              <w:tc>
                <w:tcPr>
                  <w:tcW w:w="1246" w:type="pct"/>
                  <w:gridSpan w:val="2"/>
                  <w:tcBorders>
                    <w:top w:val="single" w:color="auto" w:sz="4" w:space="0"/>
                    <w:left w:val="single" w:color="auto" w:sz="4" w:space="0"/>
                    <w:bottom w:val="single" w:color="auto" w:sz="4" w:space="0"/>
                    <w:right w:val="single" w:color="auto" w:sz="4" w:space="0"/>
                  </w:tcBorders>
                  <w:vAlign w:val="center"/>
                </w:tcPr>
                <w:p w14:paraId="228E0098">
                  <w:pPr>
                    <w:pStyle w:val="62"/>
                    <w:spacing w:before="0" w:line="240" w:lineRule="auto"/>
                    <w:ind w:firstLine="0" w:firstLineChars="0"/>
                    <w:rPr>
                      <w:color w:val="auto"/>
                      <w:szCs w:val="21"/>
                      <w:highlight w:val="none"/>
                    </w:rPr>
                  </w:pPr>
                  <w:r>
                    <w:rPr>
                      <w:rFonts w:hint="default" w:ascii="Times New Roman" w:hAnsi="Times New Roman" w:cs="Times New Roman"/>
                      <w:color w:val="auto"/>
                      <w:sz w:val="21"/>
                      <w:szCs w:val="21"/>
                      <w:highlight w:val="none"/>
                    </w:rPr>
                    <w:t>TN</w:t>
                  </w:r>
                </w:p>
              </w:tc>
              <w:tc>
                <w:tcPr>
                  <w:tcW w:w="1305" w:type="dxa"/>
                  <w:tcBorders>
                    <w:top w:val="single" w:color="auto" w:sz="4" w:space="0"/>
                    <w:left w:val="single" w:color="auto" w:sz="4" w:space="0"/>
                    <w:bottom w:val="single" w:color="auto" w:sz="4" w:space="0"/>
                    <w:right w:val="single" w:color="auto" w:sz="4" w:space="0"/>
                  </w:tcBorders>
                  <w:vAlign w:val="center"/>
                </w:tcPr>
                <w:p w14:paraId="3892ABCD">
                  <w:pPr>
                    <w:adjustRightInd w:val="0"/>
                    <w:snapToGrid w:val="0"/>
                    <w:spacing w:line="240" w:lineRule="auto"/>
                    <w:ind w:firstLine="0" w:firstLineChars="0"/>
                    <w:jc w:val="center"/>
                    <w:rPr>
                      <w:rFonts w:hint="default" w:eastAsia="宋体"/>
                      <w:color w:val="auto"/>
                      <w:szCs w:val="21"/>
                      <w:highlight w:val="none"/>
                      <w:lang w:val="en-US" w:eastAsia="zh-CN"/>
                    </w:rPr>
                  </w:pPr>
                  <w:r>
                    <w:rPr>
                      <w:rFonts w:hint="eastAsia"/>
                      <w:color w:val="auto"/>
                      <w:sz w:val="21"/>
                      <w:szCs w:val="21"/>
                      <w:highlight w:val="none"/>
                      <w:lang w:val="en-US" w:eastAsia="zh-CN"/>
                    </w:rPr>
                    <w:t>0.0239</w:t>
                  </w:r>
                </w:p>
              </w:tc>
              <w:tc>
                <w:tcPr>
                  <w:tcW w:w="1008" w:type="pct"/>
                  <w:tcBorders>
                    <w:top w:val="single" w:color="auto" w:sz="4" w:space="0"/>
                    <w:left w:val="single" w:color="auto" w:sz="4" w:space="0"/>
                    <w:bottom w:val="single" w:color="auto" w:sz="4" w:space="0"/>
                    <w:right w:val="single" w:color="auto" w:sz="4" w:space="0"/>
                  </w:tcBorders>
                  <w:vAlign w:val="center"/>
                </w:tcPr>
                <w:p w14:paraId="4539BE0D">
                  <w:pPr>
                    <w:jc w:val="center"/>
                    <w:rPr>
                      <w:color w:val="auto"/>
                      <w:szCs w:val="21"/>
                      <w:highlight w:val="none"/>
                    </w:rPr>
                  </w:pPr>
                  <w:r>
                    <w:rPr>
                      <w:rFonts w:hint="eastAsia"/>
                      <w:color w:val="auto"/>
                      <w:highlight w:val="none"/>
                    </w:rPr>
                    <w:t>0</w:t>
                  </w:r>
                </w:p>
              </w:tc>
              <w:tc>
                <w:tcPr>
                  <w:tcW w:w="1352" w:type="dxa"/>
                  <w:tcBorders>
                    <w:top w:val="single" w:color="auto" w:sz="4" w:space="0"/>
                    <w:left w:val="single" w:color="auto" w:sz="4" w:space="0"/>
                    <w:bottom w:val="single" w:color="auto" w:sz="4" w:space="0"/>
                    <w:right w:val="single" w:color="auto" w:sz="4" w:space="0"/>
                  </w:tcBorders>
                  <w:vAlign w:val="center"/>
                </w:tcPr>
                <w:p w14:paraId="2DC58A53">
                  <w:pPr>
                    <w:adjustRightInd w:val="0"/>
                    <w:snapToGrid w:val="0"/>
                    <w:spacing w:line="240" w:lineRule="auto"/>
                    <w:ind w:firstLine="0" w:firstLineChars="0"/>
                    <w:jc w:val="center"/>
                    <w:rPr>
                      <w:rFonts w:hint="default" w:eastAsia="宋体"/>
                      <w:color w:val="auto"/>
                      <w:szCs w:val="21"/>
                      <w:highlight w:val="none"/>
                      <w:lang w:val="en-US" w:eastAsia="zh-CN"/>
                    </w:rPr>
                  </w:pPr>
                  <w:r>
                    <w:rPr>
                      <w:rFonts w:hint="eastAsia"/>
                      <w:color w:val="auto"/>
                      <w:sz w:val="21"/>
                      <w:szCs w:val="21"/>
                      <w:highlight w:val="none"/>
                      <w:lang w:val="en-US" w:eastAsia="zh-CN"/>
                    </w:rPr>
                    <w:t>0.0239</w:t>
                  </w:r>
                </w:p>
              </w:tc>
              <w:tc>
                <w:tcPr>
                  <w:tcW w:w="1362" w:type="dxa"/>
                  <w:tcBorders>
                    <w:top w:val="single" w:color="auto" w:sz="4" w:space="0"/>
                    <w:left w:val="single" w:color="auto" w:sz="4" w:space="0"/>
                    <w:bottom w:val="single" w:color="auto" w:sz="4" w:space="0"/>
                  </w:tcBorders>
                  <w:vAlign w:val="center"/>
                </w:tcPr>
                <w:p w14:paraId="1C715242">
                  <w:pPr>
                    <w:adjustRightInd w:val="0"/>
                    <w:snapToGrid w:val="0"/>
                    <w:spacing w:line="240" w:lineRule="auto"/>
                    <w:ind w:firstLine="0" w:firstLineChars="0"/>
                    <w:jc w:val="center"/>
                    <w:rPr>
                      <w:rFonts w:hint="default" w:eastAsia="宋体"/>
                      <w:color w:val="auto"/>
                      <w:szCs w:val="21"/>
                      <w:highlight w:val="none"/>
                      <w:lang w:val="en-US" w:eastAsia="zh-CN"/>
                    </w:rPr>
                  </w:pPr>
                  <w:r>
                    <w:rPr>
                      <w:rFonts w:hint="eastAsia"/>
                      <w:color w:val="auto"/>
                      <w:sz w:val="21"/>
                      <w:szCs w:val="21"/>
                      <w:highlight w:val="none"/>
                    </w:rPr>
                    <w:t>0.0</w:t>
                  </w:r>
                  <w:r>
                    <w:rPr>
                      <w:rFonts w:hint="eastAsia"/>
                      <w:color w:val="auto"/>
                      <w:sz w:val="21"/>
                      <w:szCs w:val="21"/>
                      <w:highlight w:val="none"/>
                      <w:lang w:val="en-US" w:eastAsia="zh-CN"/>
                    </w:rPr>
                    <w:t>126</w:t>
                  </w:r>
                </w:p>
              </w:tc>
            </w:tr>
            <w:tr w14:paraId="554E8A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8" w:type="pct"/>
                  <w:vMerge w:val="restart"/>
                  <w:tcBorders>
                    <w:top w:val="single" w:color="auto" w:sz="4" w:space="0"/>
                    <w:right w:val="single" w:color="auto" w:sz="4" w:space="0"/>
                  </w:tcBorders>
                  <w:vAlign w:val="center"/>
                </w:tcPr>
                <w:p w14:paraId="7B8F4B88">
                  <w:pPr>
                    <w:autoSpaceDE w:val="0"/>
                    <w:autoSpaceDN w:val="0"/>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固废</w:t>
                  </w:r>
                </w:p>
              </w:tc>
              <w:tc>
                <w:tcPr>
                  <w:tcW w:w="1246" w:type="pct"/>
                  <w:gridSpan w:val="2"/>
                  <w:tcBorders>
                    <w:top w:val="single" w:color="auto" w:sz="4" w:space="0"/>
                    <w:left w:val="single" w:color="auto" w:sz="4" w:space="0"/>
                    <w:bottom w:val="single" w:color="auto" w:sz="4" w:space="0"/>
                    <w:right w:val="single" w:color="auto" w:sz="4" w:space="0"/>
                  </w:tcBorders>
                  <w:vAlign w:val="center"/>
                </w:tcPr>
                <w:p w14:paraId="097A96DE">
                  <w:pPr>
                    <w:widowControl/>
                    <w:adjustRightInd w:val="0"/>
                    <w:snapToGrid w:val="0"/>
                    <w:jc w:val="center"/>
                    <w:rPr>
                      <w:rFonts w:hint="eastAsia" w:eastAsia="宋体"/>
                      <w:bCs/>
                      <w:color w:val="auto"/>
                      <w:szCs w:val="21"/>
                      <w:highlight w:val="none"/>
                      <w:lang w:eastAsia="zh-CN"/>
                    </w:rPr>
                  </w:pPr>
                  <w:r>
                    <w:rPr>
                      <w:rFonts w:hint="eastAsia"/>
                      <w:bCs/>
                      <w:color w:val="auto"/>
                      <w:szCs w:val="21"/>
                      <w:highlight w:val="none"/>
                      <w:lang w:eastAsia="zh-CN"/>
                    </w:rPr>
                    <w:t>一般固废</w:t>
                  </w:r>
                </w:p>
              </w:tc>
              <w:tc>
                <w:tcPr>
                  <w:tcW w:w="775" w:type="pct"/>
                  <w:tcBorders>
                    <w:top w:val="single" w:color="auto" w:sz="4" w:space="0"/>
                    <w:left w:val="single" w:color="auto" w:sz="4" w:space="0"/>
                    <w:bottom w:val="single" w:color="auto" w:sz="4" w:space="0"/>
                    <w:right w:val="single" w:color="auto" w:sz="4" w:space="0"/>
                  </w:tcBorders>
                  <w:vAlign w:val="center"/>
                </w:tcPr>
                <w:p w14:paraId="369EF72C">
                  <w:pPr>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0.3</w:t>
                  </w:r>
                </w:p>
              </w:tc>
              <w:tc>
                <w:tcPr>
                  <w:tcW w:w="1008" w:type="pct"/>
                  <w:tcBorders>
                    <w:top w:val="single" w:color="auto" w:sz="4" w:space="0"/>
                    <w:left w:val="single" w:color="auto" w:sz="4" w:space="0"/>
                    <w:bottom w:val="single" w:color="auto" w:sz="4" w:space="0"/>
                    <w:right w:val="single" w:color="auto" w:sz="4" w:space="0"/>
                  </w:tcBorders>
                  <w:vAlign w:val="center"/>
                </w:tcPr>
                <w:p w14:paraId="6BFA5BBA">
                  <w:pPr>
                    <w:jc w:val="center"/>
                    <w:rPr>
                      <w:rFonts w:hint="default" w:eastAsia="宋体"/>
                      <w:color w:val="auto"/>
                      <w:szCs w:val="21"/>
                      <w:highlight w:val="none"/>
                      <w:lang w:val="en-US" w:eastAsia="zh-CN"/>
                    </w:rPr>
                  </w:pPr>
                  <w:r>
                    <w:rPr>
                      <w:rFonts w:hint="eastAsia"/>
                      <w:color w:val="auto"/>
                      <w:szCs w:val="21"/>
                      <w:highlight w:val="none"/>
                      <w:lang w:val="en-US" w:eastAsia="zh-CN"/>
                    </w:rPr>
                    <w:t>0</w:t>
                  </w:r>
                </w:p>
              </w:tc>
              <w:tc>
                <w:tcPr>
                  <w:tcW w:w="803" w:type="pct"/>
                  <w:tcBorders>
                    <w:top w:val="single" w:color="auto" w:sz="4" w:space="0"/>
                    <w:left w:val="single" w:color="auto" w:sz="4" w:space="0"/>
                    <w:bottom w:val="single" w:color="auto" w:sz="4" w:space="0"/>
                    <w:right w:val="single" w:color="auto" w:sz="4" w:space="0"/>
                  </w:tcBorders>
                  <w:vAlign w:val="center"/>
                </w:tcPr>
                <w:p w14:paraId="499A28BE">
                  <w:pPr>
                    <w:adjustRightInd w:val="0"/>
                    <w:snapToGrid w:val="0"/>
                    <w:jc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w:t>
                  </w:r>
                </w:p>
              </w:tc>
              <w:tc>
                <w:tcPr>
                  <w:tcW w:w="809" w:type="pct"/>
                  <w:tcBorders>
                    <w:top w:val="single" w:color="auto" w:sz="4" w:space="0"/>
                    <w:left w:val="single" w:color="auto" w:sz="4" w:space="0"/>
                    <w:bottom w:val="single" w:color="auto" w:sz="4" w:space="0"/>
                  </w:tcBorders>
                  <w:vAlign w:val="center"/>
                </w:tcPr>
                <w:p w14:paraId="6AF3D58C">
                  <w:pPr>
                    <w:adjustRightInd w:val="0"/>
                    <w:snapToGrid w:val="0"/>
                    <w:jc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w:t>
                  </w:r>
                </w:p>
              </w:tc>
            </w:tr>
            <w:tr w14:paraId="3FCE1A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8" w:type="pct"/>
                  <w:vMerge w:val="continue"/>
                  <w:tcBorders>
                    <w:right w:val="single" w:color="auto" w:sz="4" w:space="0"/>
                  </w:tcBorders>
                  <w:vAlign w:val="center"/>
                </w:tcPr>
                <w:p w14:paraId="0FE98578">
                  <w:pPr>
                    <w:autoSpaceDE w:val="0"/>
                    <w:autoSpaceDN w:val="0"/>
                    <w:adjustRightInd w:val="0"/>
                    <w:snapToGrid w:val="0"/>
                    <w:jc w:val="center"/>
                    <w:rPr>
                      <w:color w:val="auto"/>
                      <w:szCs w:val="21"/>
                      <w:highlight w:val="none"/>
                    </w:rPr>
                  </w:pPr>
                </w:p>
              </w:tc>
              <w:tc>
                <w:tcPr>
                  <w:tcW w:w="1246" w:type="pct"/>
                  <w:gridSpan w:val="2"/>
                  <w:tcBorders>
                    <w:top w:val="single" w:color="auto" w:sz="4" w:space="0"/>
                    <w:left w:val="single" w:color="auto" w:sz="4" w:space="0"/>
                    <w:bottom w:val="single" w:color="auto" w:sz="4" w:space="0"/>
                    <w:right w:val="single" w:color="auto" w:sz="4" w:space="0"/>
                  </w:tcBorders>
                  <w:vAlign w:val="center"/>
                </w:tcPr>
                <w:p w14:paraId="519D326A">
                  <w:pPr>
                    <w:widowControl/>
                    <w:adjustRightInd w:val="0"/>
                    <w:snapToGrid w:val="0"/>
                    <w:jc w:val="center"/>
                    <w:rPr>
                      <w:rFonts w:hint="eastAsia" w:eastAsia="宋体"/>
                      <w:bCs/>
                      <w:color w:val="auto"/>
                      <w:szCs w:val="21"/>
                      <w:highlight w:val="none"/>
                      <w:lang w:eastAsia="zh-CN"/>
                    </w:rPr>
                  </w:pPr>
                  <w:r>
                    <w:rPr>
                      <w:rFonts w:hint="eastAsia"/>
                      <w:bCs/>
                      <w:color w:val="auto"/>
                      <w:szCs w:val="21"/>
                      <w:highlight w:val="none"/>
                      <w:lang w:eastAsia="zh-CN"/>
                    </w:rPr>
                    <w:t>危险废物</w:t>
                  </w:r>
                </w:p>
              </w:tc>
              <w:tc>
                <w:tcPr>
                  <w:tcW w:w="775" w:type="pct"/>
                  <w:tcBorders>
                    <w:top w:val="single" w:color="auto" w:sz="4" w:space="0"/>
                    <w:left w:val="single" w:color="auto" w:sz="4" w:space="0"/>
                    <w:bottom w:val="single" w:color="auto" w:sz="4" w:space="0"/>
                    <w:right w:val="single" w:color="auto" w:sz="4" w:space="0"/>
                  </w:tcBorders>
                  <w:vAlign w:val="center"/>
                </w:tcPr>
                <w:p w14:paraId="5E240CDF">
                  <w:pPr>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0.041</w:t>
                  </w:r>
                </w:p>
              </w:tc>
              <w:tc>
                <w:tcPr>
                  <w:tcW w:w="1008" w:type="pct"/>
                  <w:tcBorders>
                    <w:top w:val="single" w:color="auto" w:sz="4" w:space="0"/>
                    <w:left w:val="single" w:color="auto" w:sz="4" w:space="0"/>
                    <w:bottom w:val="single" w:color="auto" w:sz="4" w:space="0"/>
                    <w:right w:val="single" w:color="auto" w:sz="4" w:space="0"/>
                  </w:tcBorders>
                  <w:vAlign w:val="center"/>
                </w:tcPr>
                <w:p w14:paraId="2C8E58E4">
                  <w:pPr>
                    <w:jc w:val="center"/>
                    <w:rPr>
                      <w:rFonts w:hint="eastAsia" w:eastAsia="宋体"/>
                      <w:color w:val="auto"/>
                      <w:szCs w:val="21"/>
                      <w:highlight w:val="none"/>
                      <w:lang w:val="en-US" w:eastAsia="zh-CN"/>
                    </w:rPr>
                  </w:pPr>
                  <w:r>
                    <w:rPr>
                      <w:rFonts w:hint="eastAsia"/>
                      <w:color w:val="auto"/>
                      <w:szCs w:val="21"/>
                      <w:highlight w:val="none"/>
                      <w:lang w:val="en-US" w:eastAsia="zh-CN"/>
                    </w:rPr>
                    <w:t>0</w:t>
                  </w:r>
                </w:p>
              </w:tc>
              <w:tc>
                <w:tcPr>
                  <w:tcW w:w="803" w:type="pct"/>
                  <w:tcBorders>
                    <w:top w:val="single" w:color="auto" w:sz="4" w:space="0"/>
                    <w:left w:val="single" w:color="auto" w:sz="4" w:space="0"/>
                    <w:bottom w:val="single" w:color="auto" w:sz="4" w:space="0"/>
                    <w:right w:val="single" w:color="auto" w:sz="4" w:space="0"/>
                  </w:tcBorders>
                  <w:vAlign w:val="center"/>
                </w:tcPr>
                <w:p w14:paraId="46408952">
                  <w:pPr>
                    <w:adjustRightInd w:val="0"/>
                    <w:snapToGrid w:val="0"/>
                    <w:jc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w:t>
                  </w:r>
                </w:p>
              </w:tc>
              <w:tc>
                <w:tcPr>
                  <w:tcW w:w="809" w:type="pct"/>
                  <w:tcBorders>
                    <w:top w:val="single" w:color="auto" w:sz="4" w:space="0"/>
                    <w:left w:val="single" w:color="auto" w:sz="4" w:space="0"/>
                    <w:bottom w:val="single" w:color="auto" w:sz="4" w:space="0"/>
                  </w:tcBorders>
                  <w:vAlign w:val="center"/>
                </w:tcPr>
                <w:p w14:paraId="30FF720E">
                  <w:pPr>
                    <w:adjustRightInd w:val="0"/>
                    <w:snapToGrid w:val="0"/>
                    <w:jc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w:t>
                  </w:r>
                </w:p>
              </w:tc>
            </w:tr>
            <w:tr w14:paraId="3FA125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8" w:type="pct"/>
                  <w:vMerge w:val="continue"/>
                  <w:tcBorders>
                    <w:bottom w:val="single" w:color="auto" w:sz="12" w:space="0"/>
                    <w:right w:val="single" w:color="auto" w:sz="4" w:space="0"/>
                  </w:tcBorders>
                  <w:vAlign w:val="center"/>
                </w:tcPr>
                <w:p w14:paraId="44FCD94C">
                  <w:pPr>
                    <w:autoSpaceDE w:val="0"/>
                    <w:autoSpaceDN w:val="0"/>
                    <w:adjustRightInd w:val="0"/>
                    <w:snapToGrid w:val="0"/>
                    <w:jc w:val="center"/>
                    <w:rPr>
                      <w:color w:val="auto"/>
                      <w:szCs w:val="21"/>
                      <w:highlight w:val="none"/>
                    </w:rPr>
                  </w:pPr>
                </w:p>
              </w:tc>
              <w:tc>
                <w:tcPr>
                  <w:tcW w:w="1246" w:type="pct"/>
                  <w:gridSpan w:val="2"/>
                  <w:tcBorders>
                    <w:top w:val="single" w:color="auto" w:sz="4" w:space="0"/>
                    <w:left w:val="single" w:color="auto" w:sz="4" w:space="0"/>
                    <w:bottom w:val="single" w:color="auto" w:sz="12" w:space="0"/>
                    <w:right w:val="single" w:color="auto" w:sz="4" w:space="0"/>
                  </w:tcBorders>
                  <w:vAlign w:val="center"/>
                </w:tcPr>
                <w:p w14:paraId="12742679">
                  <w:pPr>
                    <w:widowControl/>
                    <w:adjustRightInd w:val="0"/>
                    <w:snapToGrid w:val="0"/>
                    <w:jc w:val="center"/>
                    <w:rPr>
                      <w:rFonts w:hint="eastAsia"/>
                      <w:bCs/>
                      <w:color w:val="auto"/>
                      <w:szCs w:val="21"/>
                      <w:highlight w:val="none"/>
                      <w:lang w:eastAsia="zh-CN"/>
                    </w:rPr>
                  </w:pPr>
                  <w:r>
                    <w:rPr>
                      <w:rFonts w:hint="eastAsia"/>
                      <w:bCs/>
                      <w:color w:val="auto"/>
                      <w:szCs w:val="21"/>
                      <w:highlight w:val="none"/>
                      <w:lang w:eastAsia="zh-CN"/>
                    </w:rPr>
                    <w:t>生活垃圾</w:t>
                  </w:r>
                </w:p>
              </w:tc>
              <w:tc>
                <w:tcPr>
                  <w:tcW w:w="775" w:type="pct"/>
                  <w:tcBorders>
                    <w:top w:val="single" w:color="auto" w:sz="4" w:space="0"/>
                    <w:left w:val="single" w:color="auto" w:sz="4" w:space="0"/>
                    <w:bottom w:val="single" w:color="auto" w:sz="12" w:space="0"/>
                    <w:right w:val="single" w:color="auto" w:sz="4" w:space="0"/>
                  </w:tcBorders>
                  <w:vAlign w:val="center"/>
                </w:tcPr>
                <w:p w14:paraId="5DF19B07">
                  <w:pPr>
                    <w:jc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7.5</w:t>
                  </w:r>
                </w:p>
              </w:tc>
              <w:tc>
                <w:tcPr>
                  <w:tcW w:w="1008" w:type="pct"/>
                  <w:tcBorders>
                    <w:top w:val="single" w:color="auto" w:sz="4" w:space="0"/>
                    <w:left w:val="single" w:color="auto" w:sz="4" w:space="0"/>
                    <w:bottom w:val="single" w:color="auto" w:sz="12" w:space="0"/>
                    <w:right w:val="single" w:color="auto" w:sz="4" w:space="0"/>
                  </w:tcBorders>
                  <w:vAlign w:val="center"/>
                </w:tcPr>
                <w:p w14:paraId="4EE6BD37">
                  <w:pPr>
                    <w:jc w:val="center"/>
                    <w:rPr>
                      <w:rFonts w:hint="eastAsia"/>
                      <w:color w:val="auto"/>
                      <w:szCs w:val="21"/>
                      <w:highlight w:val="none"/>
                      <w:lang w:val="en-US" w:eastAsia="zh-CN"/>
                    </w:rPr>
                  </w:pPr>
                  <w:r>
                    <w:rPr>
                      <w:rFonts w:hint="eastAsia"/>
                      <w:color w:val="auto"/>
                      <w:szCs w:val="21"/>
                      <w:highlight w:val="none"/>
                      <w:lang w:val="en-US" w:eastAsia="zh-CN"/>
                    </w:rPr>
                    <w:t>0</w:t>
                  </w:r>
                </w:p>
              </w:tc>
              <w:tc>
                <w:tcPr>
                  <w:tcW w:w="803" w:type="pct"/>
                  <w:tcBorders>
                    <w:top w:val="single" w:color="auto" w:sz="4" w:space="0"/>
                    <w:left w:val="single" w:color="auto" w:sz="4" w:space="0"/>
                    <w:bottom w:val="single" w:color="auto" w:sz="12" w:space="0"/>
                    <w:right w:val="single" w:color="auto" w:sz="4" w:space="0"/>
                  </w:tcBorders>
                  <w:vAlign w:val="center"/>
                </w:tcPr>
                <w:p w14:paraId="4AFF3255">
                  <w:pPr>
                    <w:adjustRightInd w:val="0"/>
                    <w:snapToGrid w:val="0"/>
                    <w:jc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0</w:t>
                  </w:r>
                </w:p>
              </w:tc>
              <w:tc>
                <w:tcPr>
                  <w:tcW w:w="809" w:type="pct"/>
                  <w:tcBorders>
                    <w:top w:val="single" w:color="auto" w:sz="4" w:space="0"/>
                    <w:left w:val="single" w:color="auto" w:sz="4" w:space="0"/>
                    <w:bottom w:val="single" w:color="auto" w:sz="12" w:space="0"/>
                  </w:tcBorders>
                  <w:vAlign w:val="center"/>
                </w:tcPr>
                <w:p w14:paraId="41AC70FF">
                  <w:pPr>
                    <w:adjustRightInd w:val="0"/>
                    <w:snapToGrid w:val="0"/>
                    <w:jc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0</w:t>
                  </w:r>
                </w:p>
              </w:tc>
            </w:tr>
          </w:tbl>
          <w:p w14:paraId="17CA366A">
            <w:pPr>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项目污染物排放总量控制建议指标如下：</w:t>
            </w:r>
          </w:p>
          <w:p w14:paraId="535708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rPr>
            </w:pPr>
            <w:r>
              <w:rPr>
                <w:rFonts w:hint="eastAsia"/>
                <w:color w:val="auto"/>
                <w:sz w:val="24"/>
                <w:highlight w:val="none"/>
              </w:rPr>
              <w:t>（1）废气</w:t>
            </w:r>
          </w:p>
          <w:p w14:paraId="35AE97D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rPr>
            </w:pPr>
            <w:r>
              <w:rPr>
                <w:rFonts w:hint="eastAsia"/>
                <w:color w:val="auto"/>
                <w:sz w:val="24"/>
                <w:highlight w:val="none"/>
              </w:rPr>
              <w:t>无组织排放量：VOCs（以非甲烷总烃计）</w:t>
            </w:r>
            <w:r>
              <w:rPr>
                <w:rFonts w:hint="eastAsia"/>
                <w:color w:val="auto"/>
                <w:sz w:val="24"/>
                <w:highlight w:val="none"/>
                <w:lang w:eastAsia="zh-CN"/>
              </w:rPr>
              <w:t>0.208</w:t>
            </w:r>
            <w:r>
              <w:rPr>
                <w:rFonts w:hint="eastAsia"/>
                <w:color w:val="auto"/>
                <w:sz w:val="24"/>
                <w:highlight w:val="none"/>
              </w:rPr>
              <w:t>t/a；大气污染物总量指标在句容市区域内平衡。</w:t>
            </w:r>
          </w:p>
          <w:p w14:paraId="69FFF9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rPr>
            </w:pPr>
            <w:r>
              <w:rPr>
                <w:rFonts w:hint="eastAsia"/>
                <w:color w:val="auto"/>
                <w:sz w:val="24"/>
                <w:highlight w:val="none"/>
              </w:rPr>
              <w:t>（2）废水</w:t>
            </w:r>
          </w:p>
          <w:p w14:paraId="3A25128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rPr>
            </w:pPr>
            <w:r>
              <w:rPr>
                <w:rFonts w:hint="eastAsia"/>
                <w:color w:val="auto"/>
                <w:sz w:val="24"/>
                <w:highlight w:val="none"/>
              </w:rPr>
              <w:t>废水量接管考核量（最终外排量）</w:t>
            </w:r>
            <w:r>
              <w:rPr>
                <w:rFonts w:hint="eastAsia"/>
                <w:color w:val="auto"/>
                <w:sz w:val="24"/>
                <w:highlight w:val="none"/>
                <w:lang w:eastAsia="zh-CN"/>
              </w:rPr>
              <w:t>840</w:t>
            </w:r>
            <w:r>
              <w:rPr>
                <w:rFonts w:hint="eastAsia"/>
                <w:color w:val="auto"/>
                <w:sz w:val="24"/>
                <w:highlight w:val="none"/>
              </w:rPr>
              <w:t>（</w:t>
            </w:r>
            <w:r>
              <w:rPr>
                <w:rFonts w:hint="eastAsia"/>
                <w:color w:val="auto"/>
                <w:sz w:val="24"/>
                <w:highlight w:val="none"/>
                <w:lang w:eastAsia="zh-CN"/>
              </w:rPr>
              <w:t>840</w:t>
            </w:r>
            <w:r>
              <w:rPr>
                <w:rFonts w:hint="eastAsia"/>
                <w:color w:val="auto"/>
                <w:sz w:val="24"/>
                <w:highlight w:val="none"/>
              </w:rPr>
              <w:t>）t/a、COD</w:t>
            </w:r>
            <w:r>
              <w:rPr>
                <w:rFonts w:hint="eastAsia"/>
                <w:color w:val="auto"/>
                <w:sz w:val="24"/>
                <w:highlight w:val="none"/>
                <w:lang w:val="en-US" w:eastAsia="zh-CN"/>
              </w:rPr>
              <w:t>0.2158</w:t>
            </w:r>
            <w:r>
              <w:rPr>
                <w:rFonts w:hint="eastAsia"/>
                <w:color w:val="auto"/>
                <w:sz w:val="24"/>
                <w:highlight w:val="none"/>
              </w:rPr>
              <w:t>（0.0</w:t>
            </w:r>
            <w:r>
              <w:rPr>
                <w:rFonts w:hint="eastAsia"/>
                <w:color w:val="auto"/>
                <w:sz w:val="24"/>
                <w:highlight w:val="none"/>
                <w:lang w:val="en-US" w:eastAsia="zh-CN"/>
              </w:rPr>
              <w:t>42</w:t>
            </w:r>
            <w:r>
              <w:rPr>
                <w:rFonts w:hint="eastAsia"/>
                <w:color w:val="auto"/>
                <w:sz w:val="24"/>
                <w:highlight w:val="none"/>
              </w:rPr>
              <w:t>）t/a、SS</w:t>
            </w:r>
            <w:r>
              <w:rPr>
                <w:rFonts w:hint="eastAsia"/>
                <w:color w:val="auto"/>
                <w:sz w:val="24"/>
                <w:highlight w:val="none"/>
                <w:lang w:val="en-US" w:eastAsia="zh-CN"/>
              </w:rPr>
              <w:t>0.1915</w:t>
            </w:r>
            <w:r>
              <w:rPr>
                <w:rFonts w:hint="eastAsia"/>
                <w:color w:val="auto"/>
                <w:sz w:val="24"/>
                <w:highlight w:val="none"/>
              </w:rPr>
              <w:t>（0.00</w:t>
            </w:r>
            <w:r>
              <w:rPr>
                <w:rFonts w:hint="eastAsia"/>
                <w:color w:val="auto"/>
                <w:sz w:val="24"/>
                <w:highlight w:val="none"/>
                <w:lang w:val="en-US" w:eastAsia="zh-CN"/>
              </w:rPr>
              <w:t>84</w:t>
            </w:r>
            <w:r>
              <w:rPr>
                <w:rFonts w:hint="eastAsia"/>
                <w:color w:val="auto"/>
                <w:sz w:val="24"/>
                <w:highlight w:val="none"/>
              </w:rPr>
              <w:t>）t/a、氨氮0.0</w:t>
            </w:r>
            <w:r>
              <w:rPr>
                <w:rFonts w:hint="eastAsia"/>
                <w:color w:val="auto"/>
                <w:sz w:val="24"/>
                <w:highlight w:val="none"/>
                <w:lang w:val="en-US" w:eastAsia="zh-CN"/>
              </w:rPr>
              <w:t>209</w:t>
            </w:r>
            <w:r>
              <w:rPr>
                <w:rFonts w:hint="eastAsia"/>
                <w:color w:val="auto"/>
                <w:sz w:val="24"/>
                <w:highlight w:val="none"/>
              </w:rPr>
              <w:t>（0.00</w:t>
            </w:r>
            <w:r>
              <w:rPr>
                <w:rFonts w:hint="eastAsia"/>
                <w:color w:val="auto"/>
                <w:sz w:val="24"/>
                <w:highlight w:val="none"/>
                <w:lang w:val="en-US" w:eastAsia="zh-CN"/>
              </w:rPr>
              <w:t>42</w:t>
            </w:r>
            <w:r>
              <w:rPr>
                <w:rFonts w:hint="eastAsia"/>
                <w:color w:val="auto"/>
                <w:sz w:val="24"/>
                <w:highlight w:val="none"/>
              </w:rPr>
              <w:t>）t/a、总磷0.00</w:t>
            </w:r>
            <w:r>
              <w:rPr>
                <w:rFonts w:hint="eastAsia"/>
                <w:color w:val="auto"/>
                <w:sz w:val="24"/>
                <w:highlight w:val="none"/>
                <w:lang w:val="en-US" w:eastAsia="zh-CN"/>
              </w:rPr>
              <w:t>23</w:t>
            </w:r>
            <w:r>
              <w:rPr>
                <w:rFonts w:hint="eastAsia"/>
                <w:color w:val="auto"/>
                <w:sz w:val="24"/>
                <w:highlight w:val="none"/>
              </w:rPr>
              <w:t>（0.000</w:t>
            </w:r>
            <w:r>
              <w:rPr>
                <w:rFonts w:hint="eastAsia"/>
                <w:color w:val="auto"/>
                <w:sz w:val="24"/>
                <w:highlight w:val="none"/>
                <w:lang w:val="en-US" w:eastAsia="zh-CN"/>
              </w:rPr>
              <w:t>4</w:t>
            </w:r>
            <w:r>
              <w:rPr>
                <w:rFonts w:hint="eastAsia"/>
                <w:color w:val="auto"/>
                <w:sz w:val="24"/>
                <w:highlight w:val="none"/>
              </w:rPr>
              <w:t>）t/a、总氮0.0</w:t>
            </w:r>
            <w:r>
              <w:rPr>
                <w:rFonts w:hint="eastAsia"/>
                <w:color w:val="auto"/>
                <w:sz w:val="24"/>
                <w:highlight w:val="none"/>
                <w:lang w:val="en-US" w:eastAsia="zh-CN"/>
              </w:rPr>
              <w:t>239</w:t>
            </w:r>
            <w:r>
              <w:rPr>
                <w:rFonts w:hint="eastAsia"/>
                <w:color w:val="auto"/>
                <w:sz w:val="24"/>
                <w:highlight w:val="none"/>
              </w:rPr>
              <w:t>（0.0</w:t>
            </w:r>
            <w:r>
              <w:rPr>
                <w:rFonts w:hint="eastAsia"/>
                <w:color w:val="auto"/>
                <w:sz w:val="24"/>
                <w:highlight w:val="none"/>
                <w:lang w:val="en-US" w:eastAsia="zh-CN"/>
              </w:rPr>
              <w:t>126</w:t>
            </w:r>
            <w:r>
              <w:rPr>
                <w:rFonts w:hint="eastAsia"/>
                <w:color w:val="auto"/>
                <w:sz w:val="24"/>
                <w:highlight w:val="none"/>
              </w:rPr>
              <w:t>）t/a；纳入城镇污水处理厂总量范围内。</w:t>
            </w:r>
          </w:p>
          <w:p w14:paraId="65EF18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rPr>
            </w:pPr>
            <w:r>
              <w:rPr>
                <w:rFonts w:hint="eastAsia"/>
                <w:color w:val="auto"/>
                <w:sz w:val="24"/>
                <w:highlight w:val="none"/>
              </w:rPr>
              <w:t>（3）固体废物：</w:t>
            </w:r>
          </w:p>
          <w:p w14:paraId="440DAE3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highlight w:val="none"/>
              </w:rPr>
            </w:pPr>
            <w:r>
              <w:rPr>
                <w:rFonts w:hint="eastAsia"/>
                <w:color w:val="auto"/>
                <w:sz w:val="24"/>
                <w:highlight w:val="none"/>
              </w:rPr>
              <w:t>固废零排放，不需申请总量。</w:t>
            </w:r>
          </w:p>
        </w:tc>
      </w:tr>
    </w:tbl>
    <w:p w14:paraId="58E0E214">
      <w:pPr>
        <w:pStyle w:val="33"/>
        <w:outlineLvl w:val="0"/>
        <w:rPr>
          <w:rFonts w:ascii="Times New Roman" w:hAnsi="Times New Roman" w:eastAsiaTheme="minorEastAsia"/>
          <w:snapToGrid w:val="0"/>
          <w:color w:val="auto"/>
          <w:sz w:val="36"/>
          <w:szCs w:val="36"/>
          <w:highlight w:val="none"/>
        </w:rPr>
        <w:sectPr>
          <w:pgSz w:w="11907" w:h="16840"/>
          <w:pgMar w:top="1701" w:right="1531" w:bottom="2126" w:left="1531" w:header="851" w:footer="851" w:gutter="0"/>
          <w:pgBorders>
            <w:top w:val="none" w:sz="0" w:space="0"/>
            <w:left w:val="none" w:sz="0" w:space="0"/>
            <w:bottom w:val="none" w:sz="0" w:space="0"/>
            <w:right w:val="none" w:sz="0" w:space="0"/>
          </w:pgBorders>
          <w:cols w:space="720" w:num="1"/>
          <w:docGrid w:linePitch="312" w:charSpace="0"/>
        </w:sectPr>
      </w:pPr>
    </w:p>
    <w:p w14:paraId="24C10B89">
      <w:pPr>
        <w:pStyle w:val="33"/>
        <w:spacing w:before="0" w:beforeAutospacing="0" w:after="0" w:afterAutospacing="0"/>
        <w:jc w:val="center"/>
        <w:outlineLvl w:val="0"/>
        <w:rPr>
          <w:rFonts w:ascii="Times New Roman" w:hAnsi="Times New Roman" w:eastAsiaTheme="minorEastAsia"/>
          <w:b/>
          <w:snapToGrid w:val="0"/>
          <w:color w:val="auto"/>
          <w:sz w:val="30"/>
          <w:szCs w:val="30"/>
          <w:highlight w:val="none"/>
        </w:rPr>
      </w:pPr>
      <w:bookmarkStart w:id="16" w:name="_Toc10443"/>
      <w:r>
        <w:rPr>
          <w:rFonts w:ascii="Times New Roman" w:hAnsi="Times New Roman" w:eastAsiaTheme="minorEastAsia"/>
          <w:b/>
          <w:snapToGrid w:val="0"/>
          <w:color w:val="auto"/>
          <w:sz w:val="30"/>
          <w:szCs w:val="30"/>
          <w:highlight w:val="none"/>
        </w:rPr>
        <w:t>四、主要环境影响和保护措施</w:t>
      </w:r>
      <w:bookmarkEnd w:id="16"/>
    </w:p>
    <w:tbl>
      <w:tblPr>
        <w:tblStyle w:val="3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84"/>
        <w:gridCol w:w="8597"/>
      </w:tblGrid>
      <w:tr w14:paraId="7DC4CB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384" w:type="dxa"/>
            <w:tcMar>
              <w:left w:w="28" w:type="dxa"/>
              <w:right w:w="28" w:type="dxa"/>
            </w:tcMar>
            <w:vAlign w:val="center"/>
          </w:tcPr>
          <w:p w14:paraId="49C6E84B">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pPr>
            <w:r>
              <w:rPr>
                <w:rFonts w:ascii="Times New Roman" w:hAnsi="Times New Roman" w:eastAsiaTheme="minorEastAsia"/>
                <w:b/>
                <w:color w:val="auto"/>
                <w:kern w:val="2"/>
                <w:sz w:val="21"/>
                <w:szCs w:val="21"/>
                <w:highlight w:val="none"/>
              </w:rPr>
              <w:t>施工</w:t>
            </w:r>
          </w:p>
          <w:p w14:paraId="014CED8D">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pPr>
            <w:r>
              <w:rPr>
                <w:rFonts w:ascii="Times New Roman" w:hAnsi="Times New Roman" w:eastAsiaTheme="minorEastAsia"/>
                <w:b/>
                <w:color w:val="auto"/>
                <w:kern w:val="2"/>
                <w:sz w:val="21"/>
                <w:szCs w:val="21"/>
                <w:highlight w:val="none"/>
              </w:rPr>
              <w:t>期环</w:t>
            </w:r>
          </w:p>
          <w:p w14:paraId="3E7D0EC5">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pPr>
            <w:r>
              <w:rPr>
                <w:rFonts w:ascii="Times New Roman" w:hAnsi="Times New Roman" w:eastAsiaTheme="minorEastAsia"/>
                <w:b/>
                <w:color w:val="auto"/>
                <w:kern w:val="2"/>
                <w:sz w:val="21"/>
                <w:szCs w:val="21"/>
                <w:highlight w:val="none"/>
              </w:rPr>
              <w:t>境保</w:t>
            </w:r>
          </w:p>
          <w:p w14:paraId="0CB4E8B3">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pPr>
            <w:r>
              <w:rPr>
                <w:rFonts w:ascii="Times New Roman" w:hAnsi="Times New Roman" w:eastAsiaTheme="minorEastAsia"/>
                <w:b/>
                <w:color w:val="auto"/>
                <w:kern w:val="2"/>
                <w:sz w:val="21"/>
                <w:szCs w:val="21"/>
                <w:highlight w:val="none"/>
              </w:rPr>
              <w:t>护措</w:t>
            </w:r>
          </w:p>
          <w:p w14:paraId="7BF410EC">
            <w:pPr>
              <w:pStyle w:val="33"/>
              <w:adjustRightInd w:val="0"/>
              <w:snapToGrid w:val="0"/>
              <w:spacing w:before="0" w:beforeAutospacing="0" w:after="0" w:afterAutospacing="0"/>
              <w:jc w:val="center"/>
              <w:rPr>
                <w:rFonts w:ascii="Times New Roman" w:hAnsi="Times New Roman" w:eastAsiaTheme="minorEastAsia"/>
                <w:b/>
                <w:bCs/>
                <w:color w:val="auto"/>
                <w:kern w:val="2"/>
                <w:sz w:val="21"/>
                <w:szCs w:val="21"/>
                <w:highlight w:val="none"/>
              </w:rPr>
            </w:pPr>
            <w:r>
              <w:rPr>
                <w:rFonts w:ascii="Times New Roman" w:hAnsi="Times New Roman" w:eastAsiaTheme="minorEastAsia"/>
                <w:b/>
                <w:color w:val="auto"/>
                <w:kern w:val="2"/>
                <w:sz w:val="21"/>
                <w:szCs w:val="21"/>
                <w:highlight w:val="none"/>
              </w:rPr>
              <w:t>施</w:t>
            </w:r>
          </w:p>
        </w:tc>
        <w:tc>
          <w:tcPr>
            <w:tcW w:w="8597" w:type="dxa"/>
            <w:vAlign w:val="center"/>
          </w:tcPr>
          <w:p w14:paraId="0D31FA66">
            <w:pPr>
              <w:autoSpaceDE w:val="0"/>
              <w:autoSpaceDN w:val="0"/>
              <w:adjustRightInd w:val="0"/>
              <w:snapToGrid w:val="0"/>
              <w:spacing w:before="120" w:beforeLines="50" w:line="360" w:lineRule="auto"/>
              <w:ind w:firstLine="480" w:firstLineChars="200"/>
              <w:rPr>
                <w:rFonts w:eastAsiaTheme="minorEastAsia"/>
                <w:color w:val="auto"/>
                <w:kern w:val="0"/>
                <w:sz w:val="24"/>
                <w:highlight w:val="none"/>
              </w:rPr>
            </w:pPr>
            <w:r>
              <w:rPr>
                <w:rFonts w:eastAsiaTheme="minorEastAsia"/>
                <w:color w:val="auto"/>
                <w:kern w:val="0"/>
                <w:sz w:val="24"/>
                <w:highlight w:val="none"/>
              </w:rPr>
              <w:t>本项目为</w:t>
            </w:r>
            <w:r>
              <w:rPr>
                <w:rFonts w:hint="eastAsia" w:eastAsiaTheme="minorEastAsia"/>
                <w:color w:val="auto"/>
                <w:kern w:val="0"/>
                <w:sz w:val="24"/>
                <w:highlight w:val="none"/>
                <w:lang w:val="en-US" w:eastAsia="zh-CN"/>
              </w:rPr>
              <w:t>新建</w:t>
            </w:r>
            <w:r>
              <w:rPr>
                <w:rFonts w:eastAsiaTheme="minorEastAsia"/>
                <w:color w:val="auto"/>
                <w:kern w:val="0"/>
                <w:sz w:val="24"/>
                <w:highlight w:val="none"/>
              </w:rPr>
              <w:t>项目，</w:t>
            </w:r>
            <w:r>
              <w:rPr>
                <w:rFonts w:hint="eastAsia" w:eastAsiaTheme="minorEastAsia"/>
                <w:bCs/>
                <w:color w:val="auto"/>
                <w:kern w:val="0"/>
                <w:sz w:val="24"/>
                <w:highlight w:val="none"/>
                <w:lang w:eastAsia="zh-CN"/>
              </w:rPr>
              <w:t>购买</w:t>
            </w:r>
            <w:r>
              <w:rPr>
                <w:rFonts w:eastAsiaTheme="minorEastAsia"/>
                <w:bCs/>
                <w:color w:val="auto"/>
                <w:kern w:val="0"/>
                <w:sz w:val="24"/>
                <w:highlight w:val="none"/>
              </w:rPr>
              <w:t>现有已建生产车间，仅涉及设备安装，</w:t>
            </w:r>
            <w:r>
              <w:rPr>
                <w:rFonts w:eastAsiaTheme="minorEastAsia"/>
                <w:color w:val="auto"/>
                <w:kern w:val="0"/>
                <w:sz w:val="24"/>
                <w:highlight w:val="none"/>
              </w:rPr>
              <w:t>建设过程不涉及土建施工，施工期污染不大，不产生土建施工的相关环境影响，如扬尘、施工生活污水等污染问题。但在设备安装过程会产生一些机械噪声，源强峰值可达85~90分贝，因此，为控制设备安装期间噪声污染，施工单位应尽量采用低噪声的器械，避免夜间进行高噪振动操作，从而减轻对项目周界声环境的影响。另外，设备安装产生的固废（设备包装材料）应妥善处理，能利用的应利用，不能利用的作为一般固废交由环卫部门清运。设备安装期的影响较短暂，随着安装调试的结束，环境影响随即停止。</w:t>
            </w:r>
          </w:p>
          <w:p w14:paraId="062561B7">
            <w:pPr>
              <w:widowControl/>
              <w:adjustRightInd w:val="0"/>
              <w:snapToGrid w:val="0"/>
              <w:spacing w:line="360" w:lineRule="auto"/>
              <w:ind w:firstLine="480" w:firstLineChars="200"/>
              <w:jc w:val="left"/>
              <w:rPr>
                <w:rFonts w:eastAsiaTheme="minorEastAsia"/>
                <w:color w:val="auto"/>
                <w:kern w:val="0"/>
                <w:sz w:val="24"/>
                <w:highlight w:val="none"/>
              </w:rPr>
            </w:pPr>
            <w:r>
              <w:rPr>
                <w:rFonts w:eastAsiaTheme="minorEastAsia"/>
                <w:color w:val="auto"/>
                <w:kern w:val="0"/>
                <w:sz w:val="24"/>
                <w:highlight w:val="none"/>
              </w:rPr>
              <w:t>施工期主要防范措施：</w:t>
            </w:r>
          </w:p>
          <w:p w14:paraId="6458677D">
            <w:pPr>
              <w:widowControl/>
              <w:adjustRightInd w:val="0"/>
              <w:snapToGrid w:val="0"/>
              <w:spacing w:line="360" w:lineRule="auto"/>
              <w:ind w:firstLine="480" w:firstLineChars="200"/>
              <w:jc w:val="left"/>
              <w:rPr>
                <w:rFonts w:eastAsiaTheme="minorEastAsia"/>
                <w:color w:val="auto"/>
                <w:kern w:val="0"/>
                <w:sz w:val="24"/>
                <w:highlight w:val="none"/>
              </w:rPr>
            </w:pPr>
            <w:r>
              <w:rPr>
                <w:rFonts w:eastAsiaTheme="minorEastAsia"/>
                <w:color w:val="auto"/>
                <w:kern w:val="0"/>
                <w:sz w:val="24"/>
                <w:highlight w:val="none"/>
              </w:rPr>
              <w:t>a.加强施工管理，合理安排施工机械设备组装和施工时间，避免在居民休息时（晚10:00-早6:00）施工。除特殊需要作业外（经生态环境局批准并公布），禁止夜间以后进行产生环境噪声污染的施工。</w:t>
            </w:r>
          </w:p>
          <w:p w14:paraId="23231BA0">
            <w:pPr>
              <w:adjustRightInd w:val="0"/>
              <w:snapToGrid w:val="0"/>
              <w:spacing w:line="360" w:lineRule="auto"/>
              <w:ind w:firstLine="480" w:firstLineChars="200"/>
              <w:jc w:val="left"/>
              <w:rPr>
                <w:rFonts w:eastAsiaTheme="minorEastAsia"/>
                <w:color w:val="auto"/>
                <w:highlight w:val="none"/>
              </w:rPr>
            </w:pPr>
            <w:r>
              <w:rPr>
                <w:rFonts w:eastAsiaTheme="minorEastAsia"/>
                <w:color w:val="auto"/>
                <w:kern w:val="0"/>
                <w:sz w:val="24"/>
                <w:highlight w:val="none"/>
              </w:rPr>
              <w:t>b.尽量采用低噪音施工设备和噪声低的施工方法，作业时在高噪声设备周围设置屏蔽；对施工设备进行合理布局，选择低噪声的机械设备。</w:t>
            </w:r>
          </w:p>
        </w:tc>
      </w:tr>
      <w:tr w14:paraId="030641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384" w:type="dxa"/>
            <w:tcMar>
              <w:left w:w="28" w:type="dxa"/>
              <w:right w:w="28" w:type="dxa"/>
            </w:tcMar>
            <w:vAlign w:val="center"/>
          </w:tcPr>
          <w:p w14:paraId="45F22B41">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pPr>
            <w:r>
              <w:rPr>
                <w:rFonts w:ascii="Times New Roman" w:hAnsi="Times New Roman" w:eastAsiaTheme="minorEastAsia"/>
                <w:b/>
                <w:color w:val="auto"/>
                <w:kern w:val="2"/>
                <w:sz w:val="21"/>
                <w:szCs w:val="21"/>
                <w:highlight w:val="none"/>
              </w:rPr>
              <w:t>运营</w:t>
            </w:r>
          </w:p>
          <w:p w14:paraId="68E21BA1">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pPr>
            <w:r>
              <w:rPr>
                <w:rFonts w:ascii="Times New Roman" w:hAnsi="Times New Roman" w:eastAsiaTheme="minorEastAsia"/>
                <w:b/>
                <w:color w:val="auto"/>
                <w:kern w:val="2"/>
                <w:sz w:val="21"/>
                <w:szCs w:val="21"/>
                <w:highlight w:val="none"/>
              </w:rPr>
              <w:t>期环</w:t>
            </w:r>
          </w:p>
          <w:p w14:paraId="23841146">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pPr>
            <w:r>
              <w:rPr>
                <w:rFonts w:ascii="Times New Roman" w:hAnsi="Times New Roman" w:eastAsiaTheme="minorEastAsia"/>
                <w:b/>
                <w:color w:val="auto"/>
                <w:kern w:val="2"/>
                <w:sz w:val="21"/>
                <w:szCs w:val="21"/>
                <w:highlight w:val="none"/>
              </w:rPr>
              <w:t>境影</w:t>
            </w:r>
          </w:p>
          <w:p w14:paraId="2624596E">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pPr>
            <w:r>
              <w:rPr>
                <w:rFonts w:ascii="Times New Roman" w:hAnsi="Times New Roman" w:eastAsiaTheme="minorEastAsia"/>
                <w:b/>
                <w:color w:val="auto"/>
                <w:kern w:val="2"/>
                <w:sz w:val="21"/>
                <w:szCs w:val="21"/>
                <w:highlight w:val="none"/>
              </w:rPr>
              <w:t>响和</w:t>
            </w:r>
          </w:p>
          <w:p w14:paraId="5236823D">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pPr>
            <w:r>
              <w:rPr>
                <w:rFonts w:ascii="Times New Roman" w:hAnsi="Times New Roman" w:eastAsiaTheme="minorEastAsia"/>
                <w:b/>
                <w:color w:val="auto"/>
                <w:kern w:val="2"/>
                <w:sz w:val="21"/>
                <w:szCs w:val="21"/>
                <w:highlight w:val="none"/>
              </w:rPr>
              <w:t>保护</w:t>
            </w:r>
          </w:p>
          <w:p w14:paraId="6E17E147">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pPr>
            <w:r>
              <w:rPr>
                <w:rFonts w:ascii="Times New Roman" w:hAnsi="Times New Roman" w:eastAsiaTheme="minorEastAsia"/>
                <w:b/>
                <w:color w:val="auto"/>
                <w:kern w:val="2"/>
                <w:sz w:val="21"/>
                <w:szCs w:val="21"/>
                <w:highlight w:val="none"/>
              </w:rPr>
              <w:t>措施</w:t>
            </w:r>
          </w:p>
        </w:tc>
        <w:tc>
          <w:tcPr>
            <w:tcW w:w="8597" w:type="dxa"/>
            <w:vAlign w:val="center"/>
          </w:tcPr>
          <w:p w14:paraId="5D5E8722">
            <w:pPr>
              <w:pageBreakBefore w:val="0"/>
              <w:widowControl w:val="0"/>
              <w:kinsoku/>
              <w:wordWrap/>
              <w:overflowPunct/>
              <w:topLinePunct w:val="0"/>
              <w:bidi w:val="0"/>
              <w:adjustRightInd/>
              <w:snapToGrid/>
              <w:spacing w:before="120" w:beforeLines="50" w:line="360" w:lineRule="auto"/>
              <w:textAlignment w:val="auto"/>
              <w:rPr>
                <w:rFonts w:eastAsiaTheme="minorEastAsia"/>
                <w:b/>
                <w:color w:val="auto"/>
                <w:kern w:val="0"/>
                <w:sz w:val="24"/>
                <w:highlight w:val="none"/>
              </w:rPr>
            </w:pPr>
            <w:r>
              <w:rPr>
                <w:rFonts w:eastAsiaTheme="minorEastAsia"/>
                <w:b/>
                <w:color w:val="auto"/>
                <w:kern w:val="0"/>
                <w:sz w:val="24"/>
                <w:highlight w:val="none"/>
              </w:rPr>
              <w:t>（一）废气</w:t>
            </w:r>
          </w:p>
          <w:p w14:paraId="7D39D1DA">
            <w:pPr>
              <w:pageBreakBefore w:val="0"/>
              <w:widowControl w:val="0"/>
              <w:kinsoku/>
              <w:wordWrap/>
              <w:overflowPunct/>
              <w:topLinePunct w:val="0"/>
              <w:bidi w:val="0"/>
              <w:adjustRightInd/>
              <w:snapToGrid/>
              <w:spacing w:line="360" w:lineRule="auto"/>
              <w:ind w:firstLine="482" w:firstLineChars="200"/>
              <w:textAlignment w:val="auto"/>
              <w:outlineLvl w:val="2"/>
              <w:rPr>
                <w:b/>
                <w:color w:val="auto"/>
                <w:sz w:val="24"/>
                <w:highlight w:val="none"/>
                <w:lang w:val="zh-CN"/>
              </w:rPr>
            </w:pPr>
            <w:r>
              <w:rPr>
                <w:b/>
                <w:color w:val="auto"/>
                <w:sz w:val="24"/>
                <w:highlight w:val="none"/>
                <w:lang w:val="zh-CN"/>
              </w:rPr>
              <w:t>1.废气源强分析</w:t>
            </w:r>
          </w:p>
          <w:p w14:paraId="2530349C">
            <w:pPr>
              <w:pStyle w:val="4"/>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b/>
                <w:color w:val="auto"/>
                <w:sz w:val="24"/>
                <w:highlight w:val="none"/>
                <w:lang w:val="en-US" w:eastAsia="zh-CN"/>
              </w:rPr>
            </w:pPr>
            <w:r>
              <w:rPr>
                <w:rFonts w:hint="eastAsia"/>
                <w:b/>
                <w:color w:val="auto"/>
                <w:sz w:val="24"/>
                <w:highlight w:val="none"/>
                <w:lang w:val="en-US" w:eastAsia="zh-CN"/>
              </w:rPr>
              <w:t>本项目废气主要为胶合和擦片工序产生的非甲烷总烃。</w:t>
            </w:r>
          </w:p>
          <w:p w14:paraId="134AEEE9">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62" w:leftChars="0" w:firstLine="482" w:firstLineChars="0"/>
              <w:textAlignment w:val="auto"/>
              <w:rPr>
                <w:rFonts w:eastAsiaTheme="minorEastAsia"/>
                <w:b/>
                <w:bCs w:val="0"/>
                <w:color w:val="auto"/>
                <w:kern w:val="0"/>
                <w:sz w:val="24"/>
                <w:highlight w:val="none"/>
              </w:rPr>
            </w:pPr>
            <w:r>
              <w:rPr>
                <w:rFonts w:hint="eastAsia"/>
                <w:b/>
                <w:bCs w:val="0"/>
                <w:color w:val="auto"/>
                <w:sz w:val="24"/>
                <w:highlight w:val="none"/>
                <w:lang w:val="en-US" w:eastAsia="zh-CN"/>
              </w:rPr>
              <w:t>胶合</w:t>
            </w:r>
            <w:r>
              <w:rPr>
                <w:rFonts w:hint="eastAsia"/>
                <w:b/>
                <w:color w:val="auto"/>
                <w:sz w:val="24"/>
                <w:highlight w:val="none"/>
                <w:lang w:val="en-US" w:eastAsia="zh-CN"/>
              </w:rPr>
              <w:t>废气</w:t>
            </w:r>
          </w:p>
          <w:p w14:paraId="751C4B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default" w:ascii="Times New Roman" w:hAnsi="Times New Roman" w:eastAsia="宋体" w:cs="Times New Roman"/>
                <w:color w:val="auto"/>
                <w:kern w:val="0"/>
                <w:sz w:val="24"/>
                <w:highlight w:val="none"/>
                <w:lang w:val="en-US" w:eastAsia="zh-CN"/>
              </w:rPr>
              <w:t>本项目</w:t>
            </w:r>
            <w:r>
              <w:rPr>
                <w:rFonts w:hint="eastAsia" w:cs="Times New Roman"/>
                <w:color w:val="auto"/>
                <w:kern w:val="0"/>
                <w:sz w:val="24"/>
                <w:highlight w:val="none"/>
                <w:lang w:val="en-US" w:eastAsia="zh-CN"/>
              </w:rPr>
              <w:t>胶合</w:t>
            </w:r>
            <w:r>
              <w:rPr>
                <w:rFonts w:hint="default" w:ascii="Times New Roman" w:hAnsi="Times New Roman" w:eastAsia="宋体" w:cs="Times New Roman"/>
                <w:color w:val="auto"/>
                <w:kern w:val="0"/>
                <w:sz w:val="24"/>
                <w:highlight w:val="none"/>
                <w:lang w:val="en-US" w:eastAsia="zh-CN"/>
              </w:rPr>
              <w:t>工序使用的原料为</w:t>
            </w:r>
            <w:r>
              <w:rPr>
                <w:rFonts w:hint="eastAsia" w:cs="Times New Roman"/>
                <w:color w:val="auto"/>
                <w:kern w:val="0"/>
                <w:sz w:val="24"/>
                <w:highlight w:val="none"/>
                <w:lang w:val="en-US" w:eastAsia="zh-CN"/>
              </w:rPr>
              <w:t>光学专用胶</w:t>
            </w:r>
            <w:r>
              <w:rPr>
                <w:rFonts w:hint="default" w:ascii="Times New Roman" w:hAnsi="Times New Roman" w:eastAsia="宋体" w:cs="Times New Roman"/>
                <w:color w:val="auto"/>
                <w:kern w:val="0"/>
                <w:sz w:val="24"/>
                <w:highlight w:val="none"/>
                <w:lang w:val="en-US" w:eastAsia="zh-CN"/>
              </w:rPr>
              <w:t>，</w:t>
            </w:r>
            <w:r>
              <w:rPr>
                <w:rFonts w:hint="eastAsia"/>
                <w:bCs/>
                <w:color w:val="auto"/>
                <w:sz w:val="24"/>
                <w:szCs w:val="24"/>
                <w:highlight w:val="none"/>
                <w:lang w:eastAsia="zh-CN"/>
              </w:rPr>
              <w:t>根据</w:t>
            </w:r>
            <w:r>
              <w:rPr>
                <w:rFonts w:hint="eastAsia"/>
                <w:bCs/>
                <w:color w:val="auto"/>
                <w:sz w:val="24"/>
                <w:szCs w:val="24"/>
                <w:highlight w:val="none"/>
                <w:lang w:val="en-US" w:eastAsia="zh-CN"/>
              </w:rPr>
              <w:t>检</w:t>
            </w:r>
            <w:r>
              <w:rPr>
                <w:rFonts w:hint="eastAsia"/>
                <w:bCs/>
                <w:color w:val="auto"/>
                <w:sz w:val="24"/>
                <w:szCs w:val="24"/>
                <w:highlight w:val="none"/>
                <w:lang w:eastAsia="zh-CN"/>
              </w:rPr>
              <w:t>测报告，VOCs含量为</w:t>
            </w:r>
            <w:r>
              <w:rPr>
                <w:rFonts w:hint="eastAsia"/>
                <w:bCs/>
                <w:color w:val="auto"/>
                <w:sz w:val="24"/>
                <w:szCs w:val="24"/>
                <w:highlight w:val="none"/>
                <w:lang w:val="en-US" w:eastAsia="zh-CN"/>
              </w:rPr>
              <w:t>2</w:t>
            </w:r>
            <w:r>
              <w:rPr>
                <w:rFonts w:hint="eastAsia"/>
                <w:bCs/>
                <w:color w:val="auto"/>
                <w:sz w:val="24"/>
                <w:szCs w:val="24"/>
                <w:highlight w:val="none"/>
                <w:lang w:eastAsia="zh-CN"/>
              </w:rPr>
              <w:t>g/L，根据MSDS报告，密度为1.0</w:t>
            </w:r>
            <w:r>
              <w:rPr>
                <w:rFonts w:hint="eastAsia"/>
                <w:bCs/>
                <w:color w:val="auto"/>
                <w:sz w:val="24"/>
                <w:szCs w:val="24"/>
                <w:highlight w:val="none"/>
                <w:lang w:val="en-US" w:eastAsia="zh-CN"/>
              </w:rPr>
              <w:t>5</w:t>
            </w:r>
            <w:r>
              <w:rPr>
                <w:rFonts w:hint="eastAsia"/>
                <w:bCs/>
                <w:color w:val="auto"/>
                <w:sz w:val="24"/>
                <w:szCs w:val="24"/>
                <w:highlight w:val="none"/>
                <w:lang w:eastAsia="zh-CN"/>
              </w:rPr>
              <w:t>g/m</w:t>
            </w:r>
            <w:r>
              <w:rPr>
                <w:rFonts w:hint="eastAsia"/>
                <w:bCs/>
                <w:color w:val="auto"/>
                <w:sz w:val="24"/>
                <w:szCs w:val="24"/>
                <w:highlight w:val="none"/>
                <w:vertAlign w:val="superscript"/>
                <w:lang w:val="en-US" w:eastAsia="zh-CN"/>
              </w:rPr>
              <w:t>3</w:t>
            </w:r>
            <w:r>
              <w:rPr>
                <w:rFonts w:hint="default" w:ascii="Times New Roman" w:hAnsi="Times New Roman" w:eastAsia="宋体" w:cs="Times New Roman"/>
                <w:color w:val="auto"/>
                <w:kern w:val="0"/>
                <w:sz w:val="24"/>
                <w:highlight w:val="none"/>
                <w:lang w:val="en-US" w:eastAsia="zh-CN"/>
              </w:rPr>
              <w:t>，项目</w:t>
            </w:r>
            <w:r>
              <w:rPr>
                <w:rFonts w:hint="eastAsia" w:cs="Times New Roman"/>
                <w:color w:val="auto"/>
                <w:kern w:val="0"/>
                <w:sz w:val="24"/>
                <w:highlight w:val="none"/>
                <w:lang w:val="en-US" w:eastAsia="zh-CN"/>
              </w:rPr>
              <w:t>光学专用胶</w:t>
            </w:r>
            <w:r>
              <w:rPr>
                <w:rFonts w:hint="default" w:ascii="Times New Roman" w:hAnsi="Times New Roman" w:eastAsia="宋体" w:cs="Times New Roman"/>
                <w:color w:val="auto"/>
                <w:kern w:val="0"/>
                <w:sz w:val="24"/>
                <w:highlight w:val="none"/>
                <w:lang w:val="en-US" w:eastAsia="zh-CN"/>
              </w:rPr>
              <w:t>使用量为0.</w:t>
            </w:r>
            <w:r>
              <w:rPr>
                <w:rFonts w:hint="eastAsia" w:cs="Times New Roman"/>
                <w:color w:val="auto"/>
                <w:kern w:val="0"/>
                <w:sz w:val="24"/>
                <w:highlight w:val="none"/>
                <w:lang w:val="en-US" w:eastAsia="zh-CN"/>
              </w:rPr>
              <w:t>02</w:t>
            </w:r>
            <w:r>
              <w:rPr>
                <w:rFonts w:hint="default" w:ascii="Times New Roman" w:hAnsi="Times New Roman" w:eastAsia="宋体" w:cs="Times New Roman"/>
                <w:color w:val="auto"/>
                <w:kern w:val="0"/>
                <w:sz w:val="24"/>
                <w:highlight w:val="none"/>
                <w:lang w:val="en-US" w:eastAsia="zh-CN"/>
              </w:rPr>
              <w:t>t/a，则</w:t>
            </w:r>
            <w:r>
              <w:rPr>
                <w:rFonts w:hint="eastAsia" w:cs="Times New Roman"/>
                <w:color w:val="auto"/>
                <w:kern w:val="0"/>
                <w:sz w:val="24"/>
                <w:highlight w:val="none"/>
                <w:lang w:val="en-US" w:eastAsia="zh-CN"/>
              </w:rPr>
              <w:t>胶合</w:t>
            </w:r>
            <w:r>
              <w:rPr>
                <w:rFonts w:hint="default" w:ascii="Times New Roman" w:hAnsi="Times New Roman" w:eastAsia="宋体" w:cs="Times New Roman"/>
                <w:color w:val="auto"/>
                <w:kern w:val="0"/>
                <w:sz w:val="24"/>
                <w:highlight w:val="none"/>
                <w:lang w:val="en-US" w:eastAsia="zh-CN"/>
              </w:rPr>
              <w:t>工序</w:t>
            </w:r>
            <w:r>
              <w:rPr>
                <w:rFonts w:hint="eastAsia" w:cs="Times New Roman"/>
                <w:color w:val="auto"/>
                <w:kern w:val="0"/>
                <w:sz w:val="24"/>
                <w:highlight w:val="none"/>
                <w:lang w:val="en-US" w:eastAsia="zh-CN"/>
              </w:rPr>
              <w:t>光学专用胶</w:t>
            </w:r>
            <w:r>
              <w:rPr>
                <w:rFonts w:hint="default" w:ascii="Times New Roman" w:hAnsi="Times New Roman" w:eastAsia="宋体" w:cs="Times New Roman"/>
                <w:color w:val="auto"/>
                <w:kern w:val="0"/>
                <w:sz w:val="24"/>
                <w:highlight w:val="none"/>
                <w:lang w:val="en-US" w:eastAsia="zh-CN"/>
              </w:rPr>
              <w:t>产生的非甲烷总烃量约</w:t>
            </w:r>
            <w:r>
              <w:rPr>
                <w:rFonts w:hint="eastAsia" w:cs="Times New Roman"/>
                <w:color w:val="auto"/>
                <w:kern w:val="0"/>
                <w:sz w:val="24"/>
                <w:highlight w:val="none"/>
                <w:lang w:val="en-US" w:eastAsia="zh-CN"/>
              </w:rPr>
              <w:t>0.0003</w:t>
            </w:r>
            <w:r>
              <w:rPr>
                <w:rFonts w:hint="default" w:ascii="Times New Roman" w:hAnsi="Times New Roman" w:eastAsia="宋体" w:cs="Times New Roman"/>
                <w:color w:val="auto"/>
                <w:kern w:val="0"/>
                <w:sz w:val="24"/>
                <w:highlight w:val="none"/>
                <w:lang w:val="en-US" w:eastAsia="zh-CN"/>
              </w:rPr>
              <w:t>t/a</w:t>
            </w:r>
            <w:r>
              <w:rPr>
                <w:rFonts w:hint="eastAsia" w:cs="Times New Roman"/>
                <w:color w:val="auto"/>
                <w:sz w:val="24"/>
                <w:highlight w:val="none"/>
                <w:lang w:val="en-US" w:eastAsia="zh-CN"/>
              </w:rPr>
              <w:t>，此工序年工作时间为1800h，</w:t>
            </w:r>
            <w:r>
              <w:rPr>
                <w:rFonts w:hint="default" w:ascii="Times New Roman" w:hAnsi="Times New Roman" w:cs="Times New Roman"/>
                <w:color w:val="auto"/>
                <w:sz w:val="24"/>
                <w:highlight w:val="none"/>
              </w:rPr>
              <w:t>排放速率为</w:t>
            </w:r>
            <w:r>
              <w:rPr>
                <w:rFonts w:hint="eastAsia" w:ascii="Times New Roman" w:hAnsi="Times New Roman" w:cs="Times New Roman"/>
                <w:color w:val="auto"/>
                <w:sz w:val="24"/>
                <w:highlight w:val="none"/>
                <w:lang w:val="en-US" w:eastAsia="zh-CN"/>
              </w:rPr>
              <w:t>0.0</w:t>
            </w:r>
            <w:r>
              <w:rPr>
                <w:rFonts w:hint="eastAsia" w:cs="Times New Roman"/>
                <w:color w:val="auto"/>
                <w:sz w:val="24"/>
                <w:highlight w:val="none"/>
                <w:lang w:val="en-US" w:eastAsia="zh-CN"/>
              </w:rPr>
              <w:t>002</w:t>
            </w:r>
            <w:r>
              <w:rPr>
                <w:rFonts w:hint="default" w:ascii="Times New Roman" w:hAnsi="Times New Roman" w:cs="Times New Roman"/>
                <w:color w:val="auto"/>
                <w:sz w:val="24"/>
                <w:highlight w:val="none"/>
              </w:rPr>
              <w:t>kg/h，</w:t>
            </w:r>
            <w:r>
              <w:rPr>
                <w:rFonts w:hint="eastAsia" w:ascii="Times New Roman" w:hAnsi="Times New Roman" w:cs="Times New Roman"/>
                <w:color w:val="auto"/>
                <w:sz w:val="24"/>
                <w:highlight w:val="none"/>
                <w:lang w:val="en-US" w:eastAsia="zh-CN"/>
              </w:rPr>
              <w:t>此部分废气</w:t>
            </w:r>
            <w:r>
              <w:rPr>
                <w:rFonts w:hint="eastAsia" w:cs="Times New Roman"/>
                <w:color w:val="auto"/>
                <w:sz w:val="24"/>
                <w:highlight w:val="none"/>
                <w:lang w:val="en-US" w:eastAsia="zh-CN"/>
              </w:rPr>
              <w:t>在车间</w:t>
            </w:r>
            <w:r>
              <w:rPr>
                <w:rFonts w:hint="eastAsia"/>
                <w:color w:val="auto"/>
                <w:sz w:val="24"/>
                <w:szCs w:val="24"/>
                <w:highlight w:val="none"/>
              </w:rPr>
              <w:t>无组织排放。</w:t>
            </w:r>
          </w:p>
          <w:p w14:paraId="2C6111A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highlight w:val="none"/>
                <w:lang w:val="en-US"/>
              </w:rPr>
            </w:pPr>
            <w:r>
              <w:rPr>
                <w:rFonts w:hint="eastAsia" w:cs="Times New Roman"/>
                <w:color w:val="auto"/>
                <w:sz w:val="24"/>
                <w:highlight w:val="none"/>
                <w:lang w:val="en-US" w:eastAsia="zh-CN"/>
              </w:rPr>
              <w:t>根据《挥发性有机物无组织排放控制标准》（GB37822-2019）中要求“对于重点地区，收集的废气中NMHC初始排放速率≥2kg/h时，应配置VOCs处理设施，处理效率不应低于80%”，本项目胶合废气初始排放速率低于2kg/h，废气产生量较小，故不设置收集处理措施直接于生产车间内无组织排放。</w:t>
            </w:r>
          </w:p>
          <w:p w14:paraId="3D8AF6C4">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（2）擦片工序废气</w:t>
            </w:r>
          </w:p>
          <w:p w14:paraId="46C7E08C">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olor w:val="FF0000"/>
                <w:sz w:val="24"/>
                <w:szCs w:val="24"/>
                <w:highlight w:val="none"/>
              </w:rPr>
            </w:pPr>
            <w:r>
              <w:rPr>
                <w:rFonts w:hint="default" w:ascii="Times New Roman" w:hAnsi="Times New Roman" w:eastAsia="宋体" w:cs="Times New Roman"/>
                <w:color w:val="FF0000"/>
                <w:kern w:val="0"/>
                <w:sz w:val="24"/>
                <w:highlight w:val="none"/>
                <w:lang w:val="en-US" w:eastAsia="zh-CN"/>
              </w:rPr>
              <w:t>本项目</w:t>
            </w:r>
            <w:r>
              <w:rPr>
                <w:rFonts w:hint="eastAsia" w:cs="Times New Roman"/>
                <w:color w:val="FF0000"/>
                <w:kern w:val="0"/>
                <w:sz w:val="24"/>
                <w:highlight w:val="none"/>
                <w:lang w:val="en-US" w:eastAsia="zh-CN"/>
              </w:rPr>
              <w:t>擦片</w:t>
            </w:r>
            <w:r>
              <w:rPr>
                <w:rFonts w:hint="default" w:ascii="Times New Roman" w:hAnsi="Times New Roman" w:eastAsia="宋体" w:cs="Times New Roman"/>
                <w:color w:val="FF0000"/>
                <w:kern w:val="0"/>
                <w:sz w:val="24"/>
                <w:highlight w:val="none"/>
                <w:lang w:val="en-US" w:eastAsia="zh-CN"/>
              </w:rPr>
              <w:t>工序使用的原料为</w:t>
            </w:r>
            <w:r>
              <w:rPr>
                <w:rFonts w:hint="eastAsia" w:cs="Times New Roman"/>
                <w:color w:val="FF0000"/>
                <w:kern w:val="0"/>
                <w:sz w:val="24"/>
                <w:highlight w:val="none"/>
                <w:lang w:val="en-US" w:eastAsia="zh-CN"/>
              </w:rPr>
              <w:t>清洗剂和乙醇擦拭液</w:t>
            </w:r>
            <w:r>
              <w:rPr>
                <w:rFonts w:hint="default" w:ascii="Times New Roman" w:hAnsi="Times New Roman" w:eastAsia="宋体" w:cs="Times New Roman"/>
                <w:color w:val="FF0000"/>
                <w:kern w:val="0"/>
                <w:sz w:val="24"/>
                <w:highlight w:val="none"/>
                <w:lang w:val="en-US" w:eastAsia="zh-CN"/>
              </w:rPr>
              <w:t>，</w:t>
            </w:r>
            <w:r>
              <w:rPr>
                <w:rFonts w:hint="eastAsia"/>
                <w:color w:val="FF0000"/>
                <w:sz w:val="24"/>
                <w:szCs w:val="24"/>
                <w:highlight w:val="none"/>
              </w:rPr>
              <w:t>使用过程</w:t>
            </w:r>
            <w:r>
              <w:rPr>
                <w:rFonts w:hint="eastAsia"/>
                <w:color w:val="FF0000"/>
                <w:sz w:val="24"/>
                <w:szCs w:val="24"/>
                <w:highlight w:val="none"/>
                <w:lang w:val="en-US" w:eastAsia="zh-CN"/>
              </w:rPr>
              <w:t>会有少量</w:t>
            </w:r>
            <w:r>
              <w:rPr>
                <w:rFonts w:hint="eastAsia"/>
                <w:color w:val="FF0000"/>
                <w:sz w:val="24"/>
                <w:szCs w:val="24"/>
                <w:highlight w:val="none"/>
              </w:rPr>
              <w:t>挥发性有机废气产生</w:t>
            </w:r>
            <w:r>
              <w:rPr>
                <w:rFonts w:hint="eastAsia"/>
                <w:color w:val="FF0000"/>
                <w:sz w:val="24"/>
                <w:szCs w:val="24"/>
                <w:highlight w:val="none"/>
                <w:lang w:eastAsia="zh-CN"/>
              </w:rPr>
              <w:t>，以非甲烷总烃计，</w:t>
            </w:r>
            <w:r>
              <w:rPr>
                <w:rFonts w:hint="eastAsia"/>
                <w:bCs/>
                <w:color w:val="FF0000"/>
                <w:sz w:val="24"/>
                <w:szCs w:val="24"/>
                <w:highlight w:val="none"/>
              </w:rPr>
              <w:t>本项目</w:t>
            </w:r>
            <w:r>
              <w:rPr>
                <w:rFonts w:hint="eastAsia"/>
                <w:bCs/>
                <w:color w:val="FF0000"/>
                <w:sz w:val="24"/>
                <w:szCs w:val="24"/>
                <w:highlight w:val="none"/>
                <w:lang w:eastAsia="zh-CN"/>
              </w:rPr>
              <w:t>水基</w:t>
            </w:r>
            <w:r>
              <w:rPr>
                <w:rFonts w:hint="eastAsia"/>
                <w:bCs/>
                <w:color w:val="FF0000"/>
                <w:sz w:val="24"/>
                <w:szCs w:val="24"/>
                <w:highlight w:val="none"/>
              </w:rPr>
              <w:t>清洗剂年用量为</w:t>
            </w:r>
            <w:r>
              <w:rPr>
                <w:rFonts w:hint="eastAsia"/>
                <w:bCs/>
                <w:color w:val="FF0000"/>
                <w:sz w:val="24"/>
                <w:szCs w:val="24"/>
                <w:highlight w:val="none"/>
                <w:lang w:val="en-US" w:eastAsia="zh-CN"/>
              </w:rPr>
              <w:t>0.3</w:t>
            </w:r>
            <w:r>
              <w:rPr>
                <w:rFonts w:hint="eastAsia"/>
                <w:bCs/>
                <w:color w:val="FF0000"/>
                <w:sz w:val="24"/>
                <w:szCs w:val="24"/>
                <w:highlight w:val="none"/>
              </w:rPr>
              <w:t>t/a</w:t>
            </w:r>
            <w:r>
              <w:rPr>
                <w:rFonts w:hint="eastAsia"/>
                <w:bCs/>
                <w:color w:val="FF0000"/>
                <w:sz w:val="24"/>
                <w:szCs w:val="24"/>
                <w:highlight w:val="none"/>
                <w:lang w:eastAsia="zh-CN"/>
              </w:rPr>
              <w:t>，此工序年运行</w:t>
            </w:r>
            <w:r>
              <w:rPr>
                <w:rFonts w:hint="eastAsia"/>
                <w:bCs/>
                <w:color w:val="FF0000"/>
                <w:sz w:val="24"/>
                <w:szCs w:val="24"/>
                <w:highlight w:val="none"/>
                <w:lang w:val="en-US" w:eastAsia="zh-CN"/>
              </w:rPr>
              <w:t>1800</w:t>
            </w:r>
            <w:r>
              <w:rPr>
                <w:rFonts w:hint="eastAsia"/>
                <w:bCs/>
                <w:color w:val="FF0000"/>
                <w:sz w:val="24"/>
                <w:szCs w:val="24"/>
                <w:highlight w:val="none"/>
                <w:lang w:eastAsia="zh-CN"/>
              </w:rPr>
              <w:t>h，根据清洗剂</w:t>
            </w:r>
            <w:r>
              <w:rPr>
                <w:rFonts w:hint="eastAsia"/>
                <w:bCs/>
                <w:color w:val="FF0000"/>
                <w:sz w:val="24"/>
                <w:szCs w:val="24"/>
                <w:highlight w:val="none"/>
                <w:lang w:val="en-US" w:eastAsia="zh-CN"/>
              </w:rPr>
              <w:t>检</w:t>
            </w:r>
            <w:r>
              <w:rPr>
                <w:rFonts w:hint="eastAsia"/>
                <w:bCs/>
                <w:color w:val="FF0000"/>
                <w:sz w:val="24"/>
                <w:szCs w:val="24"/>
                <w:highlight w:val="none"/>
                <w:lang w:eastAsia="zh-CN"/>
              </w:rPr>
              <w:t>测报告，清洗剂VOCs含量为27g/L，根据清洗剂MSDS报告，清洗剂密度为1.045g/mL，则</w:t>
            </w:r>
            <w:r>
              <w:rPr>
                <w:rFonts w:hint="eastAsia"/>
                <w:bCs/>
                <w:color w:val="FF0000"/>
                <w:sz w:val="24"/>
                <w:szCs w:val="24"/>
                <w:highlight w:val="none"/>
              </w:rPr>
              <w:t>清洗工序挥发性有机废气产生量为0.0</w:t>
            </w:r>
            <w:r>
              <w:rPr>
                <w:rFonts w:hint="eastAsia"/>
                <w:bCs/>
                <w:color w:val="FF0000"/>
                <w:sz w:val="24"/>
                <w:szCs w:val="24"/>
                <w:highlight w:val="none"/>
                <w:lang w:val="en-US" w:eastAsia="zh-CN"/>
              </w:rPr>
              <w:t>077</w:t>
            </w:r>
            <w:r>
              <w:rPr>
                <w:rFonts w:hint="eastAsia"/>
                <w:bCs/>
                <w:color w:val="FF0000"/>
                <w:sz w:val="24"/>
                <w:szCs w:val="24"/>
                <w:highlight w:val="none"/>
              </w:rPr>
              <w:t>t/a</w:t>
            </w:r>
            <w:r>
              <w:rPr>
                <w:rFonts w:hint="eastAsia"/>
                <w:bCs/>
                <w:color w:val="FF0000"/>
                <w:sz w:val="24"/>
                <w:szCs w:val="24"/>
                <w:highlight w:val="none"/>
                <w:lang w:eastAsia="zh-CN"/>
              </w:rPr>
              <w:t>；</w:t>
            </w:r>
            <w:r>
              <w:rPr>
                <w:rFonts w:hint="eastAsia" w:ascii="Times New Roman" w:hAnsi="Times New Roman" w:eastAsia="宋体" w:cs="Times New Roman"/>
                <w:color w:val="FF0000"/>
                <w:sz w:val="24"/>
                <w:highlight w:val="none"/>
                <w:lang w:val="en-US"/>
              </w:rPr>
              <w:t>项目</w:t>
            </w:r>
            <w:r>
              <w:rPr>
                <w:rFonts w:hint="eastAsia" w:cs="Times New Roman"/>
                <w:color w:val="FF0000"/>
                <w:sz w:val="24"/>
                <w:highlight w:val="none"/>
                <w:lang w:val="en-US" w:eastAsia="zh-CN"/>
              </w:rPr>
              <w:t>乙醇擦拭液</w:t>
            </w:r>
            <w:r>
              <w:rPr>
                <w:rFonts w:hint="eastAsia" w:ascii="Times New Roman" w:hAnsi="Times New Roman" w:eastAsia="宋体" w:cs="Times New Roman"/>
                <w:color w:val="FF0000"/>
                <w:sz w:val="24"/>
                <w:highlight w:val="none"/>
                <w:lang w:val="en-US"/>
              </w:rPr>
              <w:t>使用量为</w:t>
            </w:r>
            <w:r>
              <w:rPr>
                <w:rFonts w:hint="eastAsia" w:cs="Times New Roman"/>
                <w:color w:val="FF0000"/>
                <w:sz w:val="24"/>
                <w:highlight w:val="none"/>
                <w:lang w:val="en-US" w:eastAsia="zh-CN"/>
              </w:rPr>
              <w:t>0.2</w:t>
            </w:r>
            <w:r>
              <w:rPr>
                <w:rFonts w:hint="eastAsia" w:ascii="Times New Roman" w:hAnsi="Times New Roman" w:eastAsia="宋体" w:cs="Times New Roman"/>
                <w:color w:val="FF0000"/>
                <w:sz w:val="24"/>
                <w:highlight w:val="none"/>
                <w:lang w:val="en-US"/>
              </w:rPr>
              <w:t>t/a，</w:t>
            </w:r>
            <w:r>
              <w:rPr>
                <w:rFonts w:hint="eastAsia" w:cs="Times New Roman"/>
                <w:color w:val="FF0000"/>
                <w:sz w:val="24"/>
                <w:highlight w:val="none"/>
                <w:lang w:val="en-US" w:eastAsia="zh-CN"/>
              </w:rPr>
              <w:t>按照全部挥发计，则</w:t>
            </w:r>
            <w:r>
              <w:rPr>
                <w:rFonts w:hint="eastAsia" w:ascii="Times New Roman" w:hAnsi="Times New Roman" w:eastAsia="宋体" w:cs="Times New Roman"/>
                <w:color w:val="FF0000"/>
                <w:sz w:val="24"/>
                <w:highlight w:val="none"/>
                <w:lang w:val="en-US"/>
              </w:rPr>
              <w:t>非甲烷总烃</w:t>
            </w:r>
            <w:r>
              <w:rPr>
                <w:rFonts w:hint="eastAsia" w:cs="Times New Roman"/>
                <w:color w:val="FF0000"/>
                <w:sz w:val="24"/>
                <w:highlight w:val="none"/>
                <w:lang w:val="en-US" w:eastAsia="zh-CN"/>
              </w:rPr>
              <w:t>产生量为0.2</w:t>
            </w:r>
            <w:r>
              <w:rPr>
                <w:rFonts w:hint="eastAsia" w:ascii="Times New Roman" w:hAnsi="Times New Roman" w:eastAsia="宋体" w:cs="Times New Roman"/>
                <w:color w:val="FF0000"/>
                <w:sz w:val="24"/>
                <w:highlight w:val="none"/>
                <w:lang w:val="en-US"/>
              </w:rPr>
              <w:t>t/a</w:t>
            </w:r>
            <w:r>
              <w:rPr>
                <w:rFonts w:hint="eastAsia" w:eastAsia="宋体" w:cs="Times New Roman"/>
                <w:color w:val="FF0000"/>
                <w:sz w:val="24"/>
                <w:highlight w:val="none"/>
                <w:lang w:val="en-US" w:eastAsia="zh-CN"/>
              </w:rPr>
              <w:t>，则共产生非甲烷总烃0.2077</w:t>
            </w:r>
            <w:r>
              <w:rPr>
                <w:rFonts w:hint="eastAsia" w:ascii="Times New Roman" w:hAnsi="Times New Roman" w:eastAsia="宋体" w:cs="Times New Roman"/>
                <w:color w:val="FF0000"/>
                <w:sz w:val="24"/>
                <w:highlight w:val="none"/>
                <w:lang w:val="en-US"/>
              </w:rPr>
              <w:t>t/a</w:t>
            </w:r>
            <w:r>
              <w:rPr>
                <w:rFonts w:hint="eastAsia" w:eastAsia="宋体" w:cs="Times New Roman"/>
                <w:color w:val="FF0000"/>
                <w:sz w:val="24"/>
                <w:highlight w:val="none"/>
                <w:lang w:val="en-US" w:eastAsia="zh-CN"/>
              </w:rPr>
              <w:t>，</w:t>
            </w:r>
            <w:r>
              <w:rPr>
                <w:rFonts w:hint="default" w:ascii="Times New Roman" w:hAnsi="Times New Roman" w:cs="Times New Roman"/>
                <w:color w:val="FF0000"/>
                <w:sz w:val="24"/>
                <w:highlight w:val="none"/>
              </w:rPr>
              <w:t>排放速率为</w:t>
            </w:r>
            <w:r>
              <w:rPr>
                <w:rFonts w:hint="eastAsia" w:ascii="Times New Roman" w:hAnsi="Times New Roman" w:cs="Times New Roman"/>
                <w:color w:val="FF0000"/>
                <w:sz w:val="24"/>
                <w:highlight w:val="none"/>
                <w:lang w:val="en-US" w:eastAsia="zh-CN"/>
              </w:rPr>
              <w:t>0.</w:t>
            </w:r>
            <w:r>
              <w:rPr>
                <w:rFonts w:hint="eastAsia" w:cs="Times New Roman"/>
                <w:color w:val="FF0000"/>
                <w:sz w:val="24"/>
                <w:highlight w:val="none"/>
                <w:lang w:val="en-US" w:eastAsia="zh-CN"/>
              </w:rPr>
              <w:t>1153</w:t>
            </w:r>
            <w:r>
              <w:rPr>
                <w:rFonts w:hint="default" w:ascii="Times New Roman" w:hAnsi="Times New Roman" w:cs="Times New Roman"/>
                <w:color w:val="FF0000"/>
                <w:sz w:val="24"/>
                <w:highlight w:val="none"/>
              </w:rPr>
              <w:t>kg/h，</w:t>
            </w:r>
            <w:r>
              <w:rPr>
                <w:rFonts w:hint="eastAsia" w:cs="Times New Roman"/>
                <w:color w:val="FF0000"/>
                <w:sz w:val="24"/>
                <w:highlight w:val="none"/>
                <w:lang w:val="en-US" w:eastAsia="zh-CN"/>
              </w:rPr>
              <w:t>在车间</w:t>
            </w:r>
            <w:r>
              <w:rPr>
                <w:rFonts w:hint="eastAsia"/>
                <w:color w:val="FF0000"/>
                <w:sz w:val="24"/>
                <w:szCs w:val="24"/>
                <w:highlight w:val="none"/>
              </w:rPr>
              <w:t>无组织排放。</w:t>
            </w:r>
          </w:p>
          <w:p w14:paraId="767A0C0B">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both"/>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根据《挥发性有机物无组织排放控制标准》（GB37822-2019）中要求“对于重点地区，收集的废气中NMHC初始排放速率≥2kg/h时，应配置VOCs处理设施，处理效率不应低于80%”，本项目胶合废气初始排放速率低于2kg/h，废气产生量较小，故不设置收集处理措施直接于生产车间内无组织排放。</w:t>
            </w:r>
          </w:p>
          <w:p w14:paraId="3AD03443">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both"/>
              <w:textAlignment w:val="auto"/>
              <w:rPr>
                <w:b/>
                <w:bCs/>
                <w:color w:val="auto"/>
                <w:sz w:val="24"/>
                <w:highlight w:val="none"/>
              </w:rPr>
            </w:pPr>
            <w:r>
              <w:rPr>
                <w:rFonts w:ascii="Times New Roman" w:hAnsi="Times New Roman" w:eastAsia="宋体" w:cs="Times New Roman"/>
                <w:color w:val="auto"/>
                <w:sz w:val="24"/>
                <w:highlight w:val="none"/>
                <w:lang w:val="en-US"/>
              </w:rPr>
              <w:t>本项目废气</w:t>
            </w:r>
            <w:r>
              <w:rPr>
                <w:rFonts w:hint="eastAsia" w:cs="Times New Roman"/>
                <w:color w:val="auto"/>
                <w:sz w:val="24"/>
                <w:highlight w:val="none"/>
                <w:lang w:val="en-US" w:eastAsia="zh-CN"/>
              </w:rPr>
              <w:t>产排情况</w:t>
            </w:r>
            <w:r>
              <w:rPr>
                <w:rFonts w:ascii="Times New Roman" w:hAnsi="Times New Roman" w:eastAsia="宋体" w:cs="Times New Roman"/>
                <w:color w:val="auto"/>
                <w:sz w:val="24"/>
                <w:highlight w:val="none"/>
                <w:lang w:val="en-US"/>
              </w:rPr>
              <w:t>详见表4-</w:t>
            </w:r>
            <w:r>
              <w:rPr>
                <w:rFonts w:hint="eastAsia" w:cs="Times New Roman"/>
                <w:color w:val="auto"/>
                <w:sz w:val="24"/>
                <w:highlight w:val="none"/>
                <w:lang w:val="en-US" w:eastAsia="zh-CN"/>
              </w:rPr>
              <w:t>1</w:t>
            </w:r>
            <w:r>
              <w:rPr>
                <w:rFonts w:ascii="Times New Roman" w:hAnsi="Times New Roman" w:eastAsia="宋体" w:cs="Times New Roman"/>
                <w:color w:val="auto"/>
                <w:sz w:val="24"/>
                <w:highlight w:val="none"/>
                <w:lang w:val="en-US"/>
              </w:rPr>
              <w:t>。</w:t>
            </w:r>
          </w:p>
          <w:p w14:paraId="03DC7A28">
            <w:pPr>
              <w:spacing w:before="120" w:beforeLines="50"/>
              <w:ind w:firstLine="482" w:firstLineChars="200"/>
              <w:jc w:val="center"/>
              <w:rPr>
                <w:b/>
                <w:bCs/>
                <w:color w:val="auto"/>
                <w:sz w:val="24"/>
                <w:highlight w:val="none"/>
              </w:rPr>
            </w:pPr>
          </w:p>
          <w:p w14:paraId="7E84940E">
            <w:pPr>
              <w:pStyle w:val="70"/>
              <w:spacing w:line="360" w:lineRule="auto"/>
              <w:rPr>
                <w:rFonts w:ascii="Times New Roman" w:hAnsi="Times New Roman" w:eastAsia="宋体" w:cs="Times New Roman"/>
                <w:color w:val="auto"/>
                <w:sz w:val="24"/>
                <w:highlight w:val="none"/>
                <w:lang w:val="en-US"/>
              </w:rPr>
            </w:pPr>
          </w:p>
        </w:tc>
      </w:tr>
    </w:tbl>
    <w:p w14:paraId="66C027D5">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7"/>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2585"/>
      </w:tblGrid>
      <w:tr w14:paraId="25A9A6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23" w:hRule="atLeast"/>
          <w:jc w:val="center"/>
        </w:trPr>
        <w:tc>
          <w:tcPr>
            <w:tcW w:w="213" w:type="pct"/>
            <w:tcMar>
              <w:left w:w="28" w:type="dxa"/>
              <w:right w:w="28" w:type="dxa"/>
            </w:tcMar>
            <w:vAlign w:val="center"/>
          </w:tcPr>
          <w:p w14:paraId="72EBECAC">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pPr>
          </w:p>
        </w:tc>
        <w:tc>
          <w:tcPr>
            <w:tcW w:w="4786" w:type="pct"/>
            <w:vAlign w:val="top"/>
          </w:tcPr>
          <w:p w14:paraId="220C0A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w:t>
            </w:r>
            <w:r>
              <w:rPr>
                <w:rFonts w:hint="eastAsia"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val="en-US" w:eastAsia="zh-CN"/>
              </w:rPr>
              <w:t xml:space="preserve"> </w:t>
            </w:r>
            <w:r>
              <w:rPr>
                <w:rFonts w:hint="eastAsia" w:ascii="Times New Roman" w:hAnsi="Times New Roman" w:eastAsia="宋体" w:cs="Times New Roman"/>
                <w:b/>
                <w:color w:val="auto"/>
                <w:sz w:val="24"/>
                <w:szCs w:val="24"/>
                <w:highlight w:val="none"/>
                <w:lang w:val="en-US" w:eastAsia="zh-CN"/>
              </w:rPr>
              <w:t>项目</w:t>
            </w:r>
            <w:r>
              <w:rPr>
                <w:rFonts w:hint="eastAsia" w:cs="Times New Roman"/>
                <w:b/>
                <w:color w:val="auto"/>
                <w:sz w:val="24"/>
                <w:szCs w:val="24"/>
                <w:highlight w:val="none"/>
                <w:lang w:val="en-US" w:eastAsia="zh-CN"/>
              </w:rPr>
              <w:t>无组织</w:t>
            </w:r>
            <w:r>
              <w:rPr>
                <w:rFonts w:hint="default" w:ascii="Times New Roman" w:hAnsi="Times New Roman" w:eastAsia="宋体" w:cs="Times New Roman"/>
                <w:b/>
                <w:color w:val="auto"/>
                <w:sz w:val="24"/>
                <w:szCs w:val="24"/>
                <w:highlight w:val="none"/>
              </w:rPr>
              <w:t>大气污染物</w:t>
            </w:r>
            <w:r>
              <w:rPr>
                <w:rFonts w:hint="eastAsia" w:cs="Times New Roman"/>
                <w:b/>
                <w:color w:val="auto"/>
                <w:sz w:val="24"/>
                <w:szCs w:val="24"/>
                <w:highlight w:val="none"/>
                <w:lang w:eastAsia="zh-CN"/>
              </w:rPr>
              <w:t>产生及排放情况一览表</w:t>
            </w:r>
          </w:p>
          <w:tbl>
            <w:tblPr>
              <w:tblStyle w:val="3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164"/>
              <w:gridCol w:w="949"/>
              <w:gridCol w:w="828"/>
              <w:gridCol w:w="776"/>
              <w:gridCol w:w="613"/>
              <w:gridCol w:w="784"/>
              <w:gridCol w:w="536"/>
              <w:gridCol w:w="576"/>
              <w:gridCol w:w="897"/>
              <w:gridCol w:w="922"/>
              <w:gridCol w:w="828"/>
              <w:gridCol w:w="831"/>
              <w:gridCol w:w="596"/>
              <w:gridCol w:w="772"/>
            </w:tblGrid>
            <w:tr w14:paraId="7281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pct"/>
                  <w:vMerge w:val="restart"/>
                  <w:shd w:val="clear" w:color="000000" w:fill="FFFFFF"/>
                  <w:noWrap w:val="0"/>
                  <w:vAlign w:val="center"/>
                </w:tcPr>
                <w:p w14:paraId="0806CEE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产污环节</w:t>
                  </w:r>
                </w:p>
              </w:tc>
              <w:tc>
                <w:tcPr>
                  <w:tcW w:w="471" w:type="pct"/>
                  <w:vMerge w:val="restart"/>
                  <w:shd w:val="clear" w:color="000000" w:fill="FFFFFF"/>
                  <w:noWrap w:val="0"/>
                  <w:vAlign w:val="center"/>
                </w:tcPr>
                <w:p w14:paraId="32A127A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污染物种类</w:t>
                  </w:r>
                </w:p>
              </w:tc>
              <w:tc>
                <w:tcPr>
                  <w:tcW w:w="719" w:type="pct"/>
                  <w:gridSpan w:val="2"/>
                  <w:shd w:val="clear" w:color="000000" w:fill="FFFFFF"/>
                  <w:noWrap w:val="0"/>
                  <w:vAlign w:val="center"/>
                </w:tcPr>
                <w:p w14:paraId="43E55CF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污染物产生情况</w:t>
                  </w:r>
                </w:p>
              </w:tc>
              <w:tc>
                <w:tcPr>
                  <w:tcW w:w="314" w:type="pct"/>
                  <w:vMerge w:val="restart"/>
                  <w:shd w:val="clear" w:color="000000" w:fill="FFFFFF"/>
                  <w:noWrap w:val="0"/>
                  <w:vAlign w:val="center"/>
                </w:tcPr>
                <w:p w14:paraId="4EF93C7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排放形式</w:t>
                  </w:r>
                </w:p>
              </w:tc>
              <w:tc>
                <w:tcPr>
                  <w:tcW w:w="1378" w:type="pct"/>
                  <w:gridSpan w:val="5"/>
                  <w:shd w:val="clear" w:color="000000" w:fill="FFFFFF"/>
                  <w:noWrap w:val="0"/>
                  <w:vAlign w:val="center"/>
                </w:tcPr>
                <w:p w14:paraId="7E767F1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主要污染治理设施</w:t>
                  </w:r>
                </w:p>
              </w:tc>
              <w:tc>
                <w:tcPr>
                  <w:tcW w:w="1044" w:type="pct"/>
                  <w:gridSpan w:val="3"/>
                  <w:shd w:val="clear" w:color="000000" w:fill="FFFFFF"/>
                  <w:noWrap w:val="0"/>
                  <w:vAlign w:val="center"/>
                </w:tcPr>
                <w:p w14:paraId="0980F62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污染物排放情况</w:t>
                  </w:r>
                </w:p>
              </w:tc>
              <w:tc>
                <w:tcPr>
                  <w:tcW w:w="241" w:type="pct"/>
                  <w:vMerge w:val="restart"/>
                  <w:shd w:val="clear" w:color="000000" w:fill="FFFFFF"/>
                  <w:noWrap w:val="0"/>
                  <w:vAlign w:val="center"/>
                </w:tcPr>
                <w:p w14:paraId="617192E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排污口编号</w:t>
                  </w:r>
                </w:p>
              </w:tc>
              <w:tc>
                <w:tcPr>
                  <w:tcW w:w="312" w:type="pct"/>
                  <w:vMerge w:val="restart"/>
                  <w:shd w:val="clear" w:color="000000" w:fill="FFFFFF"/>
                  <w:noWrap w:val="0"/>
                  <w:vAlign w:val="center"/>
                </w:tcPr>
                <w:p w14:paraId="2860248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排放标准浓度</w:t>
                  </w:r>
                </w:p>
                <w:p w14:paraId="3DE1A52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限值mg/m</w:t>
                  </w:r>
                  <w:r>
                    <w:rPr>
                      <w:rFonts w:hint="default" w:ascii="Times New Roman" w:hAnsi="Times New Roman" w:eastAsia="宋体" w:cs="Times New Roman"/>
                      <w:b/>
                      <w:bCs/>
                      <w:color w:val="auto"/>
                      <w:sz w:val="21"/>
                      <w:szCs w:val="21"/>
                      <w:highlight w:val="none"/>
                      <w:vertAlign w:val="superscript"/>
                    </w:rPr>
                    <w:t>3</w:t>
                  </w:r>
                </w:p>
              </w:tc>
            </w:tr>
            <w:tr w14:paraId="4B8F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pct"/>
                  <w:vMerge w:val="continue"/>
                  <w:shd w:val="clear" w:color="auto" w:fill="FFFFFF"/>
                  <w:noWrap w:val="0"/>
                  <w:vAlign w:val="center"/>
                </w:tcPr>
                <w:p w14:paraId="3C54CCD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highlight w:val="none"/>
                    </w:rPr>
                  </w:pPr>
                </w:p>
              </w:tc>
              <w:tc>
                <w:tcPr>
                  <w:tcW w:w="471" w:type="pct"/>
                  <w:vMerge w:val="continue"/>
                  <w:shd w:val="clear" w:color="auto" w:fill="FFFFFF"/>
                  <w:noWrap w:val="0"/>
                  <w:vAlign w:val="center"/>
                </w:tcPr>
                <w:p w14:paraId="0D01F6E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highlight w:val="none"/>
                    </w:rPr>
                  </w:pPr>
                </w:p>
              </w:tc>
              <w:tc>
                <w:tcPr>
                  <w:tcW w:w="384" w:type="pct"/>
                  <w:shd w:val="clear" w:color="000000" w:fill="FFFFFF"/>
                  <w:noWrap w:val="0"/>
                  <w:vAlign w:val="center"/>
                </w:tcPr>
                <w:p w14:paraId="3E201EC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产生浓度mg/m</w:t>
                  </w:r>
                  <w:r>
                    <w:rPr>
                      <w:rFonts w:hint="default" w:ascii="Times New Roman" w:hAnsi="Times New Roman" w:eastAsia="宋体" w:cs="Times New Roman"/>
                      <w:b/>
                      <w:bCs/>
                      <w:color w:val="auto"/>
                      <w:sz w:val="21"/>
                      <w:szCs w:val="21"/>
                      <w:highlight w:val="none"/>
                      <w:vertAlign w:val="superscript"/>
                    </w:rPr>
                    <w:t>3</w:t>
                  </w:r>
                </w:p>
              </w:tc>
              <w:tc>
                <w:tcPr>
                  <w:tcW w:w="335" w:type="pct"/>
                  <w:shd w:val="clear" w:color="000000" w:fill="FFFFFF"/>
                  <w:noWrap w:val="0"/>
                  <w:vAlign w:val="center"/>
                </w:tcPr>
                <w:p w14:paraId="7C61FCE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314" w:type="pct"/>
                  <w:vMerge w:val="continue"/>
                  <w:shd w:val="clear" w:color="auto" w:fill="FFFFFF"/>
                  <w:noWrap w:val="0"/>
                  <w:vAlign w:val="center"/>
                </w:tcPr>
                <w:p w14:paraId="10DCB49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highlight w:val="none"/>
                    </w:rPr>
                  </w:pPr>
                </w:p>
              </w:tc>
              <w:tc>
                <w:tcPr>
                  <w:tcW w:w="248" w:type="pct"/>
                  <w:shd w:val="clear" w:color="000000" w:fill="FFFFFF"/>
                  <w:noWrap w:val="0"/>
                  <w:vAlign w:val="center"/>
                </w:tcPr>
                <w:p w14:paraId="7426F34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治理措施</w:t>
                  </w:r>
                </w:p>
              </w:tc>
              <w:tc>
                <w:tcPr>
                  <w:tcW w:w="317" w:type="pct"/>
                  <w:shd w:val="clear" w:color="000000" w:fill="FFFFFF"/>
                  <w:noWrap w:val="0"/>
                  <w:vAlign w:val="center"/>
                </w:tcPr>
                <w:p w14:paraId="4CE529F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处理能力m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/h</w:t>
                  </w:r>
                </w:p>
              </w:tc>
              <w:tc>
                <w:tcPr>
                  <w:tcW w:w="216" w:type="pct"/>
                  <w:shd w:val="clear" w:color="000000" w:fill="FFFFFF"/>
                  <w:noWrap w:val="0"/>
                  <w:vAlign w:val="center"/>
                </w:tcPr>
                <w:p w14:paraId="0B75E26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收集效率</w:t>
                  </w:r>
                </w:p>
              </w:tc>
              <w:tc>
                <w:tcPr>
                  <w:tcW w:w="233" w:type="pct"/>
                  <w:shd w:val="clear" w:color="000000" w:fill="FFFFFF"/>
                  <w:noWrap w:val="0"/>
                  <w:vAlign w:val="center"/>
                </w:tcPr>
                <w:p w14:paraId="23ED9F6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去除效率</w:t>
                  </w:r>
                </w:p>
              </w:tc>
              <w:tc>
                <w:tcPr>
                  <w:tcW w:w="363" w:type="pct"/>
                  <w:shd w:val="clear" w:color="000000" w:fill="FFFFFF"/>
                  <w:noWrap w:val="0"/>
                  <w:vAlign w:val="center"/>
                </w:tcPr>
                <w:p w14:paraId="1D016BF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是否为可行技术</w:t>
                  </w:r>
                </w:p>
              </w:tc>
              <w:tc>
                <w:tcPr>
                  <w:tcW w:w="373" w:type="pct"/>
                  <w:shd w:val="clear" w:color="000000" w:fill="FFFFFF"/>
                  <w:noWrap w:val="0"/>
                  <w:vAlign w:val="center"/>
                </w:tcPr>
                <w:p w14:paraId="4C00B8C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排放浓度mg/m</w:t>
                  </w:r>
                  <w:r>
                    <w:rPr>
                      <w:rFonts w:hint="default" w:ascii="Times New Roman" w:hAnsi="Times New Roman" w:eastAsia="宋体" w:cs="Times New Roman"/>
                      <w:b/>
                      <w:bCs/>
                      <w:color w:val="auto"/>
                      <w:sz w:val="21"/>
                      <w:szCs w:val="21"/>
                      <w:highlight w:val="none"/>
                      <w:vertAlign w:val="superscript"/>
                    </w:rPr>
                    <w:t>3</w:t>
                  </w:r>
                </w:p>
              </w:tc>
              <w:tc>
                <w:tcPr>
                  <w:tcW w:w="335" w:type="pct"/>
                  <w:shd w:val="clear" w:color="000000" w:fill="FFFFFF"/>
                  <w:noWrap w:val="0"/>
                  <w:vAlign w:val="center"/>
                </w:tcPr>
                <w:p w14:paraId="4B4F9C8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排放速率kg/h</w:t>
                  </w:r>
                </w:p>
              </w:tc>
              <w:tc>
                <w:tcPr>
                  <w:tcW w:w="336" w:type="pct"/>
                  <w:shd w:val="clear" w:color="000000" w:fill="FFFFFF"/>
                  <w:noWrap w:val="0"/>
                  <w:vAlign w:val="center"/>
                </w:tcPr>
                <w:p w14:paraId="4599769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排放量t/a</w:t>
                  </w:r>
                </w:p>
              </w:tc>
              <w:tc>
                <w:tcPr>
                  <w:tcW w:w="241" w:type="pct"/>
                  <w:vMerge w:val="continue"/>
                  <w:shd w:val="clear" w:color="auto" w:fill="FFFFFF"/>
                  <w:noWrap w:val="0"/>
                  <w:vAlign w:val="center"/>
                </w:tcPr>
                <w:p w14:paraId="41CAFA1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rPr>
                  </w:pPr>
                </w:p>
              </w:tc>
              <w:tc>
                <w:tcPr>
                  <w:tcW w:w="312" w:type="pct"/>
                  <w:vMerge w:val="continue"/>
                  <w:shd w:val="clear" w:color="000000" w:fill="FFFFFF"/>
                  <w:noWrap w:val="0"/>
                  <w:vAlign w:val="center"/>
                </w:tcPr>
                <w:p w14:paraId="200D505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rPr>
                  </w:pPr>
                </w:p>
              </w:tc>
            </w:tr>
            <w:tr w14:paraId="04DFB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pct"/>
                  <w:shd w:val="clear" w:color="auto" w:fill="FFFFFF"/>
                  <w:noWrap w:val="0"/>
                  <w:vAlign w:val="center"/>
                </w:tcPr>
                <w:p w14:paraId="2DF889E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胶合工序</w:t>
                  </w:r>
                </w:p>
              </w:tc>
              <w:tc>
                <w:tcPr>
                  <w:tcW w:w="471" w:type="pct"/>
                  <w:vMerge w:val="restart"/>
                  <w:shd w:val="clear" w:color="auto" w:fill="FFFFFF"/>
                  <w:noWrap/>
                  <w:vAlign w:val="center"/>
                </w:tcPr>
                <w:p w14:paraId="40739F8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384" w:type="pct"/>
                  <w:shd w:val="clear" w:color="auto" w:fill="FFFFFF"/>
                  <w:noWrap/>
                  <w:vAlign w:val="center"/>
                </w:tcPr>
                <w:p w14:paraId="3F1F1AC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35" w:type="pct"/>
                  <w:shd w:val="clear" w:color="auto" w:fill="FFFFFF"/>
                  <w:noWrap/>
                  <w:vAlign w:val="center"/>
                </w:tcPr>
                <w:p w14:paraId="68333D65">
                  <w:pPr>
                    <w:keepNext w:val="0"/>
                    <w:keepLines w:val="0"/>
                    <w:pageBreakBefore w:val="0"/>
                    <w:kinsoku/>
                    <w:wordWrap/>
                    <w:overflowPunct/>
                    <w:topLinePunct w:val="0"/>
                    <w:autoSpaceDE/>
                    <w:autoSpaceDN/>
                    <w:bidi w:val="0"/>
                    <w:adjustRightInd/>
                    <w:snapToGrid/>
                    <w:jc w:val="center"/>
                    <w:rPr>
                      <w:rFonts w:hint="default" w:cs="Times New Roman"/>
                      <w:color w:val="auto"/>
                      <w:kern w:val="2"/>
                      <w:sz w:val="21"/>
                      <w:szCs w:val="21"/>
                      <w:highlight w:val="none"/>
                      <w:lang w:val="en-US" w:eastAsia="zh-CN" w:bidi="ar-SA"/>
                    </w:rPr>
                  </w:pPr>
                  <w:r>
                    <w:rPr>
                      <w:rFonts w:hint="eastAsia"/>
                      <w:color w:val="auto"/>
                      <w:highlight w:val="none"/>
                      <w:lang w:val="en-US" w:eastAsia="zh-CN"/>
                    </w:rPr>
                    <w:t>0.0003</w:t>
                  </w:r>
                </w:p>
              </w:tc>
              <w:tc>
                <w:tcPr>
                  <w:tcW w:w="314" w:type="pct"/>
                  <w:vMerge w:val="restart"/>
                  <w:shd w:val="clear" w:color="auto" w:fill="FFFFFF"/>
                  <w:noWrap/>
                  <w:vAlign w:val="center"/>
                </w:tcPr>
                <w:p w14:paraId="54F91AE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r>
                    <w:rPr>
                      <w:rFonts w:hint="default" w:ascii="Times New Roman" w:hAnsi="Times New Roman" w:eastAsia="宋体" w:cs="Times New Roman"/>
                      <w:color w:val="auto"/>
                      <w:sz w:val="21"/>
                      <w:szCs w:val="21"/>
                      <w:highlight w:val="none"/>
                    </w:rPr>
                    <w:t>组织</w:t>
                  </w:r>
                </w:p>
              </w:tc>
              <w:tc>
                <w:tcPr>
                  <w:tcW w:w="248" w:type="pct"/>
                  <w:shd w:val="clear" w:color="auto" w:fill="FFFFFF"/>
                  <w:noWrap w:val="0"/>
                  <w:vAlign w:val="center"/>
                </w:tcPr>
                <w:p w14:paraId="0FA0548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17" w:type="pct"/>
                  <w:shd w:val="clear" w:color="auto" w:fill="FFFFFF"/>
                  <w:noWrap/>
                  <w:vAlign w:val="center"/>
                </w:tcPr>
                <w:p w14:paraId="16A2FCC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16" w:type="pct"/>
                  <w:shd w:val="clear" w:color="auto" w:fill="FFFFFF"/>
                  <w:noWrap/>
                  <w:vAlign w:val="center"/>
                </w:tcPr>
                <w:p w14:paraId="2ADF560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33" w:type="pct"/>
                  <w:shd w:val="clear" w:color="auto" w:fill="FFFFFF"/>
                  <w:noWrap/>
                  <w:vAlign w:val="center"/>
                </w:tcPr>
                <w:p w14:paraId="657C5F0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63" w:type="pct"/>
                  <w:shd w:val="clear" w:color="auto" w:fill="FFFFFF"/>
                  <w:noWrap/>
                  <w:vAlign w:val="center"/>
                </w:tcPr>
                <w:p w14:paraId="586478F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73" w:type="pct"/>
                  <w:shd w:val="clear" w:color="auto" w:fill="FFFFFF"/>
                  <w:noWrap/>
                  <w:vAlign w:val="center"/>
                </w:tcPr>
                <w:p w14:paraId="7F641E7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35" w:type="pct"/>
                  <w:shd w:val="clear" w:color="auto" w:fill="FFFFFF"/>
                  <w:noWrap/>
                  <w:vAlign w:val="center"/>
                </w:tcPr>
                <w:p w14:paraId="018E1D8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0.0002</w:t>
                  </w:r>
                </w:p>
              </w:tc>
              <w:tc>
                <w:tcPr>
                  <w:tcW w:w="831" w:type="dxa"/>
                  <w:shd w:val="clear" w:color="auto" w:fill="FFFFFF"/>
                  <w:noWrap/>
                  <w:vAlign w:val="center"/>
                </w:tcPr>
                <w:p w14:paraId="736D552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0.0003</w:t>
                  </w:r>
                </w:p>
              </w:tc>
              <w:tc>
                <w:tcPr>
                  <w:tcW w:w="241" w:type="pct"/>
                  <w:shd w:val="clear" w:color="auto" w:fill="FFFFFF"/>
                  <w:noWrap/>
                  <w:vAlign w:val="center"/>
                </w:tcPr>
                <w:p w14:paraId="65D6641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12" w:type="pct"/>
                  <w:vMerge w:val="restart"/>
                  <w:shd w:val="clear" w:color="auto" w:fill="FFFFFF"/>
                  <w:noWrap/>
                  <w:vAlign w:val="center"/>
                </w:tcPr>
                <w:p w14:paraId="31F6A50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r>
            <w:tr w14:paraId="3E90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pct"/>
                  <w:shd w:val="clear" w:color="auto" w:fill="FFFFFF"/>
                  <w:noWrap w:val="0"/>
                  <w:vAlign w:val="center"/>
                </w:tcPr>
                <w:p w14:paraId="4C8779C2">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擦片工序</w:t>
                  </w:r>
                </w:p>
              </w:tc>
              <w:tc>
                <w:tcPr>
                  <w:tcW w:w="471" w:type="pct"/>
                  <w:vMerge w:val="continue"/>
                  <w:shd w:val="clear" w:color="auto" w:fill="FFFFFF"/>
                  <w:noWrap/>
                  <w:vAlign w:val="center"/>
                </w:tcPr>
                <w:p w14:paraId="3A42486E">
                  <w:pPr>
                    <w:keepNext w:val="0"/>
                    <w:keepLines w:val="0"/>
                    <w:pageBreakBefore w:val="0"/>
                    <w:kinsoku/>
                    <w:wordWrap/>
                    <w:overflowPunct/>
                    <w:topLinePunct w:val="0"/>
                    <w:autoSpaceDE/>
                    <w:autoSpaceDN/>
                    <w:bidi w:val="0"/>
                    <w:adjustRightInd/>
                    <w:snapToGrid/>
                    <w:jc w:val="center"/>
                    <w:rPr>
                      <w:rFonts w:hint="eastAsia" w:cs="Times New Roman"/>
                      <w:color w:val="auto"/>
                      <w:sz w:val="21"/>
                      <w:szCs w:val="21"/>
                      <w:highlight w:val="none"/>
                      <w:lang w:val="en-US" w:eastAsia="zh-CN"/>
                    </w:rPr>
                  </w:pPr>
                </w:p>
              </w:tc>
              <w:tc>
                <w:tcPr>
                  <w:tcW w:w="384" w:type="pct"/>
                  <w:shd w:val="clear" w:color="auto" w:fill="FFFFFF"/>
                  <w:noWrap/>
                  <w:vAlign w:val="center"/>
                </w:tcPr>
                <w:p w14:paraId="68F9E9E1">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35" w:type="pct"/>
                  <w:shd w:val="clear" w:color="auto" w:fill="FFFFFF"/>
                  <w:noWrap/>
                  <w:vAlign w:val="center"/>
                </w:tcPr>
                <w:p w14:paraId="08C4877A">
                  <w:pPr>
                    <w:keepNext w:val="0"/>
                    <w:keepLines w:val="0"/>
                    <w:pageBreakBefore w:val="0"/>
                    <w:kinsoku/>
                    <w:wordWrap/>
                    <w:overflowPunct/>
                    <w:topLinePunct w:val="0"/>
                    <w:autoSpaceDE/>
                    <w:autoSpaceDN/>
                    <w:bidi w:val="0"/>
                    <w:adjustRightInd/>
                    <w:snapToGrid/>
                    <w:jc w:val="center"/>
                    <w:rPr>
                      <w:rFonts w:hint="default"/>
                      <w:color w:val="auto"/>
                      <w:highlight w:val="none"/>
                      <w:lang w:val="en-US" w:eastAsia="zh-CN"/>
                    </w:rPr>
                  </w:pPr>
                  <w:r>
                    <w:rPr>
                      <w:rFonts w:hint="eastAsia"/>
                      <w:color w:val="auto"/>
                      <w:highlight w:val="none"/>
                      <w:lang w:val="en-US" w:eastAsia="zh-CN"/>
                    </w:rPr>
                    <w:t>0.2077</w:t>
                  </w:r>
                </w:p>
              </w:tc>
              <w:tc>
                <w:tcPr>
                  <w:tcW w:w="314" w:type="pct"/>
                  <w:vMerge w:val="continue"/>
                  <w:shd w:val="clear" w:color="auto" w:fill="FFFFFF"/>
                  <w:noWrap/>
                  <w:vAlign w:val="center"/>
                </w:tcPr>
                <w:p w14:paraId="00A335C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p>
              </w:tc>
              <w:tc>
                <w:tcPr>
                  <w:tcW w:w="248" w:type="pct"/>
                  <w:shd w:val="clear" w:color="auto" w:fill="FFFFFF"/>
                  <w:noWrap w:val="0"/>
                  <w:vAlign w:val="center"/>
                </w:tcPr>
                <w:p w14:paraId="39DB60E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17" w:type="pct"/>
                  <w:shd w:val="clear" w:color="auto" w:fill="FFFFFF"/>
                  <w:noWrap/>
                  <w:vAlign w:val="center"/>
                </w:tcPr>
                <w:p w14:paraId="0318164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16" w:type="pct"/>
                  <w:shd w:val="clear" w:color="auto" w:fill="FFFFFF"/>
                  <w:noWrap/>
                  <w:vAlign w:val="center"/>
                </w:tcPr>
                <w:p w14:paraId="18140A6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33" w:type="pct"/>
                  <w:shd w:val="clear" w:color="auto" w:fill="FFFFFF"/>
                  <w:noWrap/>
                  <w:vAlign w:val="center"/>
                </w:tcPr>
                <w:p w14:paraId="3A59958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63" w:type="pct"/>
                  <w:shd w:val="clear" w:color="auto" w:fill="FFFFFF"/>
                  <w:noWrap/>
                  <w:vAlign w:val="center"/>
                </w:tcPr>
                <w:p w14:paraId="7615F48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73" w:type="pct"/>
                  <w:shd w:val="clear" w:color="auto" w:fill="FFFFFF"/>
                  <w:noWrap/>
                  <w:vAlign w:val="center"/>
                </w:tcPr>
                <w:p w14:paraId="2254326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35" w:type="pct"/>
                  <w:shd w:val="clear" w:color="auto" w:fill="FFFFFF"/>
                  <w:noWrap/>
                  <w:vAlign w:val="center"/>
                </w:tcPr>
                <w:p w14:paraId="640710C3">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0.1153</w:t>
                  </w:r>
                </w:p>
              </w:tc>
              <w:tc>
                <w:tcPr>
                  <w:tcW w:w="831" w:type="dxa"/>
                  <w:shd w:val="clear" w:color="auto" w:fill="FFFFFF"/>
                  <w:noWrap/>
                  <w:vAlign w:val="center"/>
                </w:tcPr>
                <w:p w14:paraId="5D3D11F2">
                  <w:pPr>
                    <w:keepNext w:val="0"/>
                    <w:keepLines w:val="0"/>
                    <w:pageBreakBefore w:val="0"/>
                    <w:kinsoku/>
                    <w:wordWrap/>
                    <w:overflowPunct/>
                    <w:topLinePunct w:val="0"/>
                    <w:autoSpaceDE/>
                    <w:autoSpaceDN/>
                    <w:bidi w:val="0"/>
                    <w:adjustRightInd/>
                    <w:snapToGrid/>
                    <w:jc w:val="center"/>
                    <w:rPr>
                      <w:rFonts w:hint="default"/>
                      <w:color w:val="auto"/>
                      <w:highlight w:val="none"/>
                      <w:lang w:val="en-US" w:eastAsia="zh-CN"/>
                    </w:rPr>
                  </w:pPr>
                  <w:r>
                    <w:rPr>
                      <w:rFonts w:hint="eastAsia"/>
                      <w:color w:val="auto"/>
                      <w:highlight w:val="none"/>
                      <w:lang w:val="en-US" w:eastAsia="zh-CN"/>
                    </w:rPr>
                    <w:t>0.2077</w:t>
                  </w:r>
                </w:p>
              </w:tc>
              <w:tc>
                <w:tcPr>
                  <w:tcW w:w="241" w:type="pct"/>
                  <w:shd w:val="clear" w:color="auto" w:fill="FFFFFF"/>
                  <w:noWrap/>
                  <w:vAlign w:val="center"/>
                </w:tcPr>
                <w:p w14:paraId="798ABD72">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12" w:type="pct"/>
                  <w:vMerge w:val="continue"/>
                  <w:shd w:val="clear" w:color="auto" w:fill="FFFFFF"/>
                  <w:noWrap/>
                  <w:vAlign w:val="center"/>
                </w:tcPr>
                <w:p w14:paraId="0BE9838D">
                  <w:pPr>
                    <w:keepNext w:val="0"/>
                    <w:keepLines w:val="0"/>
                    <w:pageBreakBefore w:val="0"/>
                    <w:kinsoku/>
                    <w:wordWrap/>
                    <w:overflowPunct/>
                    <w:topLinePunct w:val="0"/>
                    <w:autoSpaceDE/>
                    <w:autoSpaceDN/>
                    <w:bidi w:val="0"/>
                    <w:adjustRightInd/>
                    <w:snapToGrid/>
                    <w:jc w:val="center"/>
                    <w:rPr>
                      <w:rFonts w:hint="eastAsia" w:cs="Times New Roman"/>
                      <w:color w:val="auto"/>
                      <w:sz w:val="21"/>
                      <w:szCs w:val="21"/>
                      <w:highlight w:val="none"/>
                      <w:lang w:val="en-US" w:eastAsia="zh-CN"/>
                    </w:rPr>
                  </w:pPr>
                </w:p>
              </w:tc>
            </w:tr>
            <w:tr w14:paraId="69F0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pct"/>
                  <w:shd w:val="clear" w:color="auto" w:fill="FFFFFF"/>
                  <w:noWrap w:val="0"/>
                  <w:vAlign w:val="center"/>
                </w:tcPr>
                <w:p w14:paraId="10F86300">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合计</w:t>
                  </w:r>
                </w:p>
              </w:tc>
              <w:tc>
                <w:tcPr>
                  <w:tcW w:w="471" w:type="pct"/>
                  <w:vMerge w:val="continue"/>
                  <w:shd w:val="clear" w:color="auto" w:fill="FFFFFF"/>
                  <w:noWrap/>
                  <w:vAlign w:val="center"/>
                </w:tcPr>
                <w:p w14:paraId="7D619382">
                  <w:pPr>
                    <w:keepNext w:val="0"/>
                    <w:keepLines w:val="0"/>
                    <w:pageBreakBefore w:val="0"/>
                    <w:kinsoku/>
                    <w:wordWrap/>
                    <w:overflowPunct/>
                    <w:topLinePunct w:val="0"/>
                    <w:autoSpaceDE/>
                    <w:autoSpaceDN/>
                    <w:bidi w:val="0"/>
                    <w:adjustRightInd/>
                    <w:snapToGrid/>
                    <w:jc w:val="center"/>
                    <w:rPr>
                      <w:rFonts w:hint="eastAsia" w:cs="Times New Roman"/>
                      <w:color w:val="auto"/>
                      <w:sz w:val="21"/>
                      <w:szCs w:val="21"/>
                      <w:highlight w:val="none"/>
                      <w:lang w:val="en-US" w:eastAsia="zh-CN"/>
                    </w:rPr>
                  </w:pPr>
                </w:p>
              </w:tc>
              <w:tc>
                <w:tcPr>
                  <w:tcW w:w="384" w:type="pct"/>
                  <w:shd w:val="clear" w:color="auto" w:fill="FFFFFF"/>
                  <w:noWrap/>
                  <w:vAlign w:val="center"/>
                </w:tcPr>
                <w:p w14:paraId="67705E37">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35" w:type="pct"/>
                  <w:shd w:val="clear" w:color="auto" w:fill="FFFFFF"/>
                  <w:noWrap/>
                  <w:vAlign w:val="center"/>
                </w:tcPr>
                <w:p w14:paraId="590201A2">
                  <w:pPr>
                    <w:keepNext w:val="0"/>
                    <w:keepLines w:val="0"/>
                    <w:pageBreakBefore w:val="0"/>
                    <w:kinsoku/>
                    <w:wordWrap/>
                    <w:overflowPunct/>
                    <w:topLinePunct w:val="0"/>
                    <w:autoSpaceDE/>
                    <w:autoSpaceDN/>
                    <w:bidi w:val="0"/>
                    <w:adjustRightInd/>
                    <w:snapToGrid/>
                    <w:jc w:val="center"/>
                    <w:rPr>
                      <w:rFonts w:hint="default"/>
                      <w:color w:val="auto"/>
                      <w:highlight w:val="none"/>
                      <w:lang w:val="en-US" w:eastAsia="zh-CN"/>
                    </w:rPr>
                  </w:pPr>
                  <w:r>
                    <w:rPr>
                      <w:rFonts w:hint="eastAsia"/>
                      <w:color w:val="auto"/>
                      <w:highlight w:val="none"/>
                      <w:lang w:val="en-US" w:eastAsia="zh-CN"/>
                    </w:rPr>
                    <w:t>0.208</w:t>
                  </w:r>
                </w:p>
              </w:tc>
              <w:tc>
                <w:tcPr>
                  <w:tcW w:w="314" w:type="pct"/>
                  <w:vMerge w:val="continue"/>
                  <w:shd w:val="clear" w:color="auto" w:fill="FFFFFF"/>
                  <w:noWrap/>
                  <w:vAlign w:val="center"/>
                </w:tcPr>
                <w:p w14:paraId="7336EF1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p>
              </w:tc>
              <w:tc>
                <w:tcPr>
                  <w:tcW w:w="248" w:type="pct"/>
                  <w:shd w:val="clear" w:color="auto" w:fill="FFFFFF"/>
                  <w:noWrap w:val="0"/>
                  <w:vAlign w:val="center"/>
                </w:tcPr>
                <w:p w14:paraId="70A35CB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17" w:type="pct"/>
                  <w:shd w:val="clear" w:color="auto" w:fill="FFFFFF"/>
                  <w:noWrap/>
                  <w:vAlign w:val="center"/>
                </w:tcPr>
                <w:p w14:paraId="6278443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16" w:type="pct"/>
                  <w:shd w:val="clear" w:color="auto" w:fill="FFFFFF"/>
                  <w:noWrap/>
                  <w:vAlign w:val="center"/>
                </w:tcPr>
                <w:p w14:paraId="4FF83AD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33" w:type="pct"/>
                  <w:shd w:val="clear" w:color="auto" w:fill="FFFFFF"/>
                  <w:noWrap/>
                  <w:vAlign w:val="center"/>
                </w:tcPr>
                <w:p w14:paraId="131C0BC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63" w:type="pct"/>
                  <w:shd w:val="clear" w:color="auto" w:fill="FFFFFF"/>
                  <w:noWrap/>
                  <w:vAlign w:val="center"/>
                </w:tcPr>
                <w:p w14:paraId="5FBD23D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73" w:type="pct"/>
                  <w:shd w:val="clear" w:color="auto" w:fill="FFFFFF"/>
                  <w:noWrap/>
                  <w:vAlign w:val="center"/>
                </w:tcPr>
                <w:p w14:paraId="5F35C5B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35" w:type="pct"/>
                  <w:shd w:val="clear" w:color="auto" w:fill="FFFFFF"/>
                  <w:noWrap/>
                  <w:vAlign w:val="center"/>
                </w:tcPr>
                <w:p w14:paraId="3B69F7E6">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0.1155</w:t>
                  </w:r>
                </w:p>
              </w:tc>
              <w:tc>
                <w:tcPr>
                  <w:tcW w:w="831" w:type="dxa"/>
                  <w:shd w:val="clear" w:color="auto" w:fill="FFFFFF"/>
                  <w:noWrap/>
                  <w:vAlign w:val="center"/>
                </w:tcPr>
                <w:p w14:paraId="5329C2E1">
                  <w:pPr>
                    <w:keepNext w:val="0"/>
                    <w:keepLines w:val="0"/>
                    <w:pageBreakBefore w:val="0"/>
                    <w:kinsoku/>
                    <w:wordWrap/>
                    <w:overflowPunct/>
                    <w:topLinePunct w:val="0"/>
                    <w:autoSpaceDE/>
                    <w:autoSpaceDN/>
                    <w:bidi w:val="0"/>
                    <w:adjustRightInd/>
                    <w:snapToGrid/>
                    <w:jc w:val="center"/>
                    <w:rPr>
                      <w:rFonts w:hint="default"/>
                      <w:color w:val="auto"/>
                      <w:highlight w:val="none"/>
                      <w:lang w:val="en-US" w:eastAsia="zh-CN"/>
                    </w:rPr>
                  </w:pPr>
                  <w:r>
                    <w:rPr>
                      <w:rFonts w:hint="eastAsia"/>
                      <w:color w:val="auto"/>
                      <w:highlight w:val="none"/>
                      <w:lang w:val="en-US" w:eastAsia="zh-CN"/>
                    </w:rPr>
                    <w:t>0.208</w:t>
                  </w:r>
                </w:p>
              </w:tc>
              <w:tc>
                <w:tcPr>
                  <w:tcW w:w="241" w:type="pct"/>
                  <w:shd w:val="clear" w:color="auto" w:fill="FFFFFF"/>
                  <w:noWrap/>
                  <w:vAlign w:val="center"/>
                </w:tcPr>
                <w:p w14:paraId="4CB7489C">
                  <w:pPr>
                    <w:keepNext w:val="0"/>
                    <w:keepLines w:val="0"/>
                    <w:pageBreakBefore w:val="0"/>
                    <w:kinsoku/>
                    <w:wordWrap/>
                    <w:overflowPunct/>
                    <w:topLinePunct w:val="0"/>
                    <w:autoSpaceDE/>
                    <w:autoSpaceDN/>
                    <w:bidi w:val="0"/>
                    <w:adjustRightInd/>
                    <w:snapToGrid/>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12" w:type="pct"/>
                  <w:vMerge w:val="continue"/>
                  <w:shd w:val="clear" w:color="auto" w:fill="FFFFFF"/>
                  <w:noWrap/>
                  <w:vAlign w:val="center"/>
                </w:tcPr>
                <w:p w14:paraId="307A07CC">
                  <w:pPr>
                    <w:keepNext w:val="0"/>
                    <w:keepLines w:val="0"/>
                    <w:pageBreakBefore w:val="0"/>
                    <w:kinsoku/>
                    <w:wordWrap/>
                    <w:overflowPunct/>
                    <w:topLinePunct w:val="0"/>
                    <w:autoSpaceDE/>
                    <w:autoSpaceDN/>
                    <w:bidi w:val="0"/>
                    <w:adjustRightInd/>
                    <w:snapToGrid/>
                    <w:jc w:val="center"/>
                    <w:rPr>
                      <w:rFonts w:hint="eastAsia" w:cs="Times New Roman"/>
                      <w:color w:val="auto"/>
                      <w:sz w:val="21"/>
                      <w:szCs w:val="21"/>
                      <w:highlight w:val="none"/>
                      <w:lang w:val="en-US" w:eastAsia="zh-CN"/>
                    </w:rPr>
                  </w:pPr>
                </w:p>
              </w:tc>
            </w:tr>
          </w:tbl>
          <w:p w14:paraId="2CDB4736">
            <w:pPr>
              <w:pStyle w:val="70"/>
              <w:spacing w:line="360" w:lineRule="auto"/>
              <w:ind w:firstLine="480" w:firstLineChars="200"/>
              <w:rPr>
                <w:rFonts w:ascii="Times New Roman" w:hAnsi="Times New Roman" w:eastAsia="宋体" w:cs="Times New Roman"/>
                <w:color w:val="auto"/>
                <w:sz w:val="24"/>
                <w:highlight w:val="none"/>
                <w:lang w:val="en-US"/>
              </w:rPr>
            </w:pPr>
          </w:p>
        </w:tc>
      </w:tr>
    </w:tbl>
    <w:p w14:paraId="34FEDD6F">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3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35"/>
        <w:gridCol w:w="8646"/>
      </w:tblGrid>
      <w:tr w14:paraId="07B5C7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690" w:type="dxa"/>
            <w:tcMar>
              <w:left w:w="28" w:type="dxa"/>
              <w:right w:w="28" w:type="dxa"/>
            </w:tcMar>
            <w:vAlign w:val="center"/>
          </w:tcPr>
          <w:p w14:paraId="675518D9">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pPr>
            <w:r>
              <w:rPr>
                <w:rFonts w:ascii="Times New Roman" w:hAnsi="Times New Roman" w:eastAsiaTheme="minorEastAsia"/>
                <w:b/>
                <w:color w:val="auto"/>
                <w:kern w:val="2"/>
                <w:sz w:val="21"/>
                <w:szCs w:val="21"/>
                <w:highlight w:val="none"/>
              </w:rPr>
              <w:t>运营</w:t>
            </w:r>
          </w:p>
          <w:p w14:paraId="33BB3EBD">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pPr>
            <w:r>
              <w:rPr>
                <w:rFonts w:ascii="Times New Roman" w:hAnsi="Times New Roman" w:eastAsiaTheme="minorEastAsia"/>
                <w:b/>
                <w:color w:val="auto"/>
                <w:kern w:val="2"/>
                <w:sz w:val="21"/>
                <w:szCs w:val="21"/>
                <w:highlight w:val="none"/>
              </w:rPr>
              <w:t>期环</w:t>
            </w:r>
          </w:p>
          <w:p w14:paraId="783107D2">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pPr>
            <w:r>
              <w:rPr>
                <w:rFonts w:ascii="Times New Roman" w:hAnsi="Times New Roman" w:eastAsiaTheme="minorEastAsia"/>
                <w:b/>
                <w:color w:val="auto"/>
                <w:kern w:val="2"/>
                <w:sz w:val="21"/>
                <w:szCs w:val="21"/>
                <w:highlight w:val="none"/>
              </w:rPr>
              <w:t>境影</w:t>
            </w:r>
          </w:p>
          <w:p w14:paraId="3A2B4486">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pPr>
            <w:r>
              <w:rPr>
                <w:rFonts w:ascii="Times New Roman" w:hAnsi="Times New Roman" w:eastAsiaTheme="minorEastAsia"/>
                <w:b/>
                <w:color w:val="auto"/>
                <w:kern w:val="2"/>
                <w:sz w:val="21"/>
                <w:szCs w:val="21"/>
                <w:highlight w:val="none"/>
              </w:rPr>
              <w:t>响和</w:t>
            </w:r>
          </w:p>
          <w:p w14:paraId="2EC61CF0">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pPr>
            <w:r>
              <w:rPr>
                <w:rFonts w:ascii="Times New Roman" w:hAnsi="Times New Roman" w:eastAsiaTheme="minorEastAsia"/>
                <w:b/>
                <w:color w:val="auto"/>
                <w:kern w:val="2"/>
                <w:sz w:val="21"/>
                <w:szCs w:val="21"/>
                <w:highlight w:val="none"/>
              </w:rPr>
              <w:t>保护</w:t>
            </w:r>
          </w:p>
          <w:p w14:paraId="792BE8E5">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pPr>
            <w:r>
              <w:rPr>
                <w:rFonts w:ascii="Times New Roman" w:hAnsi="Times New Roman" w:eastAsiaTheme="minorEastAsia"/>
                <w:b/>
                <w:color w:val="auto"/>
                <w:kern w:val="2"/>
                <w:sz w:val="21"/>
                <w:szCs w:val="21"/>
                <w:highlight w:val="none"/>
              </w:rPr>
              <w:t>措施</w:t>
            </w:r>
          </w:p>
        </w:tc>
        <w:tc>
          <w:tcPr>
            <w:tcW w:w="8291" w:type="dxa"/>
            <w:vAlign w:val="center"/>
          </w:tcPr>
          <w:p w14:paraId="55680660">
            <w:pPr>
              <w:adjustRightInd w:val="0"/>
              <w:snapToGrid w:val="0"/>
              <w:spacing w:line="360" w:lineRule="auto"/>
              <w:ind w:firstLine="442" w:firstLineChars="200"/>
              <w:rPr>
                <w:b/>
                <w:bCs/>
                <w:color w:val="auto"/>
                <w:spacing w:val="-10"/>
                <w:sz w:val="24"/>
                <w:szCs w:val="21"/>
                <w:highlight w:val="none"/>
              </w:rPr>
            </w:pPr>
            <w:r>
              <w:rPr>
                <w:rFonts w:hint="eastAsia"/>
                <w:b/>
                <w:bCs/>
                <w:color w:val="auto"/>
                <w:spacing w:val="-10"/>
                <w:sz w:val="24"/>
                <w:szCs w:val="21"/>
                <w:highlight w:val="none"/>
                <w:lang w:val="en-US" w:eastAsia="zh-CN"/>
              </w:rPr>
              <w:t>2</w:t>
            </w:r>
            <w:r>
              <w:rPr>
                <w:rFonts w:hint="eastAsia"/>
                <w:b/>
                <w:bCs/>
                <w:color w:val="auto"/>
                <w:spacing w:val="-10"/>
                <w:sz w:val="24"/>
                <w:szCs w:val="21"/>
                <w:highlight w:val="none"/>
              </w:rPr>
              <w:t>、</w:t>
            </w:r>
            <w:r>
              <w:rPr>
                <w:b/>
                <w:bCs/>
                <w:color w:val="auto"/>
                <w:spacing w:val="-10"/>
                <w:sz w:val="24"/>
                <w:szCs w:val="21"/>
                <w:highlight w:val="none"/>
              </w:rPr>
              <w:t>废气污染</w:t>
            </w:r>
            <w:r>
              <w:rPr>
                <w:rFonts w:hint="eastAsia"/>
                <w:b/>
                <w:bCs/>
                <w:color w:val="auto"/>
                <w:spacing w:val="-10"/>
                <w:sz w:val="24"/>
                <w:szCs w:val="21"/>
                <w:highlight w:val="none"/>
                <w:lang w:eastAsia="zh-CN"/>
              </w:rPr>
              <w:t>物达标排放</w:t>
            </w:r>
            <w:r>
              <w:rPr>
                <w:b/>
                <w:bCs/>
                <w:color w:val="auto"/>
                <w:spacing w:val="-10"/>
                <w:sz w:val="24"/>
                <w:szCs w:val="21"/>
                <w:highlight w:val="none"/>
              </w:rPr>
              <w:t>分析</w:t>
            </w:r>
          </w:p>
          <w:p w14:paraId="5951D8F1">
            <w:pPr>
              <w:adjustRightInd w:val="0"/>
              <w:snapToGrid w:val="0"/>
              <w:spacing w:line="360" w:lineRule="auto"/>
              <w:ind w:firstLine="480" w:firstLineChars="200"/>
              <w:rPr>
                <w:color w:val="auto"/>
                <w:sz w:val="24"/>
                <w:highlight w:val="none"/>
              </w:rPr>
            </w:pPr>
            <w:r>
              <w:rPr>
                <w:rFonts w:hint="eastAsia"/>
                <w:color w:val="auto"/>
                <w:sz w:val="24"/>
                <w:szCs w:val="28"/>
                <w:highlight w:val="none"/>
              </w:rPr>
              <w:t>（</w:t>
            </w:r>
            <w:r>
              <w:rPr>
                <w:color w:val="auto"/>
                <w:sz w:val="24"/>
                <w:szCs w:val="28"/>
                <w:highlight w:val="none"/>
              </w:rPr>
              <w:t>1</w:t>
            </w:r>
            <w:r>
              <w:rPr>
                <w:rFonts w:hint="eastAsia"/>
                <w:color w:val="auto"/>
                <w:sz w:val="24"/>
                <w:szCs w:val="28"/>
                <w:highlight w:val="none"/>
              </w:rPr>
              <w:t>）</w:t>
            </w:r>
            <w:r>
              <w:rPr>
                <w:color w:val="auto"/>
                <w:sz w:val="24"/>
                <w:highlight w:val="none"/>
              </w:rPr>
              <w:t>无组织</w:t>
            </w:r>
            <w:r>
              <w:rPr>
                <w:rFonts w:hint="eastAsia"/>
                <w:color w:val="auto"/>
                <w:sz w:val="24"/>
                <w:highlight w:val="none"/>
              </w:rPr>
              <w:t>达标</w:t>
            </w:r>
            <w:r>
              <w:rPr>
                <w:color w:val="auto"/>
                <w:sz w:val="24"/>
                <w:highlight w:val="none"/>
              </w:rPr>
              <w:t>排放</w:t>
            </w:r>
          </w:p>
          <w:p w14:paraId="39E0C5B2">
            <w:pPr>
              <w:adjustRightInd w:val="0"/>
              <w:snapToGrid w:val="0"/>
              <w:spacing w:line="360" w:lineRule="auto"/>
              <w:ind w:firstLine="480" w:firstLineChars="200"/>
              <w:rPr>
                <w:color w:val="auto"/>
                <w:sz w:val="24"/>
                <w:highlight w:val="none"/>
              </w:rPr>
            </w:pPr>
            <w:r>
              <w:rPr>
                <w:rFonts w:hint="eastAsia"/>
                <w:color w:val="auto"/>
                <w:sz w:val="24"/>
                <w:highlight w:val="none"/>
                <w:lang w:eastAsia="zh-CN"/>
              </w:rPr>
              <w:t>擦</w:t>
            </w:r>
            <w:r>
              <w:rPr>
                <w:rFonts w:hint="eastAsia"/>
                <w:color w:val="auto"/>
                <w:sz w:val="24"/>
                <w:highlight w:val="none"/>
                <w:lang w:val="en-US" w:eastAsia="zh-CN"/>
              </w:rPr>
              <w:t>片</w:t>
            </w:r>
            <w:r>
              <w:rPr>
                <w:rFonts w:hint="eastAsia"/>
                <w:color w:val="auto"/>
                <w:sz w:val="24"/>
                <w:highlight w:val="none"/>
                <w:lang w:eastAsia="zh-CN"/>
              </w:rPr>
              <w:t>和胶合废气</w:t>
            </w:r>
            <w:r>
              <w:rPr>
                <w:rFonts w:hint="eastAsia"/>
                <w:color w:val="auto"/>
                <w:sz w:val="24"/>
                <w:highlight w:val="none"/>
              </w:rPr>
              <w:t>在</w:t>
            </w:r>
            <w:r>
              <w:rPr>
                <w:rFonts w:hint="eastAsia"/>
                <w:color w:val="auto"/>
                <w:sz w:val="24"/>
                <w:highlight w:val="none"/>
                <w:lang w:eastAsia="zh-CN"/>
              </w:rPr>
              <w:t>生产车间</w:t>
            </w:r>
            <w:r>
              <w:rPr>
                <w:rFonts w:hint="eastAsia"/>
                <w:color w:val="auto"/>
                <w:sz w:val="24"/>
                <w:highlight w:val="none"/>
              </w:rPr>
              <w:t>内无组织排放。</w:t>
            </w:r>
            <w:r>
              <w:rPr>
                <w:rFonts w:hint="eastAsia"/>
                <w:color w:val="auto"/>
                <w:sz w:val="24"/>
                <w:highlight w:val="none"/>
                <w:lang w:eastAsia="zh-CN"/>
              </w:rPr>
              <w:t>生产车间</w:t>
            </w:r>
            <w:r>
              <w:rPr>
                <w:rFonts w:hint="eastAsia"/>
                <w:color w:val="auto"/>
                <w:sz w:val="24"/>
                <w:highlight w:val="none"/>
              </w:rPr>
              <w:t>内</w:t>
            </w:r>
            <w:r>
              <w:rPr>
                <w:rFonts w:hint="eastAsia"/>
                <w:color w:val="auto"/>
                <w:sz w:val="24"/>
                <w:highlight w:val="none"/>
                <w:lang w:val="en-US" w:eastAsia="zh-CN"/>
              </w:rPr>
              <w:t>非甲烷总烃</w:t>
            </w:r>
            <w:r>
              <w:rPr>
                <w:rFonts w:hint="eastAsia"/>
                <w:color w:val="auto"/>
                <w:sz w:val="24"/>
                <w:highlight w:val="none"/>
              </w:rPr>
              <w:t>排放速率为</w:t>
            </w:r>
            <w:r>
              <w:rPr>
                <w:rFonts w:hint="eastAsia"/>
                <w:color w:val="auto"/>
                <w:sz w:val="24"/>
                <w:highlight w:val="none"/>
                <w:lang w:val="en-US" w:eastAsia="zh-CN"/>
              </w:rPr>
              <w:t>0.1155</w:t>
            </w:r>
            <w:r>
              <w:rPr>
                <w:color w:val="auto"/>
                <w:sz w:val="24"/>
                <w:highlight w:val="none"/>
              </w:rPr>
              <w:t>kg/h</w:t>
            </w:r>
            <w:r>
              <w:rPr>
                <w:rFonts w:hint="eastAsia"/>
                <w:color w:val="auto"/>
                <w:sz w:val="24"/>
                <w:highlight w:val="none"/>
              </w:rPr>
              <w:t>，排放量为</w:t>
            </w:r>
            <w:r>
              <w:rPr>
                <w:rFonts w:hint="eastAsia"/>
                <w:color w:val="auto"/>
                <w:sz w:val="24"/>
                <w:highlight w:val="none"/>
                <w:lang w:val="en-US" w:eastAsia="zh-CN"/>
              </w:rPr>
              <w:t>0.208</w:t>
            </w:r>
            <w:r>
              <w:rPr>
                <w:color w:val="auto"/>
                <w:sz w:val="24"/>
                <w:highlight w:val="none"/>
              </w:rPr>
              <w:t>t/a</w:t>
            </w:r>
            <w:r>
              <w:rPr>
                <w:rFonts w:hint="eastAsia"/>
                <w:color w:val="auto"/>
                <w:sz w:val="24"/>
                <w:highlight w:val="none"/>
              </w:rPr>
              <w:t>。</w:t>
            </w:r>
          </w:p>
          <w:p w14:paraId="7B9D4E40">
            <w:pPr>
              <w:adjustRightInd w:val="0"/>
              <w:snapToGrid w:val="0"/>
              <w:spacing w:line="360" w:lineRule="auto"/>
              <w:ind w:firstLine="480" w:firstLineChars="200"/>
              <w:rPr>
                <w:rFonts w:hint="eastAsia"/>
                <w:b/>
                <w:bCs/>
                <w:color w:val="auto"/>
                <w:spacing w:val="-10"/>
                <w:sz w:val="24"/>
                <w:szCs w:val="21"/>
                <w:highlight w:val="none"/>
                <w:lang w:val="en-US" w:eastAsia="zh-CN"/>
              </w:rPr>
            </w:pPr>
            <w:r>
              <w:rPr>
                <w:rFonts w:hint="eastAsia"/>
                <w:color w:val="auto"/>
                <w:sz w:val="24"/>
                <w:highlight w:val="none"/>
                <w:lang w:val="en-US" w:eastAsia="zh-CN"/>
              </w:rPr>
              <w:t>厂</w:t>
            </w:r>
            <w:r>
              <w:rPr>
                <w:color w:val="auto"/>
                <w:sz w:val="24"/>
                <w:highlight w:val="none"/>
              </w:rPr>
              <w:t>界外</w:t>
            </w:r>
            <w:r>
              <w:rPr>
                <w:rFonts w:hint="eastAsia"/>
                <w:color w:val="auto"/>
                <w:sz w:val="24"/>
                <w:highlight w:val="none"/>
                <w:lang w:val="en-US" w:eastAsia="zh-CN"/>
              </w:rPr>
              <w:t>非甲烷总烃</w:t>
            </w:r>
            <w:r>
              <w:rPr>
                <w:color w:val="auto"/>
                <w:sz w:val="24"/>
                <w:highlight w:val="none"/>
              </w:rPr>
              <w:t>浓度最高点可达《大气污染物综合排放标准》（DB32/4041-2021）</w:t>
            </w:r>
            <w:r>
              <w:rPr>
                <w:rFonts w:hint="eastAsia" w:eastAsiaTheme="minorEastAsia"/>
                <w:color w:val="auto"/>
                <w:kern w:val="0"/>
                <w:sz w:val="24"/>
                <w:szCs w:val="20"/>
                <w:highlight w:val="none"/>
              </w:rPr>
              <w:t>表</w:t>
            </w:r>
            <w:r>
              <w:rPr>
                <w:rFonts w:hint="eastAsia" w:eastAsiaTheme="minorEastAsia"/>
                <w:color w:val="auto"/>
                <w:kern w:val="0"/>
                <w:sz w:val="24"/>
                <w:szCs w:val="20"/>
                <w:highlight w:val="none"/>
                <w:lang w:val="en-US" w:eastAsia="zh-CN"/>
              </w:rPr>
              <w:t>3</w:t>
            </w:r>
            <w:r>
              <w:rPr>
                <w:rFonts w:hint="eastAsia" w:eastAsiaTheme="minorEastAsia"/>
                <w:color w:val="auto"/>
                <w:kern w:val="0"/>
                <w:sz w:val="24"/>
                <w:szCs w:val="20"/>
                <w:highlight w:val="none"/>
              </w:rPr>
              <w:t>标准</w:t>
            </w:r>
            <w:r>
              <w:rPr>
                <w:rFonts w:hint="eastAsia"/>
                <w:color w:val="auto"/>
                <w:sz w:val="24"/>
                <w:highlight w:val="none"/>
                <w:lang w:eastAsia="zh-CN"/>
              </w:rPr>
              <w:t>，厂区内非甲烷总烃执行</w:t>
            </w:r>
            <w:r>
              <w:rPr>
                <w:color w:val="auto"/>
                <w:sz w:val="24"/>
                <w:highlight w:val="none"/>
              </w:rPr>
              <w:t>《大气污染物综合排放标准》（DB32/4041-2021）</w:t>
            </w:r>
            <w:r>
              <w:rPr>
                <w:color w:val="auto"/>
                <w:sz w:val="24"/>
                <w:szCs w:val="24"/>
                <w:highlight w:val="none"/>
              </w:rPr>
              <w:t>表</w:t>
            </w:r>
            <w:r>
              <w:rPr>
                <w:rFonts w:hint="eastAsia"/>
                <w:color w:val="auto"/>
                <w:sz w:val="24"/>
                <w:szCs w:val="24"/>
                <w:highlight w:val="none"/>
                <w:lang w:val="en-US" w:eastAsia="zh-CN"/>
              </w:rPr>
              <w:t>2</w:t>
            </w:r>
            <w:r>
              <w:rPr>
                <w:rFonts w:hint="eastAsia"/>
                <w:color w:val="auto"/>
                <w:sz w:val="24"/>
                <w:szCs w:val="24"/>
                <w:highlight w:val="none"/>
              </w:rPr>
              <w:t>中相应</w:t>
            </w:r>
            <w:r>
              <w:rPr>
                <w:color w:val="auto"/>
                <w:sz w:val="24"/>
                <w:szCs w:val="24"/>
                <w:highlight w:val="none"/>
              </w:rPr>
              <w:t>排放标准限值</w:t>
            </w:r>
            <w:r>
              <w:rPr>
                <w:color w:val="auto"/>
                <w:sz w:val="24"/>
                <w:highlight w:val="none"/>
              </w:rPr>
              <w:t>。</w:t>
            </w:r>
          </w:p>
          <w:p w14:paraId="652CDA50">
            <w:pPr>
              <w:adjustRightInd w:val="0"/>
              <w:snapToGrid w:val="0"/>
              <w:spacing w:line="360" w:lineRule="auto"/>
              <w:ind w:firstLine="440" w:firstLineChars="200"/>
              <w:rPr>
                <w:rFonts w:hint="eastAsia"/>
                <w:b/>
                <w:bCs/>
                <w:color w:val="auto"/>
                <w:spacing w:val="-10"/>
                <w:sz w:val="24"/>
                <w:szCs w:val="21"/>
                <w:highlight w:val="none"/>
                <w:lang w:val="en-US" w:eastAsia="zh-CN"/>
              </w:rPr>
            </w:pPr>
            <w:r>
              <w:rPr>
                <w:rFonts w:hint="eastAsia"/>
                <w:b w:val="0"/>
                <w:bCs w:val="0"/>
                <w:color w:val="auto"/>
                <w:spacing w:val="-10"/>
                <w:sz w:val="24"/>
                <w:szCs w:val="21"/>
                <w:highlight w:val="none"/>
                <w:lang w:val="en-US" w:eastAsia="zh-CN"/>
              </w:rPr>
              <w:t>（2）</w:t>
            </w:r>
            <w:r>
              <w:rPr>
                <w:rFonts w:hint="eastAsia" w:ascii="Times New Roman" w:hAnsi="Times New Roman" w:eastAsia="宋体" w:cs="Times New Roman"/>
                <w:color w:val="auto"/>
                <w:sz w:val="24"/>
                <w:highlight w:val="none"/>
                <w:lang w:val="en-US" w:eastAsia="zh-CN"/>
              </w:rPr>
              <w:t>无组织废气污染防治措施</w:t>
            </w:r>
          </w:p>
          <w:p w14:paraId="3DA2D1FA">
            <w:pPr>
              <w:adjustRightInd w:val="0"/>
              <w:snapToGrid w:val="0"/>
              <w:spacing w:line="360" w:lineRule="auto"/>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为避免因过度无组织排放影响周边环境，本项目拟采取以下措施：</w:t>
            </w:r>
          </w:p>
          <w:p w14:paraId="6CA2D055">
            <w:pPr>
              <w:adjustRightInd w:val="0"/>
              <w:snapToGrid w:val="0"/>
              <w:spacing w:line="360" w:lineRule="auto"/>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①生产车间顶部设置排风换气系统，连续运行，及时将各工序产生的废气排至室外，减少其在车间内的累积；</w:t>
            </w:r>
          </w:p>
          <w:p w14:paraId="0304FE03">
            <w:pPr>
              <w:adjustRightInd w:val="0"/>
              <w:snapToGrid w:val="0"/>
              <w:spacing w:line="360" w:lineRule="auto"/>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②尽可能采取密闭性措施，有效避免废气的外</w:t>
            </w:r>
            <w:r>
              <w:rPr>
                <w:rFonts w:hint="eastAsia" w:cs="Times New Roman"/>
                <w:bCs/>
                <w:color w:val="auto"/>
                <w:sz w:val="24"/>
                <w:highlight w:val="none"/>
                <w:lang w:val="en-US" w:eastAsia="zh-CN"/>
              </w:rPr>
              <w:t>溢</w:t>
            </w:r>
            <w:r>
              <w:rPr>
                <w:rFonts w:hint="eastAsia" w:ascii="Times New Roman" w:hAnsi="Times New Roman" w:eastAsia="宋体" w:cs="Times New Roman"/>
                <w:bCs/>
                <w:color w:val="auto"/>
                <w:sz w:val="24"/>
                <w:highlight w:val="none"/>
                <w:lang w:val="en-US" w:eastAsia="zh-CN"/>
              </w:rPr>
              <w:t>，尽可能使无组织排放转化为有组织排放；</w:t>
            </w:r>
          </w:p>
          <w:p w14:paraId="60BCD9A9">
            <w:pPr>
              <w:adjustRightInd w:val="0"/>
              <w:snapToGrid w:val="0"/>
              <w:spacing w:line="360" w:lineRule="auto"/>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③提高设备的密封性能，并严格控制系统的负压指标，有效避免废气的外逸；</w:t>
            </w:r>
          </w:p>
          <w:p w14:paraId="267F7856">
            <w:pPr>
              <w:adjustRightInd w:val="0"/>
              <w:snapToGrid w:val="0"/>
              <w:spacing w:line="360" w:lineRule="auto"/>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④加强运行管理和环境管理，提高工人操作水平，通过宣传增强职工环保意识，积极推行清洁生产，节能降耗，多种措施并举，减少污染物排放；</w:t>
            </w:r>
          </w:p>
          <w:p w14:paraId="7EF68E54">
            <w:pPr>
              <w:adjustRightInd w:val="0"/>
              <w:snapToGrid w:val="0"/>
              <w:spacing w:line="360" w:lineRule="auto"/>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⑤合理布置车间，将产生无组织废气的工序尽量布置在远离厂界的地方，以减少无组织废气对厂界周围环境的影响；</w:t>
            </w:r>
          </w:p>
          <w:p w14:paraId="4A1369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color w:val="auto"/>
                <w:spacing w:val="-10"/>
                <w:sz w:val="24"/>
                <w:szCs w:val="21"/>
                <w:highlight w:val="none"/>
              </w:rPr>
            </w:pPr>
            <w:r>
              <w:rPr>
                <w:rFonts w:hint="eastAsia" w:ascii="Times New Roman" w:hAnsi="Times New Roman" w:eastAsia="宋体" w:cs="Times New Roman"/>
                <w:bCs/>
                <w:color w:val="auto"/>
                <w:sz w:val="24"/>
                <w:highlight w:val="none"/>
                <w:lang w:val="en-US" w:eastAsia="zh-CN"/>
              </w:rPr>
              <w:t>⑥加强厂内绿化，设置一定的卫生防护距离，以减少无组织排放的气体对周围环境保护目标的影响。通过采取以上无组织排放控制措施，可减少本项目的无组织气体的排放，使污染物无组织排放量降低到较低的水平。</w:t>
            </w:r>
          </w:p>
          <w:p w14:paraId="162BBC85">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b/>
                <w:bCs/>
                <w:color w:val="auto"/>
                <w:spacing w:val="-10"/>
                <w:sz w:val="24"/>
                <w:szCs w:val="21"/>
                <w:highlight w:val="none"/>
              </w:rPr>
            </w:pPr>
            <w:r>
              <w:rPr>
                <w:rFonts w:hint="default" w:ascii="Times New Roman" w:hAnsi="Times New Roman" w:cs="Times New Roman"/>
                <w:b/>
                <w:bCs/>
                <w:color w:val="auto"/>
                <w:spacing w:val="-10"/>
                <w:sz w:val="24"/>
                <w:szCs w:val="21"/>
                <w:highlight w:val="none"/>
              </w:rPr>
              <w:t>3、</w:t>
            </w:r>
            <w:r>
              <w:rPr>
                <w:b/>
                <w:bCs/>
                <w:color w:val="auto"/>
                <w:spacing w:val="-10"/>
                <w:sz w:val="24"/>
                <w:szCs w:val="21"/>
                <w:highlight w:val="none"/>
              </w:rPr>
              <w:t>大气污染源自行监测计划</w:t>
            </w:r>
          </w:p>
          <w:p w14:paraId="71F937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eastAsia"/>
                <w:color w:val="auto"/>
                <w:sz w:val="24"/>
                <w:highlight w:val="none"/>
              </w:rPr>
              <w:t>企业应按照</w:t>
            </w:r>
            <w:r>
              <w:rPr>
                <w:color w:val="auto"/>
                <w:sz w:val="24"/>
                <w:highlight w:val="none"/>
                <w:lang w:val="zh-CN"/>
              </w:rPr>
              <w:t>相关要求开展大气污染源自行监测</w:t>
            </w:r>
            <w:r>
              <w:rPr>
                <w:rFonts w:hint="eastAsia"/>
                <w:color w:val="auto"/>
                <w:sz w:val="24"/>
                <w:highlight w:val="none"/>
                <w:lang w:val="zh-CN"/>
              </w:rPr>
              <w:t>，</w:t>
            </w:r>
            <w:r>
              <w:rPr>
                <w:rFonts w:hint="eastAsia"/>
                <w:color w:val="auto"/>
                <w:sz w:val="24"/>
                <w:highlight w:val="none"/>
              </w:rPr>
              <w:t>参照</w:t>
            </w:r>
            <w:r>
              <w:rPr>
                <w:color w:val="auto"/>
                <w:sz w:val="24"/>
                <w:highlight w:val="none"/>
              </w:rPr>
              <w:t>《排污单位自行监测技术指南</w:t>
            </w:r>
            <w:r>
              <w:rPr>
                <w:rFonts w:hint="eastAsia"/>
                <w:color w:val="auto"/>
                <w:sz w:val="24"/>
                <w:highlight w:val="none"/>
              </w:rPr>
              <w:t xml:space="preserve"> 总则</w:t>
            </w:r>
            <w:r>
              <w:rPr>
                <w:color w:val="auto"/>
                <w:sz w:val="24"/>
                <w:highlight w:val="none"/>
              </w:rPr>
              <w:t>》（HJ819-2017）</w:t>
            </w:r>
            <w:r>
              <w:rPr>
                <w:color w:val="auto"/>
                <w:sz w:val="24"/>
                <w:highlight w:val="none"/>
                <w:lang w:val="zh-CN"/>
              </w:rPr>
              <w:t>，</w:t>
            </w:r>
            <w:r>
              <w:rPr>
                <w:rFonts w:hint="eastAsia"/>
                <w:color w:val="auto"/>
                <w:sz w:val="24"/>
                <w:highlight w:val="none"/>
              </w:rPr>
              <w:t>企业</w:t>
            </w:r>
            <w:r>
              <w:rPr>
                <w:color w:val="auto"/>
                <w:sz w:val="24"/>
                <w:highlight w:val="none"/>
                <w:lang w:val="zh-CN"/>
              </w:rPr>
              <w:t>大气污染源自行监测计划</w:t>
            </w:r>
            <w:r>
              <w:rPr>
                <w:color w:val="auto"/>
                <w:sz w:val="24"/>
                <w:highlight w:val="none"/>
              </w:rPr>
              <w:t>见</w:t>
            </w:r>
            <w:r>
              <w:rPr>
                <w:color w:val="auto"/>
                <w:sz w:val="24"/>
                <w:highlight w:val="none"/>
                <w:lang w:val="zh-CN"/>
              </w:rPr>
              <w:t>表4</w:t>
            </w:r>
            <w:r>
              <w:rPr>
                <w:color w:val="auto"/>
                <w:sz w:val="24"/>
                <w:highlight w:val="none"/>
                <w:lang w:val="zh-CN"/>
              </w:rPr>
              <w:noBreakHyphen/>
            </w:r>
            <w:r>
              <w:rPr>
                <w:rFonts w:hint="eastAsia"/>
                <w:color w:val="auto"/>
                <w:sz w:val="24"/>
                <w:highlight w:val="none"/>
                <w:lang w:val="en-US" w:eastAsia="zh-CN"/>
              </w:rPr>
              <w:t>3</w:t>
            </w:r>
            <w:r>
              <w:rPr>
                <w:color w:val="auto"/>
                <w:sz w:val="24"/>
                <w:highlight w:val="none"/>
              </w:rPr>
              <w:t>。</w:t>
            </w:r>
          </w:p>
          <w:p w14:paraId="48873E5B">
            <w:pPr>
              <w:adjustRightInd w:val="0"/>
              <w:snapToGrid w:val="0"/>
              <w:jc w:val="center"/>
              <w:rPr>
                <w:b/>
                <w:color w:val="auto"/>
                <w:sz w:val="24"/>
                <w:highlight w:val="none"/>
                <w:lang w:val="zh-CN"/>
              </w:rPr>
            </w:pPr>
            <w:bookmarkStart w:id="17" w:name="_Ref67137613"/>
            <w:r>
              <w:rPr>
                <w:b/>
                <w:color w:val="auto"/>
                <w:sz w:val="24"/>
                <w:highlight w:val="none"/>
                <w:lang w:val="zh-CN"/>
              </w:rPr>
              <w:t>表4</w:t>
            </w:r>
            <w:r>
              <w:rPr>
                <w:b/>
                <w:color w:val="auto"/>
                <w:sz w:val="24"/>
                <w:highlight w:val="none"/>
                <w:lang w:val="zh-CN"/>
              </w:rPr>
              <w:noBreakHyphen/>
            </w:r>
            <w:bookmarkEnd w:id="17"/>
            <w:r>
              <w:rPr>
                <w:rFonts w:hint="eastAsia"/>
                <w:b/>
                <w:color w:val="auto"/>
                <w:sz w:val="24"/>
                <w:highlight w:val="none"/>
                <w:lang w:val="en-US" w:eastAsia="zh-CN"/>
              </w:rPr>
              <w:t>3</w:t>
            </w:r>
            <w:r>
              <w:rPr>
                <w:b/>
                <w:color w:val="auto"/>
                <w:sz w:val="24"/>
                <w:highlight w:val="none"/>
                <w:lang w:val="zh-CN"/>
              </w:rPr>
              <w:t xml:space="preserve"> 大气污染源自行监测计划</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469"/>
              <w:gridCol w:w="1518"/>
              <w:gridCol w:w="1264"/>
              <w:gridCol w:w="3292"/>
            </w:tblGrid>
            <w:tr w14:paraId="29A39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6" w:type="pct"/>
                  <w:tcBorders>
                    <w:bottom w:val="single" w:color="auto" w:sz="12" w:space="0"/>
                  </w:tcBorders>
                  <w:vAlign w:val="center"/>
                </w:tcPr>
                <w:p w14:paraId="54AB2A1D">
                  <w:pPr>
                    <w:spacing w:line="240" w:lineRule="atLeast"/>
                    <w:jc w:val="center"/>
                    <w:rPr>
                      <w:b/>
                      <w:color w:val="auto"/>
                      <w:szCs w:val="21"/>
                      <w:highlight w:val="none"/>
                      <w:lang w:val="zh-CN"/>
                    </w:rPr>
                  </w:pPr>
                  <w:r>
                    <w:rPr>
                      <w:b/>
                      <w:color w:val="auto"/>
                      <w:szCs w:val="21"/>
                      <w:highlight w:val="none"/>
                      <w:lang w:val="zh-CN"/>
                    </w:rPr>
                    <w:t>类别</w:t>
                  </w:r>
                </w:p>
              </w:tc>
              <w:tc>
                <w:tcPr>
                  <w:tcW w:w="871" w:type="pct"/>
                  <w:tcBorders>
                    <w:bottom w:val="single" w:color="auto" w:sz="12" w:space="0"/>
                  </w:tcBorders>
                  <w:vAlign w:val="center"/>
                </w:tcPr>
                <w:p w14:paraId="12E52F18">
                  <w:pPr>
                    <w:spacing w:line="240" w:lineRule="atLeast"/>
                    <w:jc w:val="center"/>
                    <w:rPr>
                      <w:b/>
                      <w:color w:val="auto"/>
                      <w:szCs w:val="21"/>
                      <w:highlight w:val="none"/>
                      <w:lang w:val="zh-CN"/>
                    </w:rPr>
                  </w:pPr>
                  <w:r>
                    <w:rPr>
                      <w:b/>
                      <w:color w:val="auto"/>
                      <w:szCs w:val="21"/>
                      <w:highlight w:val="none"/>
                      <w:lang w:val="zh-CN"/>
                    </w:rPr>
                    <w:t>监测位置</w:t>
                  </w:r>
                </w:p>
              </w:tc>
              <w:tc>
                <w:tcPr>
                  <w:tcW w:w="900" w:type="pct"/>
                  <w:tcBorders>
                    <w:bottom w:val="single" w:color="auto" w:sz="12" w:space="0"/>
                  </w:tcBorders>
                  <w:vAlign w:val="center"/>
                </w:tcPr>
                <w:p w14:paraId="18CC579C">
                  <w:pPr>
                    <w:spacing w:line="240" w:lineRule="atLeast"/>
                    <w:jc w:val="center"/>
                    <w:rPr>
                      <w:b/>
                      <w:color w:val="auto"/>
                      <w:szCs w:val="21"/>
                      <w:highlight w:val="none"/>
                      <w:lang w:val="zh-CN"/>
                    </w:rPr>
                  </w:pPr>
                  <w:r>
                    <w:rPr>
                      <w:b/>
                      <w:color w:val="auto"/>
                      <w:szCs w:val="21"/>
                      <w:highlight w:val="none"/>
                      <w:lang w:val="zh-CN"/>
                    </w:rPr>
                    <w:t>监测项目</w:t>
                  </w:r>
                </w:p>
              </w:tc>
              <w:tc>
                <w:tcPr>
                  <w:tcW w:w="749" w:type="pct"/>
                  <w:tcBorders>
                    <w:bottom w:val="single" w:color="auto" w:sz="12" w:space="0"/>
                  </w:tcBorders>
                  <w:vAlign w:val="center"/>
                </w:tcPr>
                <w:p w14:paraId="6CE766C2">
                  <w:pPr>
                    <w:spacing w:line="240" w:lineRule="atLeast"/>
                    <w:jc w:val="center"/>
                    <w:rPr>
                      <w:b/>
                      <w:color w:val="auto"/>
                      <w:szCs w:val="21"/>
                      <w:highlight w:val="none"/>
                      <w:lang w:val="zh-CN"/>
                    </w:rPr>
                  </w:pPr>
                  <w:r>
                    <w:rPr>
                      <w:b/>
                      <w:color w:val="auto"/>
                      <w:szCs w:val="21"/>
                      <w:highlight w:val="none"/>
                      <w:lang w:val="zh-CN"/>
                    </w:rPr>
                    <w:t>监测频次</w:t>
                  </w:r>
                </w:p>
              </w:tc>
              <w:tc>
                <w:tcPr>
                  <w:tcW w:w="1951" w:type="pct"/>
                  <w:tcBorders>
                    <w:bottom w:val="single" w:color="auto" w:sz="12" w:space="0"/>
                  </w:tcBorders>
                  <w:vAlign w:val="center"/>
                </w:tcPr>
                <w:p w14:paraId="3E64B6B4">
                  <w:pPr>
                    <w:spacing w:line="240" w:lineRule="atLeast"/>
                    <w:jc w:val="center"/>
                    <w:rPr>
                      <w:b/>
                      <w:color w:val="auto"/>
                      <w:szCs w:val="21"/>
                      <w:highlight w:val="none"/>
                      <w:lang w:val="zh-CN"/>
                    </w:rPr>
                  </w:pPr>
                  <w:r>
                    <w:rPr>
                      <w:b/>
                      <w:color w:val="auto"/>
                      <w:szCs w:val="21"/>
                      <w:highlight w:val="none"/>
                      <w:lang w:val="zh-CN"/>
                    </w:rPr>
                    <w:t>执行排放标准</w:t>
                  </w:r>
                </w:p>
              </w:tc>
            </w:tr>
            <w:tr w14:paraId="539D6B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526" w:type="pct"/>
                  <w:vMerge w:val="restart"/>
                  <w:vAlign w:val="center"/>
                </w:tcPr>
                <w:p w14:paraId="727F3840">
                  <w:pPr>
                    <w:spacing w:line="240" w:lineRule="atLeast"/>
                    <w:jc w:val="center"/>
                    <w:rPr>
                      <w:bCs/>
                      <w:color w:val="auto"/>
                      <w:szCs w:val="21"/>
                      <w:highlight w:val="none"/>
                    </w:rPr>
                  </w:pPr>
                  <w:r>
                    <w:rPr>
                      <w:rFonts w:hint="eastAsia"/>
                      <w:bCs/>
                      <w:color w:val="auto"/>
                      <w:szCs w:val="21"/>
                      <w:highlight w:val="none"/>
                    </w:rPr>
                    <w:t>无组织</w:t>
                  </w:r>
                </w:p>
              </w:tc>
              <w:tc>
                <w:tcPr>
                  <w:tcW w:w="871" w:type="pct"/>
                  <w:vAlign w:val="center"/>
                </w:tcPr>
                <w:p w14:paraId="0E7CF52D">
                  <w:pPr>
                    <w:spacing w:line="240" w:lineRule="atLeast"/>
                    <w:jc w:val="center"/>
                    <w:rPr>
                      <w:rFonts w:hint="eastAsia" w:eastAsia="宋体"/>
                      <w:bCs/>
                      <w:color w:val="auto"/>
                      <w:szCs w:val="21"/>
                      <w:highlight w:val="none"/>
                      <w:lang w:val="zh-CN" w:eastAsia="zh-CN"/>
                    </w:rPr>
                  </w:pPr>
                  <w:r>
                    <w:rPr>
                      <w:rFonts w:hint="eastAsia"/>
                      <w:bCs/>
                      <w:color w:val="auto"/>
                      <w:szCs w:val="21"/>
                      <w:highlight w:val="none"/>
                      <w:lang w:val="en-US" w:eastAsia="zh-CN"/>
                    </w:rPr>
                    <w:t>厂界</w:t>
                  </w:r>
                </w:p>
              </w:tc>
              <w:tc>
                <w:tcPr>
                  <w:tcW w:w="900" w:type="pct"/>
                  <w:vAlign w:val="center"/>
                </w:tcPr>
                <w:p w14:paraId="1B7AAE8C">
                  <w:pPr>
                    <w:jc w:val="center"/>
                    <w:rPr>
                      <w:color w:val="auto"/>
                      <w:highlight w:val="none"/>
                    </w:rPr>
                  </w:pPr>
                  <w:r>
                    <w:rPr>
                      <w:color w:val="auto"/>
                      <w:highlight w:val="none"/>
                    </w:rPr>
                    <w:t>非甲烷总烃</w:t>
                  </w:r>
                </w:p>
              </w:tc>
              <w:tc>
                <w:tcPr>
                  <w:tcW w:w="749" w:type="pct"/>
                  <w:vAlign w:val="center"/>
                </w:tcPr>
                <w:p w14:paraId="78D6E8E4">
                  <w:pPr>
                    <w:spacing w:line="240" w:lineRule="atLeast"/>
                    <w:jc w:val="center"/>
                    <w:rPr>
                      <w:bCs/>
                      <w:color w:val="auto"/>
                      <w:szCs w:val="21"/>
                      <w:highlight w:val="none"/>
                      <w:lang w:val="zh-CN"/>
                    </w:rPr>
                  </w:pPr>
                  <w:r>
                    <w:rPr>
                      <w:bCs/>
                      <w:color w:val="auto"/>
                      <w:szCs w:val="21"/>
                      <w:highlight w:val="none"/>
                      <w:lang w:val="zh-CN"/>
                    </w:rPr>
                    <w:t>1次/年</w:t>
                  </w:r>
                </w:p>
              </w:tc>
              <w:tc>
                <w:tcPr>
                  <w:tcW w:w="1951" w:type="pct"/>
                  <w:vAlign w:val="center"/>
                </w:tcPr>
                <w:p w14:paraId="02E2B606">
                  <w:pPr>
                    <w:spacing w:line="240" w:lineRule="atLeast"/>
                    <w:jc w:val="center"/>
                    <w:rPr>
                      <w:rFonts w:hint="eastAsia" w:eastAsia="宋体"/>
                      <w:bCs/>
                      <w:color w:val="auto"/>
                      <w:szCs w:val="21"/>
                      <w:highlight w:val="none"/>
                      <w:lang w:val="en-US" w:eastAsia="zh-CN"/>
                    </w:rPr>
                  </w:pPr>
                  <w:r>
                    <w:rPr>
                      <w:bCs/>
                      <w:color w:val="auto"/>
                      <w:szCs w:val="21"/>
                      <w:highlight w:val="none"/>
                      <w:lang w:val="zh-CN"/>
                    </w:rPr>
                    <w:t>江苏省《大气污染物综合排放标准》（DB32/4041-2021）表</w:t>
                  </w:r>
                  <w:r>
                    <w:rPr>
                      <w:rFonts w:hint="eastAsia"/>
                      <w:bCs/>
                      <w:color w:val="auto"/>
                      <w:szCs w:val="21"/>
                      <w:highlight w:val="none"/>
                      <w:lang w:val="en-US" w:eastAsia="zh-CN"/>
                    </w:rPr>
                    <w:t>3</w:t>
                  </w:r>
                  <w:r>
                    <w:rPr>
                      <w:bCs/>
                      <w:color w:val="auto"/>
                      <w:szCs w:val="21"/>
                      <w:highlight w:val="none"/>
                      <w:lang w:val="zh-CN"/>
                    </w:rPr>
                    <w:t>中标准</w:t>
                  </w:r>
                </w:p>
              </w:tc>
            </w:tr>
            <w:tr w14:paraId="0AB21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6" w:type="pct"/>
                  <w:vMerge w:val="continue"/>
                  <w:vAlign w:val="center"/>
                </w:tcPr>
                <w:p w14:paraId="5CFE06A2">
                  <w:pPr>
                    <w:spacing w:line="240" w:lineRule="atLeast"/>
                    <w:jc w:val="center"/>
                    <w:rPr>
                      <w:bCs/>
                      <w:color w:val="auto"/>
                      <w:szCs w:val="21"/>
                      <w:highlight w:val="none"/>
                      <w:lang w:val="zh-CN"/>
                    </w:rPr>
                  </w:pPr>
                </w:p>
              </w:tc>
              <w:tc>
                <w:tcPr>
                  <w:tcW w:w="871" w:type="pct"/>
                  <w:vAlign w:val="center"/>
                </w:tcPr>
                <w:p w14:paraId="0628EC0B">
                  <w:pPr>
                    <w:spacing w:line="240" w:lineRule="atLeast"/>
                    <w:jc w:val="center"/>
                    <w:rPr>
                      <w:rFonts w:hint="default" w:eastAsia="宋体"/>
                      <w:bCs/>
                      <w:color w:val="auto"/>
                      <w:szCs w:val="21"/>
                      <w:highlight w:val="none"/>
                      <w:lang w:val="en-US" w:eastAsia="zh-CN"/>
                    </w:rPr>
                  </w:pPr>
                  <w:r>
                    <w:rPr>
                      <w:rFonts w:hint="eastAsia"/>
                      <w:bCs/>
                      <w:color w:val="auto"/>
                      <w:szCs w:val="21"/>
                      <w:highlight w:val="none"/>
                      <w:lang w:val="en-US" w:eastAsia="zh-CN"/>
                    </w:rPr>
                    <w:t>生产厂房外</w:t>
                  </w:r>
                </w:p>
              </w:tc>
              <w:tc>
                <w:tcPr>
                  <w:tcW w:w="900" w:type="pct"/>
                  <w:vAlign w:val="center"/>
                </w:tcPr>
                <w:p w14:paraId="3EACC11F">
                  <w:pPr>
                    <w:jc w:val="center"/>
                    <w:rPr>
                      <w:color w:val="auto"/>
                      <w:highlight w:val="none"/>
                    </w:rPr>
                  </w:pPr>
                  <w:r>
                    <w:rPr>
                      <w:color w:val="auto"/>
                      <w:highlight w:val="none"/>
                    </w:rPr>
                    <w:t>非甲烷总烃</w:t>
                  </w:r>
                </w:p>
              </w:tc>
              <w:tc>
                <w:tcPr>
                  <w:tcW w:w="749" w:type="pct"/>
                  <w:vAlign w:val="center"/>
                </w:tcPr>
                <w:p w14:paraId="562F766A">
                  <w:pPr>
                    <w:spacing w:line="240" w:lineRule="atLeast"/>
                    <w:jc w:val="center"/>
                    <w:rPr>
                      <w:bCs/>
                      <w:color w:val="auto"/>
                      <w:szCs w:val="21"/>
                      <w:highlight w:val="none"/>
                      <w:lang w:val="zh-CN"/>
                    </w:rPr>
                  </w:pPr>
                  <w:r>
                    <w:rPr>
                      <w:bCs/>
                      <w:color w:val="auto"/>
                      <w:szCs w:val="21"/>
                      <w:highlight w:val="none"/>
                      <w:lang w:val="zh-CN"/>
                    </w:rPr>
                    <w:t>1次/年</w:t>
                  </w:r>
                </w:p>
              </w:tc>
              <w:tc>
                <w:tcPr>
                  <w:tcW w:w="1951" w:type="pct"/>
                  <w:vAlign w:val="center"/>
                </w:tcPr>
                <w:p w14:paraId="335E44BC">
                  <w:pPr>
                    <w:spacing w:line="240" w:lineRule="atLeast"/>
                    <w:jc w:val="center"/>
                    <w:rPr>
                      <w:bCs/>
                      <w:color w:val="auto"/>
                      <w:szCs w:val="21"/>
                      <w:highlight w:val="none"/>
                      <w:lang w:val="zh-CN"/>
                    </w:rPr>
                  </w:pPr>
                  <w:r>
                    <w:rPr>
                      <w:bCs/>
                      <w:color w:val="auto"/>
                      <w:szCs w:val="21"/>
                      <w:highlight w:val="none"/>
                    </w:rPr>
                    <w:t>江苏省《大气污染物综合排放标准》（DB32/4041-2021）表</w:t>
                  </w:r>
                  <w:r>
                    <w:rPr>
                      <w:rFonts w:hint="eastAsia"/>
                      <w:bCs/>
                      <w:color w:val="auto"/>
                      <w:szCs w:val="21"/>
                      <w:highlight w:val="none"/>
                      <w:lang w:val="en-US" w:eastAsia="zh-CN"/>
                    </w:rPr>
                    <w:t>2</w:t>
                  </w:r>
                  <w:r>
                    <w:rPr>
                      <w:bCs/>
                      <w:color w:val="auto"/>
                      <w:szCs w:val="21"/>
                      <w:highlight w:val="none"/>
                    </w:rPr>
                    <w:t>中标准</w:t>
                  </w:r>
                </w:p>
              </w:tc>
            </w:tr>
          </w:tbl>
          <w:p w14:paraId="7345CD89">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b/>
                <w:bCs/>
                <w:color w:val="auto"/>
                <w:spacing w:val="-10"/>
                <w:sz w:val="24"/>
                <w:szCs w:val="21"/>
                <w:highlight w:val="none"/>
              </w:rPr>
            </w:pPr>
            <w:r>
              <w:rPr>
                <w:rFonts w:hint="eastAsia" w:cs="Times New Roman"/>
                <w:b/>
                <w:bCs/>
                <w:color w:val="auto"/>
                <w:spacing w:val="-10"/>
                <w:sz w:val="24"/>
                <w:szCs w:val="21"/>
                <w:highlight w:val="none"/>
                <w:lang w:val="en-US" w:eastAsia="zh-CN"/>
              </w:rPr>
              <w:t>4</w:t>
            </w:r>
            <w:r>
              <w:rPr>
                <w:rFonts w:hint="eastAsia"/>
                <w:b/>
                <w:bCs/>
                <w:color w:val="auto"/>
                <w:spacing w:val="-10"/>
                <w:sz w:val="24"/>
                <w:szCs w:val="21"/>
                <w:highlight w:val="none"/>
              </w:rPr>
              <w:t>、</w:t>
            </w:r>
            <w:r>
              <w:rPr>
                <w:b/>
                <w:bCs/>
                <w:color w:val="auto"/>
                <w:spacing w:val="-10"/>
                <w:sz w:val="24"/>
                <w:szCs w:val="21"/>
                <w:highlight w:val="none"/>
              </w:rPr>
              <w:t>卫生防护距离设置</w:t>
            </w:r>
          </w:p>
          <w:p w14:paraId="1BA3074E">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10"/>
              <w:textAlignment w:val="auto"/>
              <w:rPr>
                <w:color w:val="auto"/>
                <w:sz w:val="24"/>
                <w:highlight w:val="none"/>
              </w:rPr>
            </w:pPr>
            <w:r>
              <w:rPr>
                <w:rFonts w:hint="eastAsia"/>
                <w:color w:val="auto"/>
                <w:sz w:val="24"/>
                <w:highlight w:val="none"/>
                <w:lang w:val="en-US" w:eastAsia="zh-CN"/>
              </w:rPr>
              <w:t>本项目</w:t>
            </w:r>
            <w:r>
              <w:rPr>
                <w:rFonts w:hint="eastAsia"/>
                <w:color w:val="auto"/>
                <w:sz w:val="24"/>
                <w:highlight w:val="none"/>
              </w:rPr>
              <w:t>全厂</w:t>
            </w:r>
            <w:r>
              <w:rPr>
                <w:color w:val="auto"/>
                <w:sz w:val="24"/>
                <w:highlight w:val="none"/>
              </w:rPr>
              <w:t>大气污染物无组织排放卫生防护距离按照《大气有害物质无组织排放卫生防护距离推导技术导则》(GB/T 39499-2020)进行校核计算。计算公式如下：</w:t>
            </w:r>
          </w:p>
          <w:p w14:paraId="4BABDD2A">
            <w:pPr>
              <w:spacing w:line="360" w:lineRule="auto"/>
              <w:jc w:val="center"/>
              <w:rPr>
                <w:color w:val="auto"/>
                <w:sz w:val="24"/>
                <w:highlight w:val="none"/>
              </w:rPr>
            </w:pPr>
            <w:r>
              <w:rPr>
                <w:color w:val="auto"/>
                <w:sz w:val="24"/>
                <w:highlight w:val="none"/>
              </w:rPr>
              <w:object>
                <v:shape id="_x0000_i1027" o:spt="75" type="#_x0000_t75" style="height:35.25pt;width:136.5pt;" o:ole="t" filled="f" o:preferrelative="t" stroked="f" coordsize="21600,21600">
                  <v:path/>
                  <v:fill on="f" focussize="0,0"/>
                  <v:stroke on="f" joinstyle="miter"/>
                  <v:imagedata r:id="rId17" o:title=""/>
                  <o:lock v:ext="edit" aspectratio="t"/>
                  <w10:wrap type="none"/>
                  <w10:anchorlock/>
                </v:shape>
                <o:OLEObject Type="Embed" ProgID="Equation.3" ShapeID="_x0000_i1027" DrawAspect="Content" ObjectID="_1468075727" r:id="rId16">
                  <o:LockedField>false</o:LockedField>
                </o:OLEObject>
              </w:object>
            </w:r>
          </w:p>
          <w:p w14:paraId="0AEA033E">
            <w:pPr>
              <w:spacing w:line="360" w:lineRule="auto"/>
              <w:ind w:firstLine="480" w:firstLineChars="200"/>
              <w:rPr>
                <w:color w:val="auto"/>
                <w:sz w:val="24"/>
                <w:highlight w:val="none"/>
              </w:rPr>
            </w:pPr>
            <w:r>
              <w:rPr>
                <w:color w:val="auto"/>
                <w:sz w:val="24"/>
                <w:highlight w:val="none"/>
              </w:rPr>
              <w:t>式中：</w:t>
            </w:r>
          </w:p>
          <w:p w14:paraId="69295A92">
            <w:pPr>
              <w:spacing w:line="360" w:lineRule="auto"/>
              <w:ind w:firstLine="480" w:firstLineChars="200"/>
              <w:rPr>
                <w:color w:val="auto"/>
                <w:sz w:val="24"/>
                <w:highlight w:val="none"/>
              </w:rPr>
            </w:pPr>
            <w:r>
              <w:rPr>
                <w:color w:val="auto"/>
                <w:sz w:val="24"/>
                <w:highlight w:val="none"/>
              </w:rPr>
              <w:t>A、B、C、D——卫生防护距离计算系数；</w:t>
            </w:r>
          </w:p>
          <w:p w14:paraId="4BF486DA">
            <w:pPr>
              <w:spacing w:line="360" w:lineRule="auto"/>
              <w:ind w:firstLine="480" w:firstLineChars="200"/>
              <w:rPr>
                <w:color w:val="auto"/>
                <w:sz w:val="24"/>
                <w:highlight w:val="none"/>
              </w:rPr>
            </w:pPr>
            <w:r>
              <w:rPr>
                <w:color w:val="auto"/>
                <w:sz w:val="24"/>
                <w:highlight w:val="none"/>
              </w:rPr>
              <w:t>C</w:t>
            </w:r>
            <w:r>
              <w:rPr>
                <w:color w:val="auto"/>
                <w:sz w:val="24"/>
                <w:highlight w:val="none"/>
                <w:vertAlign w:val="subscript"/>
              </w:rPr>
              <w:t>m</w:t>
            </w:r>
            <w:r>
              <w:rPr>
                <w:color w:val="auto"/>
                <w:sz w:val="24"/>
                <w:highlight w:val="none"/>
              </w:rPr>
              <w:t>——环境空气质量标准浓度限值，mg/m</w:t>
            </w:r>
            <w:r>
              <w:rPr>
                <w:color w:val="auto"/>
                <w:sz w:val="24"/>
                <w:highlight w:val="none"/>
                <w:vertAlign w:val="superscript"/>
              </w:rPr>
              <w:t>3</w:t>
            </w:r>
            <w:r>
              <w:rPr>
                <w:color w:val="auto"/>
                <w:sz w:val="24"/>
                <w:highlight w:val="none"/>
              </w:rPr>
              <w:t>；</w:t>
            </w:r>
          </w:p>
          <w:p w14:paraId="15C527E2">
            <w:pPr>
              <w:spacing w:line="360" w:lineRule="auto"/>
              <w:ind w:firstLine="480" w:firstLineChars="200"/>
              <w:rPr>
                <w:color w:val="auto"/>
                <w:sz w:val="24"/>
                <w:highlight w:val="none"/>
              </w:rPr>
            </w:pPr>
            <w:r>
              <w:rPr>
                <w:color w:val="auto"/>
                <w:sz w:val="24"/>
                <w:highlight w:val="none"/>
              </w:rPr>
              <w:t>Q</w:t>
            </w:r>
            <w:r>
              <w:rPr>
                <w:color w:val="auto"/>
                <w:sz w:val="24"/>
                <w:highlight w:val="none"/>
                <w:vertAlign w:val="subscript"/>
              </w:rPr>
              <w:t>c</w:t>
            </w:r>
            <w:r>
              <w:rPr>
                <w:color w:val="auto"/>
                <w:sz w:val="24"/>
                <w:highlight w:val="none"/>
              </w:rPr>
              <w:t>——工业企业有害气体无组织排放量可以达到的控制水平，kg/h；</w:t>
            </w:r>
          </w:p>
          <w:p w14:paraId="50781311">
            <w:pPr>
              <w:spacing w:line="360" w:lineRule="auto"/>
              <w:ind w:firstLine="480" w:firstLineChars="200"/>
              <w:rPr>
                <w:color w:val="auto"/>
                <w:sz w:val="24"/>
                <w:highlight w:val="none"/>
              </w:rPr>
            </w:pPr>
            <w:r>
              <w:rPr>
                <w:color w:val="auto"/>
                <w:sz w:val="24"/>
                <w:highlight w:val="none"/>
              </w:rPr>
              <w:t>r ——无组织排放源的等效半径，m；</w:t>
            </w:r>
          </w:p>
          <w:p w14:paraId="1364C921">
            <w:pPr>
              <w:spacing w:line="360" w:lineRule="auto"/>
              <w:ind w:firstLine="480" w:firstLineChars="200"/>
              <w:rPr>
                <w:color w:val="auto"/>
                <w:sz w:val="24"/>
                <w:highlight w:val="none"/>
              </w:rPr>
            </w:pPr>
            <w:r>
              <w:rPr>
                <w:color w:val="auto"/>
                <w:sz w:val="24"/>
                <w:highlight w:val="none"/>
              </w:rPr>
              <w:t>L——安全卫生防护距离，m。</w:t>
            </w:r>
          </w:p>
          <w:p w14:paraId="11126825">
            <w:pPr>
              <w:adjustRightInd w:val="0"/>
              <w:snapToGrid w:val="0"/>
              <w:spacing w:line="360" w:lineRule="auto"/>
              <w:ind w:firstLine="480" w:firstLineChars="200"/>
              <w:rPr>
                <w:color w:val="auto"/>
                <w:sz w:val="24"/>
                <w:highlight w:val="none"/>
              </w:rPr>
            </w:pPr>
            <w:r>
              <w:rPr>
                <w:color w:val="auto"/>
                <w:sz w:val="24"/>
                <w:highlight w:val="none"/>
              </w:rPr>
              <w:t>无组织废气卫生防护距离计算结果见表4-</w:t>
            </w:r>
            <w:r>
              <w:rPr>
                <w:rFonts w:hint="eastAsia"/>
                <w:color w:val="auto"/>
                <w:sz w:val="24"/>
                <w:highlight w:val="none"/>
                <w:lang w:val="en-US" w:eastAsia="zh-CN"/>
              </w:rPr>
              <w:t>6</w:t>
            </w:r>
            <w:r>
              <w:rPr>
                <w:color w:val="auto"/>
                <w:sz w:val="24"/>
                <w:highlight w:val="none"/>
              </w:rPr>
              <w:t>。</w:t>
            </w:r>
          </w:p>
          <w:p w14:paraId="502624AF">
            <w:pPr>
              <w:adjustRightInd w:val="0"/>
              <w:snapToGrid w:val="0"/>
              <w:jc w:val="center"/>
              <w:rPr>
                <w:b/>
                <w:color w:val="auto"/>
                <w:sz w:val="24"/>
                <w:highlight w:val="none"/>
                <w:lang w:val="zh-CN"/>
              </w:rPr>
            </w:pPr>
            <w:bookmarkStart w:id="18" w:name="_Ref67137776"/>
            <w:r>
              <w:rPr>
                <w:b/>
                <w:color w:val="auto"/>
                <w:sz w:val="24"/>
                <w:highlight w:val="none"/>
                <w:lang w:val="zh-CN"/>
              </w:rPr>
              <w:t>表4</w:t>
            </w:r>
            <w:bookmarkEnd w:id="18"/>
            <w:r>
              <w:rPr>
                <w:b/>
                <w:color w:val="auto"/>
                <w:sz w:val="24"/>
                <w:highlight w:val="none"/>
              </w:rPr>
              <w:t>-</w:t>
            </w:r>
            <w:r>
              <w:rPr>
                <w:rFonts w:hint="eastAsia"/>
                <w:b/>
                <w:color w:val="auto"/>
                <w:sz w:val="24"/>
                <w:highlight w:val="none"/>
                <w:lang w:val="en-US" w:eastAsia="zh-CN"/>
              </w:rPr>
              <w:t>5</w:t>
            </w:r>
            <w:r>
              <w:rPr>
                <w:b/>
                <w:color w:val="auto"/>
                <w:sz w:val="24"/>
                <w:highlight w:val="none"/>
                <w:lang w:val="zh-CN"/>
              </w:rPr>
              <w:t>卫生防护距离计算系数</w:t>
            </w:r>
          </w:p>
          <w:tbl>
            <w:tblPr>
              <w:tblStyle w:val="3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1440"/>
              <w:gridCol w:w="895"/>
              <w:gridCol w:w="646"/>
              <w:gridCol w:w="637"/>
              <w:gridCol w:w="637"/>
              <w:gridCol w:w="637"/>
              <w:gridCol w:w="639"/>
              <w:gridCol w:w="637"/>
              <w:gridCol w:w="637"/>
              <w:gridCol w:w="640"/>
            </w:tblGrid>
            <w:tr w14:paraId="523F08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584" w:type="pct"/>
                  <w:vMerge w:val="restart"/>
                  <w:vAlign w:val="center"/>
                </w:tcPr>
                <w:p w14:paraId="5C9EBBA6">
                  <w:pPr>
                    <w:spacing w:line="240" w:lineRule="atLeast"/>
                    <w:jc w:val="center"/>
                    <w:rPr>
                      <w:b/>
                      <w:color w:val="auto"/>
                      <w:szCs w:val="21"/>
                      <w:highlight w:val="none"/>
                      <w:lang w:val="zh-CN"/>
                    </w:rPr>
                  </w:pPr>
                  <w:r>
                    <w:rPr>
                      <w:b/>
                      <w:color w:val="auto"/>
                      <w:szCs w:val="21"/>
                      <w:highlight w:val="none"/>
                      <w:lang w:val="zh-CN"/>
                    </w:rPr>
                    <w:t>计算系数</w:t>
                  </w:r>
                </w:p>
              </w:tc>
              <w:tc>
                <w:tcPr>
                  <w:tcW w:w="854" w:type="pct"/>
                  <w:vMerge w:val="restart"/>
                  <w:vAlign w:val="center"/>
                </w:tcPr>
                <w:p w14:paraId="1D5BDAFA">
                  <w:pPr>
                    <w:spacing w:line="240" w:lineRule="atLeast"/>
                    <w:jc w:val="center"/>
                    <w:rPr>
                      <w:b/>
                      <w:color w:val="auto"/>
                      <w:szCs w:val="21"/>
                      <w:highlight w:val="none"/>
                      <w:lang w:val="zh-CN"/>
                    </w:rPr>
                  </w:pPr>
                  <w:r>
                    <w:rPr>
                      <w:b/>
                      <w:color w:val="auto"/>
                      <w:szCs w:val="21"/>
                      <w:highlight w:val="none"/>
                      <w:lang w:val="zh-CN"/>
                    </w:rPr>
                    <w:t>5年平均风速</w:t>
                  </w:r>
                </w:p>
                <w:p w14:paraId="2450F02E">
                  <w:pPr>
                    <w:spacing w:line="240" w:lineRule="atLeast"/>
                    <w:jc w:val="center"/>
                    <w:rPr>
                      <w:b/>
                      <w:color w:val="auto"/>
                      <w:szCs w:val="21"/>
                      <w:highlight w:val="none"/>
                      <w:lang w:val="zh-CN"/>
                    </w:rPr>
                  </w:pPr>
                  <w:r>
                    <w:rPr>
                      <w:b/>
                      <w:color w:val="auto"/>
                      <w:szCs w:val="21"/>
                      <w:highlight w:val="none"/>
                      <w:lang w:val="zh-CN"/>
                    </w:rPr>
                    <w:t>m/s</w:t>
                  </w:r>
                </w:p>
              </w:tc>
              <w:tc>
                <w:tcPr>
                  <w:tcW w:w="3562" w:type="pct"/>
                  <w:gridSpan w:val="9"/>
                  <w:vAlign w:val="center"/>
                </w:tcPr>
                <w:p w14:paraId="1709F335">
                  <w:pPr>
                    <w:spacing w:line="240" w:lineRule="atLeast"/>
                    <w:jc w:val="center"/>
                    <w:rPr>
                      <w:b/>
                      <w:color w:val="auto"/>
                      <w:szCs w:val="21"/>
                      <w:highlight w:val="none"/>
                      <w:lang w:val="zh-CN"/>
                    </w:rPr>
                  </w:pPr>
                  <w:r>
                    <w:rPr>
                      <w:b/>
                      <w:color w:val="auto"/>
                      <w:szCs w:val="21"/>
                      <w:highlight w:val="none"/>
                      <w:lang w:val="zh-CN"/>
                    </w:rPr>
                    <w:t>卫生防护距离L（m）</w:t>
                  </w:r>
                </w:p>
              </w:tc>
            </w:tr>
            <w:tr w14:paraId="6B2C1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584" w:type="pct"/>
                  <w:vMerge w:val="continue"/>
                  <w:vAlign w:val="center"/>
                </w:tcPr>
                <w:p w14:paraId="1F1E40D3">
                  <w:pPr>
                    <w:spacing w:line="240" w:lineRule="atLeast"/>
                    <w:jc w:val="center"/>
                    <w:rPr>
                      <w:b/>
                      <w:color w:val="auto"/>
                      <w:szCs w:val="21"/>
                      <w:highlight w:val="none"/>
                      <w:lang w:val="zh-CN"/>
                    </w:rPr>
                  </w:pPr>
                </w:p>
              </w:tc>
              <w:tc>
                <w:tcPr>
                  <w:tcW w:w="854" w:type="pct"/>
                  <w:vMerge w:val="continue"/>
                  <w:vAlign w:val="center"/>
                </w:tcPr>
                <w:p w14:paraId="37903E49">
                  <w:pPr>
                    <w:spacing w:line="240" w:lineRule="atLeast"/>
                    <w:jc w:val="center"/>
                    <w:rPr>
                      <w:b/>
                      <w:color w:val="auto"/>
                      <w:szCs w:val="21"/>
                      <w:highlight w:val="none"/>
                      <w:lang w:val="zh-CN"/>
                    </w:rPr>
                  </w:pPr>
                </w:p>
              </w:tc>
              <w:tc>
                <w:tcPr>
                  <w:tcW w:w="1292" w:type="pct"/>
                  <w:gridSpan w:val="3"/>
                  <w:vAlign w:val="center"/>
                </w:tcPr>
                <w:p w14:paraId="21C09CA2">
                  <w:pPr>
                    <w:spacing w:line="240" w:lineRule="atLeast"/>
                    <w:jc w:val="center"/>
                    <w:rPr>
                      <w:b/>
                      <w:color w:val="auto"/>
                      <w:szCs w:val="21"/>
                      <w:highlight w:val="none"/>
                      <w:lang w:val="zh-CN"/>
                    </w:rPr>
                  </w:pPr>
                  <w:r>
                    <w:rPr>
                      <w:b/>
                      <w:color w:val="auto"/>
                      <w:szCs w:val="21"/>
                      <w:highlight w:val="none"/>
                      <w:lang w:val="zh-CN"/>
                    </w:rPr>
                    <w:t>L≤1000</w:t>
                  </w:r>
                </w:p>
              </w:tc>
              <w:tc>
                <w:tcPr>
                  <w:tcW w:w="1135" w:type="pct"/>
                  <w:gridSpan w:val="3"/>
                  <w:vAlign w:val="center"/>
                </w:tcPr>
                <w:p w14:paraId="6CAD9661">
                  <w:pPr>
                    <w:spacing w:line="240" w:lineRule="atLeast"/>
                    <w:jc w:val="center"/>
                    <w:rPr>
                      <w:b/>
                      <w:color w:val="auto"/>
                      <w:szCs w:val="21"/>
                      <w:highlight w:val="none"/>
                      <w:lang w:val="zh-CN"/>
                    </w:rPr>
                  </w:pPr>
                  <w:r>
                    <w:rPr>
                      <w:b/>
                      <w:color w:val="auto"/>
                      <w:szCs w:val="21"/>
                      <w:highlight w:val="none"/>
                      <w:lang w:val="zh-CN"/>
                    </w:rPr>
                    <w:t>1000＜L≤2000</w:t>
                  </w:r>
                </w:p>
              </w:tc>
              <w:tc>
                <w:tcPr>
                  <w:tcW w:w="1134" w:type="pct"/>
                  <w:gridSpan w:val="3"/>
                  <w:vAlign w:val="center"/>
                </w:tcPr>
                <w:p w14:paraId="2CF0691C">
                  <w:pPr>
                    <w:spacing w:line="240" w:lineRule="atLeast"/>
                    <w:jc w:val="center"/>
                    <w:rPr>
                      <w:b/>
                      <w:color w:val="auto"/>
                      <w:szCs w:val="21"/>
                      <w:highlight w:val="none"/>
                      <w:lang w:val="zh-CN"/>
                    </w:rPr>
                  </w:pPr>
                  <w:r>
                    <w:rPr>
                      <w:b/>
                      <w:color w:val="auto"/>
                      <w:szCs w:val="21"/>
                      <w:highlight w:val="none"/>
                      <w:lang w:val="zh-CN"/>
                    </w:rPr>
                    <w:t>L＞2000</w:t>
                  </w:r>
                </w:p>
              </w:tc>
            </w:tr>
            <w:tr w14:paraId="6B1F5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584" w:type="pct"/>
                  <w:vMerge w:val="continue"/>
                  <w:vAlign w:val="center"/>
                </w:tcPr>
                <w:p w14:paraId="11ECD8BB">
                  <w:pPr>
                    <w:spacing w:line="240" w:lineRule="atLeast"/>
                    <w:jc w:val="center"/>
                    <w:rPr>
                      <w:b/>
                      <w:color w:val="auto"/>
                      <w:szCs w:val="21"/>
                      <w:highlight w:val="none"/>
                      <w:lang w:val="zh-CN"/>
                    </w:rPr>
                  </w:pPr>
                </w:p>
              </w:tc>
              <w:tc>
                <w:tcPr>
                  <w:tcW w:w="854" w:type="pct"/>
                  <w:vMerge w:val="continue"/>
                  <w:vAlign w:val="center"/>
                </w:tcPr>
                <w:p w14:paraId="615ECC57">
                  <w:pPr>
                    <w:spacing w:line="240" w:lineRule="atLeast"/>
                    <w:jc w:val="center"/>
                    <w:rPr>
                      <w:b/>
                      <w:color w:val="auto"/>
                      <w:szCs w:val="21"/>
                      <w:highlight w:val="none"/>
                      <w:lang w:val="zh-CN"/>
                    </w:rPr>
                  </w:pPr>
                </w:p>
              </w:tc>
              <w:tc>
                <w:tcPr>
                  <w:tcW w:w="3562" w:type="pct"/>
                  <w:gridSpan w:val="9"/>
                  <w:vAlign w:val="center"/>
                </w:tcPr>
                <w:p w14:paraId="23E4A7EE">
                  <w:pPr>
                    <w:spacing w:line="240" w:lineRule="atLeast"/>
                    <w:jc w:val="center"/>
                    <w:rPr>
                      <w:b/>
                      <w:color w:val="auto"/>
                      <w:szCs w:val="21"/>
                      <w:highlight w:val="none"/>
                      <w:lang w:val="zh-CN"/>
                    </w:rPr>
                  </w:pPr>
                  <w:r>
                    <w:rPr>
                      <w:b/>
                      <w:color w:val="auto"/>
                      <w:szCs w:val="21"/>
                      <w:highlight w:val="none"/>
                      <w:lang w:val="zh-CN"/>
                    </w:rPr>
                    <w:t>工业大气污染源构成类别</w:t>
                  </w:r>
                </w:p>
              </w:tc>
            </w:tr>
            <w:tr w14:paraId="6C1F46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584" w:type="pct"/>
                  <w:vMerge w:val="continue"/>
                  <w:tcBorders>
                    <w:bottom w:val="single" w:color="auto" w:sz="12" w:space="0"/>
                  </w:tcBorders>
                  <w:vAlign w:val="center"/>
                </w:tcPr>
                <w:p w14:paraId="69C67979">
                  <w:pPr>
                    <w:spacing w:line="240" w:lineRule="atLeast"/>
                    <w:jc w:val="center"/>
                    <w:rPr>
                      <w:b/>
                      <w:color w:val="auto"/>
                      <w:szCs w:val="21"/>
                      <w:highlight w:val="none"/>
                      <w:lang w:val="zh-CN"/>
                    </w:rPr>
                  </w:pPr>
                </w:p>
              </w:tc>
              <w:tc>
                <w:tcPr>
                  <w:tcW w:w="854" w:type="pct"/>
                  <w:vMerge w:val="continue"/>
                  <w:tcBorders>
                    <w:bottom w:val="single" w:color="auto" w:sz="12" w:space="0"/>
                  </w:tcBorders>
                  <w:vAlign w:val="center"/>
                </w:tcPr>
                <w:p w14:paraId="656B28A7">
                  <w:pPr>
                    <w:spacing w:line="240" w:lineRule="atLeast"/>
                    <w:jc w:val="center"/>
                    <w:rPr>
                      <w:b/>
                      <w:color w:val="auto"/>
                      <w:szCs w:val="21"/>
                      <w:highlight w:val="none"/>
                      <w:lang w:val="zh-CN"/>
                    </w:rPr>
                  </w:pPr>
                </w:p>
              </w:tc>
              <w:tc>
                <w:tcPr>
                  <w:tcW w:w="531" w:type="pct"/>
                  <w:tcBorders>
                    <w:bottom w:val="single" w:color="auto" w:sz="12" w:space="0"/>
                  </w:tcBorders>
                  <w:vAlign w:val="center"/>
                </w:tcPr>
                <w:p w14:paraId="7787579D">
                  <w:pPr>
                    <w:spacing w:line="240" w:lineRule="atLeast"/>
                    <w:jc w:val="center"/>
                    <w:rPr>
                      <w:b/>
                      <w:color w:val="auto"/>
                      <w:szCs w:val="21"/>
                      <w:highlight w:val="none"/>
                      <w:lang w:val="zh-CN"/>
                    </w:rPr>
                  </w:pPr>
                  <w:r>
                    <w:rPr>
                      <w:b/>
                      <w:color w:val="auto"/>
                      <w:szCs w:val="21"/>
                      <w:highlight w:val="none"/>
                      <w:lang w:val="zh-CN"/>
                    </w:rPr>
                    <w:t>I</w:t>
                  </w:r>
                </w:p>
              </w:tc>
              <w:tc>
                <w:tcPr>
                  <w:tcW w:w="383" w:type="pct"/>
                  <w:tcBorders>
                    <w:bottom w:val="single" w:color="auto" w:sz="12" w:space="0"/>
                  </w:tcBorders>
                  <w:vAlign w:val="center"/>
                </w:tcPr>
                <w:p w14:paraId="34AA9F19">
                  <w:pPr>
                    <w:spacing w:line="240" w:lineRule="atLeast"/>
                    <w:jc w:val="center"/>
                    <w:rPr>
                      <w:b/>
                      <w:color w:val="auto"/>
                      <w:szCs w:val="21"/>
                      <w:highlight w:val="none"/>
                      <w:lang w:val="zh-CN"/>
                    </w:rPr>
                  </w:pPr>
                  <w:r>
                    <w:rPr>
                      <w:b/>
                      <w:color w:val="auto"/>
                      <w:szCs w:val="21"/>
                      <w:highlight w:val="none"/>
                      <w:lang w:val="zh-CN"/>
                    </w:rPr>
                    <w:t>II</w:t>
                  </w:r>
                </w:p>
              </w:tc>
              <w:tc>
                <w:tcPr>
                  <w:tcW w:w="378" w:type="pct"/>
                  <w:tcBorders>
                    <w:bottom w:val="single" w:color="auto" w:sz="12" w:space="0"/>
                  </w:tcBorders>
                  <w:vAlign w:val="center"/>
                </w:tcPr>
                <w:p w14:paraId="2F34821C">
                  <w:pPr>
                    <w:spacing w:line="240" w:lineRule="atLeast"/>
                    <w:jc w:val="center"/>
                    <w:rPr>
                      <w:b/>
                      <w:color w:val="auto"/>
                      <w:szCs w:val="21"/>
                      <w:highlight w:val="none"/>
                      <w:lang w:val="zh-CN"/>
                    </w:rPr>
                  </w:pPr>
                  <w:r>
                    <w:rPr>
                      <w:b/>
                      <w:color w:val="auto"/>
                      <w:szCs w:val="21"/>
                      <w:highlight w:val="none"/>
                      <w:lang w:val="zh-CN"/>
                    </w:rPr>
                    <w:t>III</w:t>
                  </w:r>
                </w:p>
              </w:tc>
              <w:tc>
                <w:tcPr>
                  <w:tcW w:w="378" w:type="pct"/>
                  <w:tcBorders>
                    <w:bottom w:val="single" w:color="auto" w:sz="12" w:space="0"/>
                  </w:tcBorders>
                  <w:vAlign w:val="center"/>
                </w:tcPr>
                <w:p w14:paraId="02238C1B">
                  <w:pPr>
                    <w:spacing w:line="240" w:lineRule="atLeast"/>
                    <w:jc w:val="center"/>
                    <w:rPr>
                      <w:b/>
                      <w:color w:val="auto"/>
                      <w:szCs w:val="21"/>
                      <w:highlight w:val="none"/>
                      <w:lang w:val="zh-CN"/>
                    </w:rPr>
                  </w:pPr>
                  <w:r>
                    <w:rPr>
                      <w:b/>
                      <w:color w:val="auto"/>
                      <w:szCs w:val="21"/>
                      <w:highlight w:val="none"/>
                      <w:lang w:val="zh-CN"/>
                    </w:rPr>
                    <w:t>I</w:t>
                  </w:r>
                </w:p>
              </w:tc>
              <w:tc>
                <w:tcPr>
                  <w:tcW w:w="378" w:type="pct"/>
                  <w:tcBorders>
                    <w:bottom w:val="single" w:color="auto" w:sz="12" w:space="0"/>
                  </w:tcBorders>
                  <w:vAlign w:val="center"/>
                </w:tcPr>
                <w:p w14:paraId="4B773BEA">
                  <w:pPr>
                    <w:spacing w:line="240" w:lineRule="atLeast"/>
                    <w:jc w:val="center"/>
                    <w:rPr>
                      <w:b/>
                      <w:color w:val="auto"/>
                      <w:szCs w:val="21"/>
                      <w:highlight w:val="none"/>
                      <w:lang w:val="zh-CN"/>
                    </w:rPr>
                  </w:pPr>
                  <w:r>
                    <w:rPr>
                      <w:b/>
                      <w:color w:val="auto"/>
                      <w:szCs w:val="21"/>
                      <w:highlight w:val="none"/>
                      <w:lang w:val="zh-CN"/>
                    </w:rPr>
                    <w:t>II</w:t>
                  </w:r>
                </w:p>
              </w:tc>
              <w:tc>
                <w:tcPr>
                  <w:tcW w:w="379" w:type="pct"/>
                  <w:tcBorders>
                    <w:bottom w:val="single" w:color="auto" w:sz="12" w:space="0"/>
                  </w:tcBorders>
                  <w:vAlign w:val="center"/>
                </w:tcPr>
                <w:p w14:paraId="5B356AF8">
                  <w:pPr>
                    <w:spacing w:line="240" w:lineRule="atLeast"/>
                    <w:jc w:val="center"/>
                    <w:rPr>
                      <w:b/>
                      <w:color w:val="auto"/>
                      <w:szCs w:val="21"/>
                      <w:highlight w:val="none"/>
                      <w:lang w:val="zh-CN"/>
                    </w:rPr>
                  </w:pPr>
                  <w:r>
                    <w:rPr>
                      <w:b/>
                      <w:color w:val="auto"/>
                      <w:szCs w:val="21"/>
                      <w:highlight w:val="none"/>
                      <w:lang w:val="zh-CN"/>
                    </w:rPr>
                    <w:t>III</w:t>
                  </w:r>
                </w:p>
              </w:tc>
              <w:tc>
                <w:tcPr>
                  <w:tcW w:w="378" w:type="pct"/>
                  <w:tcBorders>
                    <w:bottom w:val="single" w:color="auto" w:sz="12" w:space="0"/>
                  </w:tcBorders>
                  <w:vAlign w:val="center"/>
                </w:tcPr>
                <w:p w14:paraId="7826FBAC">
                  <w:pPr>
                    <w:spacing w:line="240" w:lineRule="atLeast"/>
                    <w:jc w:val="center"/>
                    <w:rPr>
                      <w:b/>
                      <w:color w:val="auto"/>
                      <w:szCs w:val="21"/>
                      <w:highlight w:val="none"/>
                      <w:lang w:val="zh-CN"/>
                    </w:rPr>
                  </w:pPr>
                  <w:r>
                    <w:rPr>
                      <w:b/>
                      <w:color w:val="auto"/>
                      <w:szCs w:val="21"/>
                      <w:highlight w:val="none"/>
                      <w:lang w:val="zh-CN"/>
                    </w:rPr>
                    <w:t>I</w:t>
                  </w:r>
                </w:p>
              </w:tc>
              <w:tc>
                <w:tcPr>
                  <w:tcW w:w="378" w:type="pct"/>
                  <w:tcBorders>
                    <w:bottom w:val="single" w:color="auto" w:sz="12" w:space="0"/>
                  </w:tcBorders>
                  <w:vAlign w:val="center"/>
                </w:tcPr>
                <w:p w14:paraId="2968A3E8">
                  <w:pPr>
                    <w:spacing w:line="240" w:lineRule="atLeast"/>
                    <w:jc w:val="center"/>
                    <w:rPr>
                      <w:b/>
                      <w:color w:val="auto"/>
                      <w:szCs w:val="21"/>
                      <w:highlight w:val="none"/>
                      <w:lang w:val="zh-CN"/>
                    </w:rPr>
                  </w:pPr>
                  <w:r>
                    <w:rPr>
                      <w:b/>
                      <w:color w:val="auto"/>
                      <w:szCs w:val="21"/>
                      <w:highlight w:val="none"/>
                      <w:lang w:val="zh-CN"/>
                    </w:rPr>
                    <w:t>II</w:t>
                  </w:r>
                </w:p>
              </w:tc>
              <w:tc>
                <w:tcPr>
                  <w:tcW w:w="378" w:type="pct"/>
                  <w:tcBorders>
                    <w:bottom w:val="single" w:color="auto" w:sz="12" w:space="0"/>
                  </w:tcBorders>
                  <w:vAlign w:val="center"/>
                </w:tcPr>
                <w:p w14:paraId="1D89155A">
                  <w:pPr>
                    <w:spacing w:line="240" w:lineRule="atLeast"/>
                    <w:jc w:val="center"/>
                    <w:rPr>
                      <w:b/>
                      <w:color w:val="auto"/>
                      <w:szCs w:val="21"/>
                      <w:highlight w:val="none"/>
                      <w:lang w:val="zh-CN"/>
                    </w:rPr>
                  </w:pPr>
                  <w:r>
                    <w:rPr>
                      <w:b/>
                      <w:color w:val="auto"/>
                      <w:szCs w:val="21"/>
                      <w:highlight w:val="none"/>
                      <w:lang w:val="zh-CN"/>
                    </w:rPr>
                    <w:t>III</w:t>
                  </w:r>
                </w:p>
              </w:tc>
            </w:tr>
            <w:tr w14:paraId="56CC54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584" w:type="pct"/>
                  <w:vMerge w:val="restart"/>
                  <w:tcBorders>
                    <w:top w:val="single" w:color="auto" w:sz="12" w:space="0"/>
                  </w:tcBorders>
                  <w:vAlign w:val="center"/>
                </w:tcPr>
                <w:p w14:paraId="3D060BFE">
                  <w:pPr>
                    <w:spacing w:line="240" w:lineRule="atLeast"/>
                    <w:jc w:val="center"/>
                    <w:rPr>
                      <w:bCs/>
                      <w:color w:val="auto"/>
                      <w:szCs w:val="21"/>
                      <w:highlight w:val="none"/>
                      <w:lang w:val="zh-CN"/>
                    </w:rPr>
                  </w:pPr>
                  <w:r>
                    <w:rPr>
                      <w:bCs/>
                      <w:color w:val="auto"/>
                      <w:szCs w:val="21"/>
                      <w:highlight w:val="none"/>
                      <w:lang w:val="zh-CN"/>
                    </w:rPr>
                    <w:t>A</w:t>
                  </w:r>
                </w:p>
              </w:tc>
              <w:tc>
                <w:tcPr>
                  <w:tcW w:w="854" w:type="pct"/>
                  <w:tcBorders>
                    <w:top w:val="single" w:color="auto" w:sz="12" w:space="0"/>
                  </w:tcBorders>
                  <w:vAlign w:val="center"/>
                </w:tcPr>
                <w:p w14:paraId="2DCE0F9C">
                  <w:pPr>
                    <w:spacing w:line="240" w:lineRule="atLeast"/>
                    <w:jc w:val="center"/>
                    <w:rPr>
                      <w:bCs/>
                      <w:color w:val="auto"/>
                      <w:szCs w:val="21"/>
                      <w:highlight w:val="none"/>
                      <w:lang w:val="zh-CN"/>
                    </w:rPr>
                  </w:pPr>
                  <w:r>
                    <w:rPr>
                      <w:bCs/>
                      <w:color w:val="auto"/>
                      <w:szCs w:val="21"/>
                      <w:highlight w:val="none"/>
                      <w:lang w:val="zh-CN"/>
                    </w:rPr>
                    <w:t>&lt;2</w:t>
                  </w:r>
                </w:p>
              </w:tc>
              <w:tc>
                <w:tcPr>
                  <w:tcW w:w="531" w:type="pct"/>
                  <w:tcBorders>
                    <w:top w:val="single" w:color="auto" w:sz="12" w:space="0"/>
                  </w:tcBorders>
                  <w:shd w:val="clear" w:color="auto" w:fill="auto"/>
                  <w:vAlign w:val="center"/>
                </w:tcPr>
                <w:p w14:paraId="2DB8EBAB">
                  <w:pPr>
                    <w:spacing w:line="240" w:lineRule="atLeast"/>
                    <w:jc w:val="center"/>
                    <w:rPr>
                      <w:bCs/>
                      <w:color w:val="auto"/>
                      <w:szCs w:val="21"/>
                      <w:highlight w:val="none"/>
                      <w:lang w:val="zh-CN"/>
                    </w:rPr>
                  </w:pPr>
                  <w:r>
                    <w:rPr>
                      <w:bCs/>
                      <w:color w:val="auto"/>
                      <w:szCs w:val="21"/>
                      <w:highlight w:val="none"/>
                      <w:lang w:val="zh-CN"/>
                    </w:rPr>
                    <w:t>400</w:t>
                  </w:r>
                </w:p>
              </w:tc>
              <w:tc>
                <w:tcPr>
                  <w:tcW w:w="383" w:type="pct"/>
                  <w:tcBorders>
                    <w:top w:val="single" w:color="auto" w:sz="12" w:space="0"/>
                  </w:tcBorders>
                  <w:shd w:val="clear" w:color="auto" w:fill="auto"/>
                  <w:vAlign w:val="center"/>
                </w:tcPr>
                <w:p w14:paraId="4DDE0E68">
                  <w:pPr>
                    <w:spacing w:line="240" w:lineRule="atLeast"/>
                    <w:jc w:val="center"/>
                    <w:rPr>
                      <w:bCs/>
                      <w:color w:val="auto"/>
                      <w:szCs w:val="21"/>
                      <w:highlight w:val="none"/>
                      <w:lang w:val="zh-CN"/>
                    </w:rPr>
                  </w:pPr>
                  <w:r>
                    <w:rPr>
                      <w:bCs/>
                      <w:color w:val="auto"/>
                      <w:szCs w:val="21"/>
                      <w:highlight w:val="none"/>
                      <w:lang w:val="zh-CN"/>
                    </w:rPr>
                    <w:t>400</w:t>
                  </w:r>
                </w:p>
              </w:tc>
              <w:tc>
                <w:tcPr>
                  <w:tcW w:w="378" w:type="pct"/>
                  <w:tcBorders>
                    <w:top w:val="single" w:color="auto" w:sz="12" w:space="0"/>
                  </w:tcBorders>
                  <w:shd w:val="clear" w:color="auto" w:fill="auto"/>
                  <w:vAlign w:val="center"/>
                </w:tcPr>
                <w:p w14:paraId="4FB1C904">
                  <w:pPr>
                    <w:spacing w:line="240" w:lineRule="atLeast"/>
                    <w:jc w:val="center"/>
                    <w:rPr>
                      <w:bCs/>
                      <w:color w:val="auto"/>
                      <w:szCs w:val="21"/>
                      <w:highlight w:val="none"/>
                      <w:lang w:val="zh-CN"/>
                    </w:rPr>
                  </w:pPr>
                  <w:r>
                    <w:rPr>
                      <w:bCs/>
                      <w:color w:val="auto"/>
                      <w:szCs w:val="21"/>
                      <w:highlight w:val="none"/>
                      <w:lang w:val="zh-CN"/>
                    </w:rPr>
                    <w:t>400</w:t>
                  </w:r>
                </w:p>
              </w:tc>
              <w:tc>
                <w:tcPr>
                  <w:tcW w:w="378" w:type="pct"/>
                  <w:tcBorders>
                    <w:top w:val="single" w:color="auto" w:sz="12" w:space="0"/>
                  </w:tcBorders>
                  <w:vAlign w:val="center"/>
                </w:tcPr>
                <w:p w14:paraId="16C01B7C">
                  <w:pPr>
                    <w:spacing w:line="240" w:lineRule="atLeast"/>
                    <w:jc w:val="center"/>
                    <w:rPr>
                      <w:bCs/>
                      <w:color w:val="auto"/>
                      <w:szCs w:val="21"/>
                      <w:highlight w:val="none"/>
                      <w:lang w:val="zh-CN"/>
                    </w:rPr>
                  </w:pPr>
                  <w:r>
                    <w:rPr>
                      <w:bCs/>
                      <w:color w:val="auto"/>
                      <w:szCs w:val="21"/>
                      <w:highlight w:val="none"/>
                      <w:lang w:val="zh-CN"/>
                    </w:rPr>
                    <w:t>400</w:t>
                  </w:r>
                </w:p>
              </w:tc>
              <w:tc>
                <w:tcPr>
                  <w:tcW w:w="378" w:type="pct"/>
                  <w:tcBorders>
                    <w:top w:val="single" w:color="auto" w:sz="12" w:space="0"/>
                  </w:tcBorders>
                  <w:vAlign w:val="center"/>
                </w:tcPr>
                <w:p w14:paraId="6357D944">
                  <w:pPr>
                    <w:spacing w:line="240" w:lineRule="atLeast"/>
                    <w:jc w:val="center"/>
                    <w:rPr>
                      <w:bCs/>
                      <w:color w:val="auto"/>
                      <w:szCs w:val="21"/>
                      <w:highlight w:val="none"/>
                      <w:lang w:val="zh-CN"/>
                    </w:rPr>
                  </w:pPr>
                  <w:r>
                    <w:rPr>
                      <w:bCs/>
                      <w:color w:val="auto"/>
                      <w:szCs w:val="21"/>
                      <w:highlight w:val="none"/>
                      <w:lang w:val="zh-CN"/>
                    </w:rPr>
                    <w:t>400</w:t>
                  </w:r>
                </w:p>
              </w:tc>
              <w:tc>
                <w:tcPr>
                  <w:tcW w:w="379" w:type="pct"/>
                  <w:tcBorders>
                    <w:top w:val="single" w:color="auto" w:sz="12" w:space="0"/>
                  </w:tcBorders>
                  <w:vAlign w:val="center"/>
                </w:tcPr>
                <w:p w14:paraId="385F4118">
                  <w:pPr>
                    <w:spacing w:line="240" w:lineRule="atLeast"/>
                    <w:jc w:val="center"/>
                    <w:rPr>
                      <w:bCs/>
                      <w:color w:val="auto"/>
                      <w:szCs w:val="21"/>
                      <w:highlight w:val="none"/>
                      <w:lang w:val="zh-CN"/>
                    </w:rPr>
                  </w:pPr>
                  <w:r>
                    <w:rPr>
                      <w:bCs/>
                      <w:color w:val="auto"/>
                      <w:szCs w:val="21"/>
                      <w:highlight w:val="none"/>
                      <w:lang w:val="zh-CN"/>
                    </w:rPr>
                    <w:t>400</w:t>
                  </w:r>
                </w:p>
              </w:tc>
              <w:tc>
                <w:tcPr>
                  <w:tcW w:w="378" w:type="pct"/>
                  <w:tcBorders>
                    <w:top w:val="single" w:color="auto" w:sz="12" w:space="0"/>
                  </w:tcBorders>
                  <w:vAlign w:val="center"/>
                </w:tcPr>
                <w:p w14:paraId="09FBA1A0">
                  <w:pPr>
                    <w:spacing w:line="240" w:lineRule="atLeast"/>
                    <w:jc w:val="center"/>
                    <w:rPr>
                      <w:bCs/>
                      <w:color w:val="auto"/>
                      <w:szCs w:val="21"/>
                      <w:highlight w:val="none"/>
                      <w:lang w:val="zh-CN"/>
                    </w:rPr>
                  </w:pPr>
                  <w:r>
                    <w:rPr>
                      <w:bCs/>
                      <w:color w:val="auto"/>
                      <w:szCs w:val="21"/>
                      <w:highlight w:val="none"/>
                      <w:lang w:val="zh-CN"/>
                    </w:rPr>
                    <w:t>80</w:t>
                  </w:r>
                </w:p>
              </w:tc>
              <w:tc>
                <w:tcPr>
                  <w:tcW w:w="378" w:type="pct"/>
                  <w:tcBorders>
                    <w:top w:val="single" w:color="auto" w:sz="12" w:space="0"/>
                  </w:tcBorders>
                  <w:vAlign w:val="center"/>
                </w:tcPr>
                <w:p w14:paraId="6C59EB98">
                  <w:pPr>
                    <w:spacing w:line="240" w:lineRule="atLeast"/>
                    <w:jc w:val="center"/>
                    <w:rPr>
                      <w:bCs/>
                      <w:color w:val="auto"/>
                      <w:szCs w:val="21"/>
                      <w:highlight w:val="none"/>
                      <w:lang w:val="zh-CN"/>
                    </w:rPr>
                  </w:pPr>
                  <w:r>
                    <w:rPr>
                      <w:bCs/>
                      <w:color w:val="auto"/>
                      <w:szCs w:val="21"/>
                      <w:highlight w:val="none"/>
                      <w:lang w:val="zh-CN"/>
                    </w:rPr>
                    <w:t>80</w:t>
                  </w:r>
                </w:p>
              </w:tc>
              <w:tc>
                <w:tcPr>
                  <w:tcW w:w="378" w:type="pct"/>
                  <w:tcBorders>
                    <w:top w:val="single" w:color="auto" w:sz="12" w:space="0"/>
                  </w:tcBorders>
                  <w:vAlign w:val="center"/>
                </w:tcPr>
                <w:p w14:paraId="10EE6C1C">
                  <w:pPr>
                    <w:spacing w:line="240" w:lineRule="atLeast"/>
                    <w:jc w:val="center"/>
                    <w:rPr>
                      <w:bCs/>
                      <w:color w:val="auto"/>
                      <w:szCs w:val="21"/>
                      <w:highlight w:val="none"/>
                      <w:lang w:val="zh-CN"/>
                    </w:rPr>
                  </w:pPr>
                  <w:r>
                    <w:rPr>
                      <w:bCs/>
                      <w:color w:val="auto"/>
                      <w:szCs w:val="21"/>
                      <w:highlight w:val="none"/>
                      <w:lang w:val="zh-CN"/>
                    </w:rPr>
                    <w:t>80</w:t>
                  </w:r>
                </w:p>
              </w:tc>
            </w:tr>
            <w:tr w14:paraId="25BEC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584" w:type="pct"/>
                  <w:vMerge w:val="continue"/>
                  <w:shd w:val="clear" w:color="auto" w:fill="auto"/>
                  <w:vAlign w:val="center"/>
                </w:tcPr>
                <w:p w14:paraId="483EC814">
                  <w:pPr>
                    <w:spacing w:line="240" w:lineRule="atLeast"/>
                    <w:jc w:val="center"/>
                    <w:rPr>
                      <w:bCs/>
                      <w:color w:val="auto"/>
                      <w:szCs w:val="21"/>
                      <w:highlight w:val="none"/>
                      <w:lang w:val="zh-CN"/>
                    </w:rPr>
                  </w:pPr>
                </w:p>
              </w:tc>
              <w:tc>
                <w:tcPr>
                  <w:tcW w:w="854" w:type="pct"/>
                  <w:shd w:val="clear" w:color="auto" w:fill="auto"/>
                  <w:vAlign w:val="center"/>
                </w:tcPr>
                <w:p w14:paraId="7C411261">
                  <w:pPr>
                    <w:spacing w:line="240" w:lineRule="atLeast"/>
                    <w:jc w:val="center"/>
                    <w:rPr>
                      <w:bCs/>
                      <w:color w:val="auto"/>
                      <w:szCs w:val="21"/>
                      <w:highlight w:val="none"/>
                      <w:lang w:val="zh-CN"/>
                    </w:rPr>
                  </w:pPr>
                  <w:r>
                    <w:rPr>
                      <w:bCs/>
                      <w:color w:val="auto"/>
                      <w:szCs w:val="21"/>
                      <w:highlight w:val="none"/>
                      <w:lang w:val="zh-CN"/>
                    </w:rPr>
                    <w:t>2-4</w:t>
                  </w:r>
                </w:p>
              </w:tc>
              <w:tc>
                <w:tcPr>
                  <w:tcW w:w="531" w:type="pct"/>
                  <w:shd w:val="clear" w:color="auto" w:fill="auto"/>
                  <w:vAlign w:val="center"/>
                </w:tcPr>
                <w:p w14:paraId="784F57D2">
                  <w:pPr>
                    <w:spacing w:line="240" w:lineRule="atLeast"/>
                    <w:jc w:val="center"/>
                    <w:rPr>
                      <w:bCs/>
                      <w:color w:val="auto"/>
                      <w:szCs w:val="21"/>
                      <w:highlight w:val="none"/>
                      <w:lang w:val="zh-CN"/>
                    </w:rPr>
                  </w:pPr>
                  <w:r>
                    <w:rPr>
                      <w:bCs/>
                      <w:color w:val="auto"/>
                      <w:szCs w:val="21"/>
                      <w:highlight w:val="none"/>
                      <w:lang w:val="zh-CN"/>
                    </w:rPr>
                    <w:t>700</w:t>
                  </w:r>
                </w:p>
              </w:tc>
              <w:tc>
                <w:tcPr>
                  <w:tcW w:w="383" w:type="pct"/>
                  <w:shd w:val="clear" w:color="auto" w:fill="auto"/>
                  <w:vAlign w:val="center"/>
                </w:tcPr>
                <w:p w14:paraId="2BDCEB0F">
                  <w:pPr>
                    <w:spacing w:line="240" w:lineRule="atLeast"/>
                    <w:jc w:val="center"/>
                    <w:rPr>
                      <w:bCs/>
                      <w:color w:val="auto"/>
                      <w:szCs w:val="21"/>
                      <w:highlight w:val="none"/>
                      <w:lang w:val="zh-CN"/>
                    </w:rPr>
                  </w:pPr>
                  <w:r>
                    <w:rPr>
                      <w:bCs/>
                      <w:color w:val="auto"/>
                      <w:szCs w:val="21"/>
                      <w:highlight w:val="none"/>
                      <w:lang w:val="zh-CN"/>
                    </w:rPr>
                    <w:t>470</w:t>
                  </w:r>
                </w:p>
              </w:tc>
              <w:tc>
                <w:tcPr>
                  <w:tcW w:w="378" w:type="pct"/>
                  <w:shd w:val="clear" w:color="auto" w:fill="auto"/>
                  <w:vAlign w:val="center"/>
                </w:tcPr>
                <w:p w14:paraId="559DB3B6">
                  <w:pPr>
                    <w:spacing w:line="240" w:lineRule="atLeast"/>
                    <w:jc w:val="center"/>
                    <w:rPr>
                      <w:bCs/>
                      <w:color w:val="auto"/>
                      <w:szCs w:val="21"/>
                      <w:highlight w:val="none"/>
                      <w:lang w:val="zh-CN"/>
                    </w:rPr>
                  </w:pPr>
                  <w:r>
                    <w:rPr>
                      <w:bCs/>
                      <w:color w:val="auto"/>
                      <w:szCs w:val="21"/>
                      <w:highlight w:val="none"/>
                      <w:lang w:val="zh-CN"/>
                    </w:rPr>
                    <w:t>350</w:t>
                  </w:r>
                </w:p>
              </w:tc>
              <w:tc>
                <w:tcPr>
                  <w:tcW w:w="378" w:type="pct"/>
                  <w:vAlign w:val="center"/>
                </w:tcPr>
                <w:p w14:paraId="440BED4B">
                  <w:pPr>
                    <w:spacing w:line="240" w:lineRule="atLeast"/>
                    <w:jc w:val="center"/>
                    <w:rPr>
                      <w:bCs/>
                      <w:color w:val="auto"/>
                      <w:szCs w:val="21"/>
                      <w:highlight w:val="none"/>
                      <w:lang w:val="zh-CN"/>
                    </w:rPr>
                  </w:pPr>
                  <w:r>
                    <w:rPr>
                      <w:bCs/>
                      <w:color w:val="auto"/>
                      <w:szCs w:val="21"/>
                      <w:highlight w:val="none"/>
                      <w:lang w:val="zh-CN"/>
                    </w:rPr>
                    <w:t>700</w:t>
                  </w:r>
                </w:p>
              </w:tc>
              <w:tc>
                <w:tcPr>
                  <w:tcW w:w="378" w:type="pct"/>
                  <w:vAlign w:val="center"/>
                </w:tcPr>
                <w:p w14:paraId="327976F2">
                  <w:pPr>
                    <w:spacing w:line="240" w:lineRule="atLeast"/>
                    <w:jc w:val="center"/>
                    <w:rPr>
                      <w:bCs/>
                      <w:color w:val="auto"/>
                      <w:szCs w:val="21"/>
                      <w:highlight w:val="none"/>
                      <w:lang w:val="zh-CN"/>
                    </w:rPr>
                  </w:pPr>
                  <w:r>
                    <w:rPr>
                      <w:bCs/>
                      <w:color w:val="auto"/>
                      <w:szCs w:val="21"/>
                      <w:highlight w:val="none"/>
                      <w:lang w:val="zh-CN"/>
                    </w:rPr>
                    <w:t>470</w:t>
                  </w:r>
                </w:p>
              </w:tc>
              <w:tc>
                <w:tcPr>
                  <w:tcW w:w="379" w:type="pct"/>
                  <w:vAlign w:val="center"/>
                </w:tcPr>
                <w:p w14:paraId="0AB423B8">
                  <w:pPr>
                    <w:spacing w:line="240" w:lineRule="atLeast"/>
                    <w:jc w:val="center"/>
                    <w:rPr>
                      <w:bCs/>
                      <w:color w:val="auto"/>
                      <w:szCs w:val="21"/>
                      <w:highlight w:val="none"/>
                      <w:lang w:val="zh-CN"/>
                    </w:rPr>
                  </w:pPr>
                  <w:r>
                    <w:rPr>
                      <w:bCs/>
                      <w:color w:val="auto"/>
                      <w:szCs w:val="21"/>
                      <w:highlight w:val="none"/>
                      <w:lang w:val="zh-CN"/>
                    </w:rPr>
                    <w:t>350</w:t>
                  </w:r>
                </w:p>
              </w:tc>
              <w:tc>
                <w:tcPr>
                  <w:tcW w:w="378" w:type="pct"/>
                  <w:vAlign w:val="center"/>
                </w:tcPr>
                <w:p w14:paraId="2E978430">
                  <w:pPr>
                    <w:spacing w:line="240" w:lineRule="atLeast"/>
                    <w:jc w:val="center"/>
                    <w:rPr>
                      <w:bCs/>
                      <w:color w:val="auto"/>
                      <w:szCs w:val="21"/>
                      <w:highlight w:val="none"/>
                      <w:lang w:val="zh-CN"/>
                    </w:rPr>
                  </w:pPr>
                  <w:r>
                    <w:rPr>
                      <w:bCs/>
                      <w:color w:val="auto"/>
                      <w:szCs w:val="21"/>
                      <w:highlight w:val="none"/>
                      <w:lang w:val="zh-CN"/>
                    </w:rPr>
                    <w:t>380</w:t>
                  </w:r>
                </w:p>
              </w:tc>
              <w:tc>
                <w:tcPr>
                  <w:tcW w:w="378" w:type="pct"/>
                  <w:vAlign w:val="center"/>
                </w:tcPr>
                <w:p w14:paraId="62553516">
                  <w:pPr>
                    <w:spacing w:line="240" w:lineRule="atLeast"/>
                    <w:jc w:val="center"/>
                    <w:rPr>
                      <w:bCs/>
                      <w:color w:val="auto"/>
                      <w:szCs w:val="21"/>
                      <w:highlight w:val="none"/>
                      <w:lang w:val="zh-CN"/>
                    </w:rPr>
                  </w:pPr>
                  <w:r>
                    <w:rPr>
                      <w:bCs/>
                      <w:color w:val="auto"/>
                      <w:szCs w:val="21"/>
                      <w:highlight w:val="none"/>
                      <w:lang w:val="zh-CN"/>
                    </w:rPr>
                    <w:t>250</w:t>
                  </w:r>
                </w:p>
              </w:tc>
              <w:tc>
                <w:tcPr>
                  <w:tcW w:w="378" w:type="pct"/>
                  <w:vAlign w:val="center"/>
                </w:tcPr>
                <w:p w14:paraId="24C44249">
                  <w:pPr>
                    <w:spacing w:line="240" w:lineRule="atLeast"/>
                    <w:jc w:val="center"/>
                    <w:rPr>
                      <w:bCs/>
                      <w:color w:val="auto"/>
                      <w:szCs w:val="21"/>
                      <w:highlight w:val="none"/>
                      <w:lang w:val="zh-CN"/>
                    </w:rPr>
                  </w:pPr>
                  <w:r>
                    <w:rPr>
                      <w:bCs/>
                      <w:color w:val="auto"/>
                      <w:szCs w:val="21"/>
                      <w:highlight w:val="none"/>
                      <w:lang w:val="zh-CN"/>
                    </w:rPr>
                    <w:t>190</w:t>
                  </w:r>
                </w:p>
              </w:tc>
            </w:tr>
            <w:tr w14:paraId="342FA6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584" w:type="pct"/>
                  <w:vMerge w:val="continue"/>
                  <w:vAlign w:val="center"/>
                </w:tcPr>
                <w:p w14:paraId="0AB6DE35">
                  <w:pPr>
                    <w:spacing w:line="240" w:lineRule="atLeast"/>
                    <w:jc w:val="center"/>
                    <w:rPr>
                      <w:bCs/>
                      <w:color w:val="auto"/>
                      <w:szCs w:val="21"/>
                      <w:highlight w:val="none"/>
                      <w:lang w:val="zh-CN"/>
                    </w:rPr>
                  </w:pPr>
                </w:p>
              </w:tc>
              <w:tc>
                <w:tcPr>
                  <w:tcW w:w="854" w:type="pct"/>
                  <w:vAlign w:val="center"/>
                </w:tcPr>
                <w:p w14:paraId="565A9931">
                  <w:pPr>
                    <w:spacing w:line="240" w:lineRule="atLeast"/>
                    <w:jc w:val="center"/>
                    <w:rPr>
                      <w:bCs/>
                      <w:color w:val="auto"/>
                      <w:szCs w:val="21"/>
                      <w:highlight w:val="none"/>
                      <w:lang w:val="zh-CN"/>
                    </w:rPr>
                  </w:pPr>
                  <w:r>
                    <w:rPr>
                      <w:bCs/>
                      <w:color w:val="auto"/>
                      <w:szCs w:val="21"/>
                      <w:highlight w:val="none"/>
                      <w:lang w:val="zh-CN"/>
                    </w:rPr>
                    <w:t>&gt;4</w:t>
                  </w:r>
                </w:p>
              </w:tc>
              <w:tc>
                <w:tcPr>
                  <w:tcW w:w="531" w:type="pct"/>
                  <w:shd w:val="clear" w:color="auto" w:fill="auto"/>
                  <w:vAlign w:val="center"/>
                </w:tcPr>
                <w:p w14:paraId="20C3A33F">
                  <w:pPr>
                    <w:spacing w:line="240" w:lineRule="atLeast"/>
                    <w:jc w:val="center"/>
                    <w:rPr>
                      <w:bCs/>
                      <w:color w:val="auto"/>
                      <w:szCs w:val="21"/>
                      <w:highlight w:val="none"/>
                      <w:lang w:val="zh-CN"/>
                    </w:rPr>
                  </w:pPr>
                  <w:r>
                    <w:rPr>
                      <w:bCs/>
                      <w:color w:val="auto"/>
                      <w:szCs w:val="21"/>
                      <w:highlight w:val="none"/>
                      <w:lang w:val="zh-CN"/>
                    </w:rPr>
                    <w:t>530</w:t>
                  </w:r>
                </w:p>
              </w:tc>
              <w:tc>
                <w:tcPr>
                  <w:tcW w:w="383" w:type="pct"/>
                  <w:shd w:val="clear" w:color="auto" w:fill="auto"/>
                  <w:vAlign w:val="center"/>
                </w:tcPr>
                <w:p w14:paraId="23763A32">
                  <w:pPr>
                    <w:spacing w:line="240" w:lineRule="atLeast"/>
                    <w:jc w:val="center"/>
                    <w:rPr>
                      <w:bCs/>
                      <w:color w:val="auto"/>
                      <w:szCs w:val="21"/>
                      <w:highlight w:val="none"/>
                      <w:lang w:val="zh-CN"/>
                    </w:rPr>
                  </w:pPr>
                  <w:r>
                    <w:rPr>
                      <w:bCs/>
                      <w:color w:val="auto"/>
                      <w:szCs w:val="21"/>
                      <w:highlight w:val="none"/>
                      <w:lang w:val="zh-CN"/>
                    </w:rPr>
                    <w:t>350</w:t>
                  </w:r>
                </w:p>
              </w:tc>
              <w:tc>
                <w:tcPr>
                  <w:tcW w:w="378" w:type="pct"/>
                  <w:shd w:val="clear" w:color="auto" w:fill="auto"/>
                  <w:vAlign w:val="center"/>
                </w:tcPr>
                <w:p w14:paraId="7D59F1B3">
                  <w:pPr>
                    <w:spacing w:line="240" w:lineRule="atLeast"/>
                    <w:jc w:val="center"/>
                    <w:rPr>
                      <w:bCs/>
                      <w:color w:val="auto"/>
                      <w:szCs w:val="21"/>
                      <w:highlight w:val="none"/>
                      <w:lang w:val="zh-CN"/>
                    </w:rPr>
                  </w:pPr>
                  <w:r>
                    <w:rPr>
                      <w:bCs/>
                      <w:color w:val="auto"/>
                      <w:szCs w:val="21"/>
                      <w:highlight w:val="none"/>
                      <w:lang w:val="zh-CN"/>
                    </w:rPr>
                    <w:t>260</w:t>
                  </w:r>
                </w:p>
              </w:tc>
              <w:tc>
                <w:tcPr>
                  <w:tcW w:w="378" w:type="pct"/>
                  <w:vAlign w:val="center"/>
                </w:tcPr>
                <w:p w14:paraId="415CFBCB">
                  <w:pPr>
                    <w:spacing w:line="240" w:lineRule="atLeast"/>
                    <w:jc w:val="center"/>
                    <w:rPr>
                      <w:bCs/>
                      <w:color w:val="auto"/>
                      <w:szCs w:val="21"/>
                      <w:highlight w:val="none"/>
                      <w:lang w:val="zh-CN"/>
                    </w:rPr>
                  </w:pPr>
                  <w:r>
                    <w:rPr>
                      <w:bCs/>
                      <w:color w:val="auto"/>
                      <w:szCs w:val="21"/>
                      <w:highlight w:val="none"/>
                      <w:lang w:val="zh-CN"/>
                    </w:rPr>
                    <w:t>530</w:t>
                  </w:r>
                </w:p>
              </w:tc>
              <w:tc>
                <w:tcPr>
                  <w:tcW w:w="378" w:type="pct"/>
                  <w:vAlign w:val="center"/>
                </w:tcPr>
                <w:p w14:paraId="27788620">
                  <w:pPr>
                    <w:spacing w:line="240" w:lineRule="atLeast"/>
                    <w:jc w:val="center"/>
                    <w:rPr>
                      <w:bCs/>
                      <w:color w:val="auto"/>
                      <w:szCs w:val="21"/>
                      <w:highlight w:val="none"/>
                      <w:lang w:val="zh-CN"/>
                    </w:rPr>
                  </w:pPr>
                  <w:r>
                    <w:rPr>
                      <w:bCs/>
                      <w:color w:val="auto"/>
                      <w:szCs w:val="21"/>
                      <w:highlight w:val="none"/>
                      <w:lang w:val="zh-CN"/>
                    </w:rPr>
                    <w:t>350</w:t>
                  </w:r>
                </w:p>
              </w:tc>
              <w:tc>
                <w:tcPr>
                  <w:tcW w:w="379" w:type="pct"/>
                  <w:vAlign w:val="center"/>
                </w:tcPr>
                <w:p w14:paraId="1A3E8BB4">
                  <w:pPr>
                    <w:spacing w:line="240" w:lineRule="atLeast"/>
                    <w:jc w:val="center"/>
                    <w:rPr>
                      <w:bCs/>
                      <w:color w:val="auto"/>
                      <w:szCs w:val="21"/>
                      <w:highlight w:val="none"/>
                      <w:lang w:val="zh-CN"/>
                    </w:rPr>
                  </w:pPr>
                  <w:r>
                    <w:rPr>
                      <w:bCs/>
                      <w:color w:val="auto"/>
                      <w:szCs w:val="21"/>
                      <w:highlight w:val="none"/>
                      <w:lang w:val="zh-CN"/>
                    </w:rPr>
                    <w:t>260</w:t>
                  </w:r>
                </w:p>
              </w:tc>
              <w:tc>
                <w:tcPr>
                  <w:tcW w:w="378" w:type="pct"/>
                  <w:vAlign w:val="center"/>
                </w:tcPr>
                <w:p w14:paraId="49E3DF18">
                  <w:pPr>
                    <w:spacing w:line="240" w:lineRule="atLeast"/>
                    <w:jc w:val="center"/>
                    <w:rPr>
                      <w:bCs/>
                      <w:color w:val="auto"/>
                      <w:szCs w:val="21"/>
                      <w:highlight w:val="none"/>
                      <w:lang w:val="zh-CN"/>
                    </w:rPr>
                  </w:pPr>
                  <w:r>
                    <w:rPr>
                      <w:bCs/>
                      <w:color w:val="auto"/>
                      <w:szCs w:val="21"/>
                      <w:highlight w:val="none"/>
                      <w:lang w:val="zh-CN"/>
                    </w:rPr>
                    <w:t>290</w:t>
                  </w:r>
                </w:p>
              </w:tc>
              <w:tc>
                <w:tcPr>
                  <w:tcW w:w="378" w:type="pct"/>
                  <w:vAlign w:val="center"/>
                </w:tcPr>
                <w:p w14:paraId="35C909F1">
                  <w:pPr>
                    <w:spacing w:line="240" w:lineRule="atLeast"/>
                    <w:jc w:val="center"/>
                    <w:rPr>
                      <w:bCs/>
                      <w:color w:val="auto"/>
                      <w:szCs w:val="21"/>
                      <w:highlight w:val="none"/>
                      <w:lang w:val="zh-CN"/>
                    </w:rPr>
                  </w:pPr>
                  <w:r>
                    <w:rPr>
                      <w:bCs/>
                      <w:color w:val="auto"/>
                      <w:szCs w:val="21"/>
                      <w:highlight w:val="none"/>
                      <w:lang w:val="zh-CN"/>
                    </w:rPr>
                    <w:t>190</w:t>
                  </w:r>
                </w:p>
              </w:tc>
              <w:tc>
                <w:tcPr>
                  <w:tcW w:w="378" w:type="pct"/>
                  <w:vAlign w:val="center"/>
                </w:tcPr>
                <w:p w14:paraId="76BE2458">
                  <w:pPr>
                    <w:spacing w:line="240" w:lineRule="atLeast"/>
                    <w:jc w:val="center"/>
                    <w:rPr>
                      <w:bCs/>
                      <w:color w:val="auto"/>
                      <w:szCs w:val="21"/>
                      <w:highlight w:val="none"/>
                      <w:lang w:val="zh-CN"/>
                    </w:rPr>
                  </w:pPr>
                  <w:r>
                    <w:rPr>
                      <w:bCs/>
                      <w:color w:val="auto"/>
                      <w:szCs w:val="21"/>
                      <w:highlight w:val="none"/>
                      <w:lang w:val="zh-CN"/>
                    </w:rPr>
                    <w:t>110</w:t>
                  </w:r>
                </w:p>
              </w:tc>
            </w:tr>
            <w:tr w14:paraId="2DA17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584" w:type="pct"/>
                  <w:vMerge w:val="restart"/>
                  <w:vAlign w:val="center"/>
                </w:tcPr>
                <w:p w14:paraId="7C1BA844">
                  <w:pPr>
                    <w:spacing w:line="240" w:lineRule="atLeast"/>
                    <w:jc w:val="center"/>
                    <w:rPr>
                      <w:bCs/>
                      <w:color w:val="auto"/>
                      <w:szCs w:val="21"/>
                      <w:highlight w:val="none"/>
                      <w:lang w:val="zh-CN"/>
                    </w:rPr>
                  </w:pPr>
                  <w:r>
                    <w:rPr>
                      <w:bCs/>
                      <w:color w:val="auto"/>
                      <w:szCs w:val="21"/>
                      <w:highlight w:val="none"/>
                      <w:lang w:val="zh-CN"/>
                    </w:rPr>
                    <w:t>B</w:t>
                  </w:r>
                </w:p>
              </w:tc>
              <w:tc>
                <w:tcPr>
                  <w:tcW w:w="854" w:type="pct"/>
                  <w:vAlign w:val="center"/>
                </w:tcPr>
                <w:p w14:paraId="0C3330B4">
                  <w:pPr>
                    <w:spacing w:line="240" w:lineRule="atLeast"/>
                    <w:jc w:val="center"/>
                    <w:rPr>
                      <w:bCs/>
                      <w:color w:val="auto"/>
                      <w:szCs w:val="21"/>
                      <w:highlight w:val="none"/>
                      <w:lang w:val="zh-CN"/>
                    </w:rPr>
                  </w:pPr>
                  <w:r>
                    <w:rPr>
                      <w:bCs/>
                      <w:color w:val="auto"/>
                      <w:szCs w:val="21"/>
                      <w:highlight w:val="none"/>
                      <w:lang w:val="zh-CN"/>
                    </w:rPr>
                    <w:t>&lt;2</w:t>
                  </w:r>
                </w:p>
              </w:tc>
              <w:tc>
                <w:tcPr>
                  <w:tcW w:w="1292" w:type="pct"/>
                  <w:gridSpan w:val="3"/>
                  <w:shd w:val="clear" w:color="auto" w:fill="auto"/>
                  <w:vAlign w:val="center"/>
                </w:tcPr>
                <w:p w14:paraId="4EAC0B68">
                  <w:pPr>
                    <w:spacing w:line="240" w:lineRule="atLeast"/>
                    <w:jc w:val="center"/>
                    <w:rPr>
                      <w:bCs/>
                      <w:color w:val="auto"/>
                      <w:szCs w:val="21"/>
                      <w:highlight w:val="none"/>
                      <w:lang w:val="zh-CN"/>
                    </w:rPr>
                  </w:pPr>
                  <w:r>
                    <w:rPr>
                      <w:bCs/>
                      <w:color w:val="auto"/>
                      <w:szCs w:val="21"/>
                      <w:highlight w:val="none"/>
                      <w:lang w:val="zh-CN"/>
                    </w:rPr>
                    <w:t>0.01</w:t>
                  </w:r>
                </w:p>
              </w:tc>
              <w:tc>
                <w:tcPr>
                  <w:tcW w:w="1135" w:type="pct"/>
                  <w:gridSpan w:val="3"/>
                  <w:vAlign w:val="center"/>
                </w:tcPr>
                <w:p w14:paraId="22BF72EE">
                  <w:pPr>
                    <w:spacing w:line="240" w:lineRule="atLeast"/>
                    <w:jc w:val="center"/>
                    <w:rPr>
                      <w:bCs/>
                      <w:color w:val="auto"/>
                      <w:szCs w:val="21"/>
                      <w:highlight w:val="none"/>
                      <w:lang w:val="zh-CN"/>
                    </w:rPr>
                  </w:pPr>
                  <w:r>
                    <w:rPr>
                      <w:rFonts w:hint="eastAsia"/>
                      <w:bCs/>
                      <w:color w:val="auto"/>
                      <w:szCs w:val="21"/>
                      <w:highlight w:val="none"/>
                      <w:lang w:val="zh-CN"/>
                    </w:rPr>
                    <w:t>0.0085</w:t>
                  </w:r>
                </w:p>
              </w:tc>
              <w:tc>
                <w:tcPr>
                  <w:tcW w:w="1134" w:type="pct"/>
                  <w:gridSpan w:val="3"/>
                  <w:vAlign w:val="center"/>
                </w:tcPr>
                <w:p w14:paraId="193E9B00">
                  <w:pPr>
                    <w:spacing w:line="240" w:lineRule="atLeast"/>
                    <w:jc w:val="center"/>
                    <w:rPr>
                      <w:bCs/>
                      <w:color w:val="auto"/>
                      <w:szCs w:val="21"/>
                      <w:highlight w:val="none"/>
                      <w:lang w:val="zh-CN"/>
                    </w:rPr>
                  </w:pPr>
                  <w:r>
                    <w:rPr>
                      <w:rFonts w:hint="eastAsia"/>
                      <w:bCs/>
                      <w:color w:val="auto"/>
                      <w:szCs w:val="21"/>
                      <w:highlight w:val="none"/>
                      <w:lang w:val="zh-CN"/>
                    </w:rPr>
                    <w:t>0.0085</w:t>
                  </w:r>
                </w:p>
              </w:tc>
            </w:tr>
            <w:tr w14:paraId="42FEAE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584" w:type="pct"/>
                  <w:vMerge w:val="continue"/>
                  <w:shd w:val="clear" w:color="auto" w:fill="auto"/>
                  <w:vAlign w:val="center"/>
                </w:tcPr>
                <w:p w14:paraId="30FA9A1D">
                  <w:pPr>
                    <w:spacing w:line="240" w:lineRule="atLeast"/>
                    <w:jc w:val="center"/>
                    <w:rPr>
                      <w:bCs/>
                      <w:color w:val="auto"/>
                      <w:szCs w:val="21"/>
                      <w:highlight w:val="none"/>
                      <w:lang w:val="zh-CN"/>
                    </w:rPr>
                  </w:pPr>
                </w:p>
              </w:tc>
              <w:tc>
                <w:tcPr>
                  <w:tcW w:w="854" w:type="pct"/>
                  <w:shd w:val="clear" w:color="auto" w:fill="auto"/>
                  <w:vAlign w:val="center"/>
                </w:tcPr>
                <w:p w14:paraId="47809FA2">
                  <w:pPr>
                    <w:spacing w:line="240" w:lineRule="atLeast"/>
                    <w:jc w:val="center"/>
                    <w:rPr>
                      <w:bCs/>
                      <w:color w:val="auto"/>
                      <w:szCs w:val="21"/>
                      <w:highlight w:val="none"/>
                      <w:lang w:val="zh-CN"/>
                    </w:rPr>
                  </w:pPr>
                  <w:r>
                    <w:rPr>
                      <w:bCs/>
                      <w:color w:val="auto"/>
                      <w:szCs w:val="21"/>
                      <w:highlight w:val="none"/>
                      <w:lang w:val="zh-CN"/>
                    </w:rPr>
                    <w:t>&gt;2</w:t>
                  </w:r>
                </w:p>
              </w:tc>
              <w:tc>
                <w:tcPr>
                  <w:tcW w:w="1292" w:type="pct"/>
                  <w:gridSpan w:val="3"/>
                  <w:shd w:val="clear" w:color="auto" w:fill="auto"/>
                  <w:vAlign w:val="center"/>
                </w:tcPr>
                <w:p w14:paraId="5FDDCBF1">
                  <w:pPr>
                    <w:spacing w:line="240" w:lineRule="atLeast"/>
                    <w:jc w:val="center"/>
                    <w:rPr>
                      <w:bCs/>
                      <w:color w:val="auto"/>
                      <w:szCs w:val="21"/>
                      <w:highlight w:val="none"/>
                      <w:lang w:val="zh-CN"/>
                    </w:rPr>
                  </w:pPr>
                  <w:r>
                    <w:rPr>
                      <w:bCs/>
                      <w:color w:val="auto"/>
                      <w:szCs w:val="21"/>
                      <w:highlight w:val="none"/>
                      <w:lang w:val="zh-CN"/>
                    </w:rPr>
                    <w:t>0.021</w:t>
                  </w:r>
                </w:p>
              </w:tc>
              <w:tc>
                <w:tcPr>
                  <w:tcW w:w="1135" w:type="pct"/>
                  <w:gridSpan w:val="3"/>
                  <w:vAlign w:val="center"/>
                </w:tcPr>
                <w:p w14:paraId="27AE4529">
                  <w:pPr>
                    <w:spacing w:line="240" w:lineRule="atLeast"/>
                    <w:jc w:val="center"/>
                    <w:rPr>
                      <w:bCs/>
                      <w:color w:val="auto"/>
                      <w:szCs w:val="21"/>
                      <w:highlight w:val="none"/>
                      <w:lang w:val="zh-CN"/>
                    </w:rPr>
                  </w:pPr>
                  <w:r>
                    <w:rPr>
                      <w:bCs/>
                      <w:color w:val="auto"/>
                      <w:szCs w:val="21"/>
                      <w:highlight w:val="none"/>
                      <w:lang w:val="zh-CN"/>
                    </w:rPr>
                    <w:t>0.036</w:t>
                  </w:r>
                </w:p>
              </w:tc>
              <w:tc>
                <w:tcPr>
                  <w:tcW w:w="1134" w:type="pct"/>
                  <w:gridSpan w:val="3"/>
                  <w:vAlign w:val="center"/>
                </w:tcPr>
                <w:p w14:paraId="62CC98C1">
                  <w:pPr>
                    <w:spacing w:line="240" w:lineRule="atLeast"/>
                    <w:jc w:val="center"/>
                    <w:rPr>
                      <w:bCs/>
                      <w:color w:val="auto"/>
                      <w:szCs w:val="21"/>
                      <w:highlight w:val="none"/>
                      <w:lang w:val="zh-CN"/>
                    </w:rPr>
                  </w:pPr>
                  <w:r>
                    <w:rPr>
                      <w:bCs/>
                      <w:color w:val="auto"/>
                      <w:szCs w:val="21"/>
                      <w:highlight w:val="none"/>
                      <w:lang w:val="zh-CN"/>
                    </w:rPr>
                    <w:t>0.036</w:t>
                  </w:r>
                </w:p>
              </w:tc>
            </w:tr>
            <w:tr w14:paraId="408DD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584" w:type="pct"/>
                  <w:vMerge w:val="restart"/>
                  <w:vAlign w:val="center"/>
                </w:tcPr>
                <w:p w14:paraId="73C4D5A9">
                  <w:pPr>
                    <w:spacing w:line="240" w:lineRule="atLeast"/>
                    <w:jc w:val="center"/>
                    <w:rPr>
                      <w:bCs/>
                      <w:color w:val="auto"/>
                      <w:szCs w:val="21"/>
                      <w:highlight w:val="none"/>
                      <w:lang w:val="zh-CN"/>
                    </w:rPr>
                  </w:pPr>
                  <w:r>
                    <w:rPr>
                      <w:bCs/>
                      <w:color w:val="auto"/>
                      <w:szCs w:val="21"/>
                      <w:highlight w:val="none"/>
                      <w:lang w:val="zh-CN"/>
                    </w:rPr>
                    <w:t>C</w:t>
                  </w:r>
                </w:p>
              </w:tc>
              <w:tc>
                <w:tcPr>
                  <w:tcW w:w="854" w:type="pct"/>
                  <w:vAlign w:val="center"/>
                </w:tcPr>
                <w:p w14:paraId="74A7482A">
                  <w:pPr>
                    <w:spacing w:line="240" w:lineRule="atLeast"/>
                    <w:jc w:val="center"/>
                    <w:rPr>
                      <w:bCs/>
                      <w:color w:val="auto"/>
                      <w:szCs w:val="21"/>
                      <w:highlight w:val="none"/>
                      <w:lang w:val="zh-CN"/>
                    </w:rPr>
                  </w:pPr>
                  <w:r>
                    <w:rPr>
                      <w:bCs/>
                      <w:color w:val="auto"/>
                      <w:szCs w:val="21"/>
                      <w:highlight w:val="none"/>
                      <w:lang w:val="zh-CN"/>
                    </w:rPr>
                    <w:t>&lt;2</w:t>
                  </w:r>
                </w:p>
              </w:tc>
              <w:tc>
                <w:tcPr>
                  <w:tcW w:w="1292" w:type="pct"/>
                  <w:gridSpan w:val="3"/>
                  <w:shd w:val="clear" w:color="auto" w:fill="auto"/>
                  <w:vAlign w:val="center"/>
                </w:tcPr>
                <w:p w14:paraId="3F123466">
                  <w:pPr>
                    <w:spacing w:line="240" w:lineRule="atLeast"/>
                    <w:jc w:val="center"/>
                    <w:rPr>
                      <w:bCs/>
                      <w:color w:val="auto"/>
                      <w:szCs w:val="21"/>
                      <w:highlight w:val="none"/>
                      <w:lang w:val="zh-CN"/>
                    </w:rPr>
                  </w:pPr>
                  <w:r>
                    <w:rPr>
                      <w:bCs/>
                      <w:color w:val="auto"/>
                      <w:szCs w:val="21"/>
                      <w:highlight w:val="none"/>
                      <w:lang w:val="zh-CN"/>
                    </w:rPr>
                    <w:t>1.85</w:t>
                  </w:r>
                </w:p>
              </w:tc>
              <w:tc>
                <w:tcPr>
                  <w:tcW w:w="1135" w:type="pct"/>
                  <w:gridSpan w:val="3"/>
                  <w:vAlign w:val="center"/>
                </w:tcPr>
                <w:p w14:paraId="2130F39C">
                  <w:pPr>
                    <w:spacing w:line="240" w:lineRule="atLeast"/>
                    <w:jc w:val="center"/>
                    <w:rPr>
                      <w:bCs/>
                      <w:color w:val="auto"/>
                      <w:szCs w:val="21"/>
                      <w:highlight w:val="none"/>
                      <w:lang w:val="zh-CN"/>
                    </w:rPr>
                  </w:pPr>
                  <w:r>
                    <w:rPr>
                      <w:bCs/>
                      <w:color w:val="auto"/>
                      <w:szCs w:val="21"/>
                      <w:highlight w:val="none"/>
                      <w:lang w:val="zh-CN"/>
                    </w:rPr>
                    <w:t>1.79</w:t>
                  </w:r>
                </w:p>
              </w:tc>
              <w:tc>
                <w:tcPr>
                  <w:tcW w:w="1134" w:type="pct"/>
                  <w:gridSpan w:val="3"/>
                  <w:vAlign w:val="center"/>
                </w:tcPr>
                <w:p w14:paraId="27E9B33D">
                  <w:pPr>
                    <w:spacing w:line="240" w:lineRule="atLeast"/>
                    <w:jc w:val="center"/>
                    <w:rPr>
                      <w:bCs/>
                      <w:color w:val="auto"/>
                      <w:szCs w:val="21"/>
                      <w:highlight w:val="none"/>
                      <w:lang w:val="zh-CN"/>
                    </w:rPr>
                  </w:pPr>
                  <w:r>
                    <w:rPr>
                      <w:bCs/>
                      <w:color w:val="auto"/>
                      <w:szCs w:val="21"/>
                      <w:highlight w:val="none"/>
                      <w:lang w:val="zh-CN"/>
                    </w:rPr>
                    <w:t>1.79</w:t>
                  </w:r>
                </w:p>
              </w:tc>
            </w:tr>
            <w:tr w14:paraId="21F48B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584" w:type="pct"/>
                  <w:vMerge w:val="continue"/>
                  <w:shd w:val="clear" w:color="auto" w:fill="auto"/>
                  <w:vAlign w:val="center"/>
                </w:tcPr>
                <w:p w14:paraId="1E7B8025">
                  <w:pPr>
                    <w:spacing w:line="240" w:lineRule="atLeast"/>
                    <w:jc w:val="center"/>
                    <w:rPr>
                      <w:bCs/>
                      <w:color w:val="auto"/>
                      <w:szCs w:val="21"/>
                      <w:highlight w:val="none"/>
                      <w:lang w:val="zh-CN"/>
                    </w:rPr>
                  </w:pPr>
                </w:p>
              </w:tc>
              <w:tc>
                <w:tcPr>
                  <w:tcW w:w="854" w:type="pct"/>
                  <w:shd w:val="clear" w:color="auto" w:fill="auto"/>
                  <w:vAlign w:val="center"/>
                </w:tcPr>
                <w:p w14:paraId="1A34E450">
                  <w:pPr>
                    <w:spacing w:line="240" w:lineRule="atLeast"/>
                    <w:jc w:val="center"/>
                    <w:rPr>
                      <w:bCs/>
                      <w:color w:val="auto"/>
                      <w:szCs w:val="21"/>
                      <w:highlight w:val="none"/>
                      <w:lang w:val="zh-CN"/>
                    </w:rPr>
                  </w:pPr>
                  <w:r>
                    <w:rPr>
                      <w:bCs/>
                      <w:color w:val="auto"/>
                      <w:szCs w:val="21"/>
                      <w:highlight w:val="none"/>
                      <w:lang w:val="zh-CN"/>
                    </w:rPr>
                    <w:t>&gt;2</w:t>
                  </w:r>
                </w:p>
              </w:tc>
              <w:tc>
                <w:tcPr>
                  <w:tcW w:w="1292" w:type="pct"/>
                  <w:gridSpan w:val="3"/>
                  <w:shd w:val="clear" w:color="auto" w:fill="auto"/>
                  <w:vAlign w:val="center"/>
                </w:tcPr>
                <w:p w14:paraId="7D0F071E">
                  <w:pPr>
                    <w:spacing w:line="240" w:lineRule="atLeast"/>
                    <w:jc w:val="center"/>
                    <w:rPr>
                      <w:bCs/>
                      <w:color w:val="auto"/>
                      <w:szCs w:val="21"/>
                      <w:highlight w:val="none"/>
                      <w:lang w:val="zh-CN"/>
                    </w:rPr>
                  </w:pPr>
                  <w:r>
                    <w:rPr>
                      <w:bCs/>
                      <w:color w:val="auto"/>
                      <w:szCs w:val="21"/>
                      <w:highlight w:val="none"/>
                      <w:lang w:val="zh-CN"/>
                    </w:rPr>
                    <w:t>1.85</w:t>
                  </w:r>
                </w:p>
              </w:tc>
              <w:tc>
                <w:tcPr>
                  <w:tcW w:w="1135" w:type="pct"/>
                  <w:gridSpan w:val="3"/>
                  <w:vAlign w:val="center"/>
                </w:tcPr>
                <w:p w14:paraId="5114EEC7">
                  <w:pPr>
                    <w:spacing w:line="240" w:lineRule="atLeast"/>
                    <w:jc w:val="center"/>
                    <w:rPr>
                      <w:bCs/>
                      <w:color w:val="auto"/>
                      <w:szCs w:val="21"/>
                      <w:highlight w:val="none"/>
                      <w:lang w:val="zh-CN"/>
                    </w:rPr>
                  </w:pPr>
                  <w:r>
                    <w:rPr>
                      <w:bCs/>
                      <w:color w:val="auto"/>
                      <w:szCs w:val="21"/>
                      <w:highlight w:val="none"/>
                      <w:lang w:val="zh-CN"/>
                    </w:rPr>
                    <w:t>1.77</w:t>
                  </w:r>
                </w:p>
              </w:tc>
              <w:tc>
                <w:tcPr>
                  <w:tcW w:w="1134" w:type="pct"/>
                  <w:gridSpan w:val="3"/>
                  <w:vAlign w:val="center"/>
                </w:tcPr>
                <w:p w14:paraId="6CE35D09">
                  <w:pPr>
                    <w:spacing w:line="240" w:lineRule="atLeast"/>
                    <w:jc w:val="center"/>
                    <w:rPr>
                      <w:bCs/>
                      <w:color w:val="auto"/>
                      <w:szCs w:val="21"/>
                      <w:highlight w:val="none"/>
                      <w:lang w:val="zh-CN"/>
                    </w:rPr>
                  </w:pPr>
                  <w:r>
                    <w:rPr>
                      <w:bCs/>
                      <w:color w:val="auto"/>
                      <w:szCs w:val="21"/>
                      <w:highlight w:val="none"/>
                      <w:lang w:val="zh-CN"/>
                    </w:rPr>
                    <w:t>1.77</w:t>
                  </w:r>
                </w:p>
              </w:tc>
            </w:tr>
            <w:tr w14:paraId="11EDBA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584" w:type="pct"/>
                  <w:vMerge w:val="restart"/>
                  <w:vAlign w:val="center"/>
                </w:tcPr>
                <w:p w14:paraId="48104E79">
                  <w:pPr>
                    <w:spacing w:line="240" w:lineRule="atLeast"/>
                    <w:jc w:val="center"/>
                    <w:rPr>
                      <w:bCs/>
                      <w:color w:val="auto"/>
                      <w:szCs w:val="21"/>
                      <w:highlight w:val="none"/>
                      <w:lang w:val="zh-CN"/>
                    </w:rPr>
                  </w:pPr>
                  <w:r>
                    <w:rPr>
                      <w:bCs/>
                      <w:color w:val="auto"/>
                      <w:szCs w:val="21"/>
                      <w:highlight w:val="none"/>
                      <w:lang w:val="zh-CN"/>
                    </w:rPr>
                    <w:t>D</w:t>
                  </w:r>
                </w:p>
              </w:tc>
              <w:tc>
                <w:tcPr>
                  <w:tcW w:w="854" w:type="pct"/>
                  <w:vAlign w:val="center"/>
                </w:tcPr>
                <w:p w14:paraId="49A25A84">
                  <w:pPr>
                    <w:spacing w:line="240" w:lineRule="atLeast"/>
                    <w:jc w:val="center"/>
                    <w:rPr>
                      <w:bCs/>
                      <w:color w:val="auto"/>
                      <w:szCs w:val="21"/>
                      <w:highlight w:val="none"/>
                      <w:lang w:val="zh-CN"/>
                    </w:rPr>
                  </w:pPr>
                  <w:r>
                    <w:rPr>
                      <w:bCs/>
                      <w:color w:val="auto"/>
                      <w:szCs w:val="21"/>
                      <w:highlight w:val="none"/>
                      <w:lang w:val="zh-CN"/>
                    </w:rPr>
                    <w:t>&lt;2</w:t>
                  </w:r>
                </w:p>
              </w:tc>
              <w:tc>
                <w:tcPr>
                  <w:tcW w:w="1292" w:type="pct"/>
                  <w:gridSpan w:val="3"/>
                  <w:shd w:val="clear" w:color="auto" w:fill="auto"/>
                  <w:vAlign w:val="center"/>
                </w:tcPr>
                <w:p w14:paraId="5B97FA79">
                  <w:pPr>
                    <w:spacing w:line="240" w:lineRule="atLeast"/>
                    <w:jc w:val="center"/>
                    <w:rPr>
                      <w:bCs/>
                      <w:color w:val="auto"/>
                      <w:szCs w:val="21"/>
                      <w:highlight w:val="none"/>
                      <w:lang w:val="zh-CN"/>
                    </w:rPr>
                  </w:pPr>
                  <w:r>
                    <w:rPr>
                      <w:bCs/>
                      <w:color w:val="auto"/>
                      <w:szCs w:val="21"/>
                      <w:highlight w:val="none"/>
                      <w:lang w:val="zh-CN"/>
                    </w:rPr>
                    <w:t>0.78</w:t>
                  </w:r>
                </w:p>
              </w:tc>
              <w:tc>
                <w:tcPr>
                  <w:tcW w:w="1135" w:type="pct"/>
                  <w:gridSpan w:val="3"/>
                  <w:vAlign w:val="center"/>
                </w:tcPr>
                <w:p w14:paraId="6E676E71">
                  <w:pPr>
                    <w:spacing w:line="240" w:lineRule="atLeast"/>
                    <w:jc w:val="center"/>
                    <w:rPr>
                      <w:bCs/>
                      <w:color w:val="auto"/>
                      <w:szCs w:val="21"/>
                      <w:highlight w:val="none"/>
                      <w:lang w:val="zh-CN"/>
                    </w:rPr>
                  </w:pPr>
                  <w:r>
                    <w:rPr>
                      <w:bCs/>
                      <w:color w:val="auto"/>
                      <w:szCs w:val="21"/>
                      <w:highlight w:val="none"/>
                      <w:lang w:val="zh-CN"/>
                    </w:rPr>
                    <w:t>0.78</w:t>
                  </w:r>
                </w:p>
              </w:tc>
              <w:tc>
                <w:tcPr>
                  <w:tcW w:w="1134" w:type="pct"/>
                  <w:gridSpan w:val="3"/>
                  <w:vAlign w:val="center"/>
                </w:tcPr>
                <w:p w14:paraId="148BB28C">
                  <w:pPr>
                    <w:spacing w:line="240" w:lineRule="atLeast"/>
                    <w:jc w:val="center"/>
                    <w:rPr>
                      <w:bCs/>
                      <w:color w:val="auto"/>
                      <w:szCs w:val="21"/>
                      <w:highlight w:val="none"/>
                      <w:lang w:val="zh-CN"/>
                    </w:rPr>
                  </w:pPr>
                  <w:r>
                    <w:rPr>
                      <w:bCs/>
                      <w:color w:val="auto"/>
                      <w:szCs w:val="21"/>
                      <w:highlight w:val="none"/>
                      <w:lang w:val="zh-CN"/>
                    </w:rPr>
                    <w:t>0.57</w:t>
                  </w:r>
                </w:p>
              </w:tc>
            </w:tr>
            <w:tr w14:paraId="77BF6A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584" w:type="pct"/>
                  <w:vMerge w:val="continue"/>
                  <w:shd w:val="clear" w:color="auto" w:fill="auto"/>
                  <w:vAlign w:val="center"/>
                </w:tcPr>
                <w:p w14:paraId="438BA9F6">
                  <w:pPr>
                    <w:spacing w:line="240" w:lineRule="atLeast"/>
                    <w:jc w:val="center"/>
                    <w:rPr>
                      <w:bCs/>
                      <w:color w:val="auto"/>
                      <w:szCs w:val="21"/>
                      <w:highlight w:val="none"/>
                      <w:lang w:val="zh-CN"/>
                    </w:rPr>
                  </w:pPr>
                </w:p>
              </w:tc>
              <w:tc>
                <w:tcPr>
                  <w:tcW w:w="854" w:type="pct"/>
                  <w:shd w:val="clear" w:color="auto" w:fill="auto"/>
                  <w:vAlign w:val="center"/>
                </w:tcPr>
                <w:p w14:paraId="79E21BAA">
                  <w:pPr>
                    <w:spacing w:line="240" w:lineRule="atLeast"/>
                    <w:jc w:val="center"/>
                    <w:rPr>
                      <w:bCs/>
                      <w:color w:val="auto"/>
                      <w:szCs w:val="21"/>
                      <w:highlight w:val="none"/>
                      <w:lang w:val="zh-CN"/>
                    </w:rPr>
                  </w:pPr>
                  <w:r>
                    <w:rPr>
                      <w:bCs/>
                      <w:color w:val="auto"/>
                      <w:szCs w:val="21"/>
                      <w:highlight w:val="none"/>
                      <w:lang w:val="zh-CN"/>
                    </w:rPr>
                    <w:t>&gt;2</w:t>
                  </w:r>
                </w:p>
              </w:tc>
              <w:tc>
                <w:tcPr>
                  <w:tcW w:w="1292" w:type="pct"/>
                  <w:gridSpan w:val="3"/>
                  <w:shd w:val="clear" w:color="auto" w:fill="auto"/>
                  <w:vAlign w:val="center"/>
                </w:tcPr>
                <w:p w14:paraId="1EED7C6B">
                  <w:pPr>
                    <w:spacing w:line="240" w:lineRule="atLeast"/>
                    <w:jc w:val="center"/>
                    <w:rPr>
                      <w:bCs/>
                      <w:color w:val="auto"/>
                      <w:szCs w:val="21"/>
                      <w:highlight w:val="none"/>
                      <w:lang w:val="zh-CN"/>
                    </w:rPr>
                  </w:pPr>
                  <w:r>
                    <w:rPr>
                      <w:bCs/>
                      <w:color w:val="auto"/>
                      <w:szCs w:val="21"/>
                      <w:highlight w:val="none"/>
                      <w:lang w:val="zh-CN"/>
                    </w:rPr>
                    <w:t>0.84</w:t>
                  </w:r>
                </w:p>
              </w:tc>
              <w:tc>
                <w:tcPr>
                  <w:tcW w:w="1135" w:type="pct"/>
                  <w:gridSpan w:val="3"/>
                  <w:vAlign w:val="center"/>
                </w:tcPr>
                <w:p w14:paraId="3C87CA38">
                  <w:pPr>
                    <w:spacing w:line="240" w:lineRule="atLeast"/>
                    <w:jc w:val="center"/>
                    <w:rPr>
                      <w:bCs/>
                      <w:color w:val="auto"/>
                      <w:szCs w:val="21"/>
                      <w:highlight w:val="none"/>
                      <w:lang w:val="zh-CN"/>
                    </w:rPr>
                  </w:pPr>
                  <w:r>
                    <w:rPr>
                      <w:bCs/>
                      <w:color w:val="auto"/>
                      <w:szCs w:val="21"/>
                      <w:highlight w:val="none"/>
                      <w:lang w:val="zh-CN"/>
                    </w:rPr>
                    <w:t>0.84</w:t>
                  </w:r>
                </w:p>
              </w:tc>
              <w:tc>
                <w:tcPr>
                  <w:tcW w:w="1134" w:type="pct"/>
                  <w:gridSpan w:val="3"/>
                  <w:vAlign w:val="center"/>
                </w:tcPr>
                <w:p w14:paraId="5284E2C2">
                  <w:pPr>
                    <w:spacing w:line="240" w:lineRule="atLeast"/>
                    <w:jc w:val="center"/>
                    <w:rPr>
                      <w:bCs/>
                      <w:color w:val="auto"/>
                      <w:szCs w:val="21"/>
                      <w:highlight w:val="none"/>
                      <w:lang w:val="zh-CN"/>
                    </w:rPr>
                  </w:pPr>
                  <w:r>
                    <w:rPr>
                      <w:bCs/>
                      <w:color w:val="auto"/>
                      <w:szCs w:val="21"/>
                      <w:highlight w:val="none"/>
                      <w:lang w:val="zh-CN"/>
                    </w:rPr>
                    <w:t>0.76</w:t>
                  </w:r>
                </w:p>
              </w:tc>
            </w:tr>
          </w:tbl>
          <w:p w14:paraId="4BB56055">
            <w:pPr>
              <w:adjustRightInd w:val="0"/>
              <w:snapToGrid w:val="0"/>
              <w:ind w:firstLine="2168" w:firstLineChars="900"/>
              <w:jc w:val="both"/>
              <w:rPr>
                <w:b/>
                <w:color w:val="auto"/>
                <w:sz w:val="24"/>
                <w:highlight w:val="none"/>
                <w:lang w:val="zh-CN"/>
              </w:rPr>
            </w:pPr>
            <w:r>
              <w:rPr>
                <w:b/>
                <w:color w:val="auto"/>
                <w:sz w:val="24"/>
                <w:highlight w:val="none"/>
                <w:lang w:val="zh-CN"/>
              </w:rPr>
              <w:t>表4-</w:t>
            </w:r>
            <w:r>
              <w:rPr>
                <w:rFonts w:hint="eastAsia"/>
                <w:b/>
                <w:color w:val="auto"/>
                <w:sz w:val="24"/>
                <w:highlight w:val="none"/>
                <w:lang w:val="en-US" w:eastAsia="zh-CN"/>
              </w:rPr>
              <w:t>6</w:t>
            </w:r>
            <w:r>
              <w:rPr>
                <w:b/>
                <w:color w:val="auto"/>
                <w:sz w:val="24"/>
                <w:highlight w:val="none"/>
                <w:lang w:val="zh-CN"/>
              </w:rPr>
              <w:t xml:space="preserve"> 无组织卫生防护距离计算表</w:t>
            </w:r>
          </w:p>
          <w:tbl>
            <w:tblPr>
              <w:tblStyle w:val="3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64"/>
              <w:gridCol w:w="1034"/>
              <w:gridCol w:w="809"/>
              <w:gridCol w:w="882"/>
              <w:gridCol w:w="1066"/>
              <w:gridCol w:w="551"/>
              <w:gridCol w:w="617"/>
              <w:gridCol w:w="501"/>
              <w:gridCol w:w="484"/>
              <w:gridCol w:w="656"/>
              <w:gridCol w:w="658"/>
            </w:tblGrid>
            <w:tr w14:paraId="60B4A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1" w:type="pct"/>
                  <w:tcBorders>
                    <w:bottom w:val="single" w:color="auto" w:sz="12" w:space="0"/>
                  </w:tcBorders>
                  <w:vAlign w:val="center"/>
                </w:tcPr>
                <w:p w14:paraId="0937D2F5">
                  <w:pPr>
                    <w:keepNext w:val="0"/>
                    <w:keepLines w:val="0"/>
                    <w:pageBreakBefore w:val="0"/>
                    <w:widowControl w:val="0"/>
                    <w:kinsoku/>
                    <w:wordWrap/>
                    <w:overflowPunct/>
                    <w:topLinePunct w:val="0"/>
                    <w:autoSpaceDE/>
                    <w:autoSpaceDN/>
                    <w:bidi w:val="0"/>
                    <w:adjustRightInd/>
                    <w:snapToGrid/>
                    <w:ind w:right="0"/>
                    <w:jc w:val="center"/>
                    <w:textAlignment w:val="auto"/>
                    <w:rPr>
                      <w:b/>
                      <w:color w:val="auto"/>
                      <w:szCs w:val="21"/>
                      <w:highlight w:val="none"/>
                    </w:rPr>
                  </w:pPr>
                  <w:r>
                    <w:rPr>
                      <w:b/>
                      <w:color w:val="auto"/>
                      <w:szCs w:val="21"/>
                      <w:highlight w:val="none"/>
                    </w:rPr>
                    <w:t>位置</w:t>
                  </w:r>
                </w:p>
              </w:tc>
              <w:tc>
                <w:tcPr>
                  <w:tcW w:w="613" w:type="pct"/>
                  <w:tcBorders>
                    <w:bottom w:val="single" w:color="auto" w:sz="12" w:space="0"/>
                  </w:tcBorders>
                  <w:vAlign w:val="center"/>
                </w:tcPr>
                <w:p w14:paraId="77002529">
                  <w:pPr>
                    <w:keepNext w:val="0"/>
                    <w:keepLines w:val="0"/>
                    <w:pageBreakBefore w:val="0"/>
                    <w:widowControl w:val="0"/>
                    <w:kinsoku/>
                    <w:wordWrap/>
                    <w:overflowPunct/>
                    <w:topLinePunct w:val="0"/>
                    <w:autoSpaceDE/>
                    <w:autoSpaceDN/>
                    <w:bidi w:val="0"/>
                    <w:adjustRightInd/>
                    <w:snapToGrid/>
                    <w:ind w:right="0"/>
                    <w:jc w:val="center"/>
                    <w:textAlignment w:val="auto"/>
                    <w:rPr>
                      <w:b/>
                      <w:color w:val="auto"/>
                      <w:szCs w:val="21"/>
                      <w:highlight w:val="none"/>
                    </w:rPr>
                  </w:pPr>
                  <w:r>
                    <w:rPr>
                      <w:b/>
                      <w:color w:val="auto"/>
                      <w:szCs w:val="21"/>
                      <w:highlight w:val="none"/>
                    </w:rPr>
                    <w:t>污染物</w:t>
                  </w:r>
                </w:p>
              </w:tc>
              <w:tc>
                <w:tcPr>
                  <w:tcW w:w="480" w:type="pct"/>
                  <w:tcBorders>
                    <w:bottom w:val="single" w:color="auto" w:sz="12" w:space="0"/>
                  </w:tcBorders>
                  <w:vAlign w:val="center"/>
                </w:tcPr>
                <w:p w14:paraId="3D29334F">
                  <w:pPr>
                    <w:keepNext w:val="0"/>
                    <w:keepLines w:val="0"/>
                    <w:pageBreakBefore w:val="0"/>
                    <w:widowControl w:val="0"/>
                    <w:kinsoku/>
                    <w:wordWrap/>
                    <w:overflowPunct/>
                    <w:topLinePunct w:val="0"/>
                    <w:autoSpaceDE/>
                    <w:autoSpaceDN/>
                    <w:bidi w:val="0"/>
                    <w:adjustRightInd/>
                    <w:snapToGrid/>
                    <w:ind w:right="0"/>
                    <w:jc w:val="center"/>
                    <w:textAlignment w:val="auto"/>
                    <w:rPr>
                      <w:b/>
                      <w:color w:val="auto"/>
                      <w:szCs w:val="21"/>
                      <w:highlight w:val="none"/>
                    </w:rPr>
                  </w:pPr>
                  <w:r>
                    <w:rPr>
                      <w:b/>
                      <w:color w:val="auto"/>
                      <w:szCs w:val="21"/>
                      <w:highlight w:val="none"/>
                    </w:rPr>
                    <w:t>面源面积（m</w:t>
                  </w:r>
                  <w:r>
                    <w:rPr>
                      <w:b/>
                      <w:color w:val="auto"/>
                      <w:szCs w:val="21"/>
                      <w:highlight w:val="none"/>
                      <w:vertAlign w:val="superscript"/>
                    </w:rPr>
                    <w:t>2</w:t>
                  </w:r>
                  <w:r>
                    <w:rPr>
                      <w:b/>
                      <w:color w:val="auto"/>
                      <w:szCs w:val="21"/>
                      <w:highlight w:val="none"/>
                    </w:rPr>
                    <w:t>）</w:t>
                  </w:r>
                </w:p>
              </w:tc>
              <w:tc>
                <w:tcPr>
                  <w:tcW w:w="523" w:type="pct"/>
                  <w:tcBorders>
                    <w:bottom w:val="single" w:color="auto" w:sz="12" w:space="0"/>
                  </w:tcBorders>
                  <w:vAlign w:val="center"/>
                </w:tcPr>
                <w:p w14:paraId="5AD3958F">
                  <w:pPr>
                    <w:keepNext w:val="0"/>
                    <w:keepLines w:val="0"/>
                    <w:pageBreakBefore w:val="0"/>
                    <w:widowControl w:val="0"/>
                    <w:kinsoku/>
                    <w:wordWrap/>
                    <w:overflowPunct/>
                    <w:topLinePunct w:val="0"/>
                    <w:autoSpaceDE/>
                    <w:autoSpaceDN/>
                    <w:bidi w:val="0"/>
                    <w:adjustRightInd/>
                    <w:snapToGrid/>
                    <w:ind w:right="0"/>
                    <w:jc w:val="center"/>
                    <w:textAlignment w:val="auto"/>
                    <w:rPr>
                      <w:b/>
                      <w:color w:val="auto"/>
                      <w:szCs w:val="21"/>
                      <w:highlight w:val="none"/>
                    </w:rPr>
                  </w:pPr>
                  <w:r>
                    <w:rPr>
                      <w:b/>
                      <w:color w:val="auto"/>
                      <w:szCs w:val="21"/>
                      <w:highlight w:val="none"/>
                    </w:rPr>
                    <w:t>Q</w:t>
                  </w:r>
                  <w:r>
                    <w:rPr>
                      <w:b/>
                      <w:color w:val="auto"/>
                      <w:szCs w:val="21"/>
                      <w:highlight w:val="none"/>
                      <w:vertAlign w:val="subscript"/>
                    </w:rPr>
                    <w:t>c</w:t>
                  </w:r>
                  <w:r>
                    <w:rPr>
                      <w:b/>
                      <w:color w:val="auto"/>
                      <w:szCs w:val="21"/>
                      <w:highlight w:val="none"/>
                    </w:rPr>
                    <w:t>（kg/h）</w:t>
                  </w:r>
                </w:p>
              </w:tc>
              <w:tc>
                <w:tcPr>
                  <w:tcW w:w="632" w:type="pct"/>
                  <w:tcBorders>
                    <w:bottom w:val="single" w:color="auto" w:sz="12" w:space="0"/>
                  </w:tcBorders>
                  <w:vAlign w:val="center"/>
                </w:tcPr>
                <w:p w14:paraId="1F7C0BAB">
                  <w:pPr>
                    <w:keepNext w:val="0"/>
                    <w:keepLines w:val="0"/>
                    <w:pageBreakBefore w:val="0"/>
                    <w:widowControl w:val="0"/>
                    <w:kinsoku/>
                    <w:wordWrap/>
                    <w:overflowPunct/>
                    <w:topLinePunct w:val="0"/>
                    <w:autoSpaceDE/>
                    <w:autoSpaceDN/>
                    <w:bidi w:val="0"/>
                    <w:adjustRightInd/>
                    <w:snapToGrid/>
                    <w:ind w:right="0"/>
                    <w:jc w:val="center"/>
                    <w:textAlignment w:val="auto"/>
                    <w:rPr>
                      <w:b/>
                      <w:color w:val="auto"/>
                      <w:szCs w:val="21"/>
                      <w:highlight w:val="none"/>
                    </w:rPr>
                  </w:pPr>
                  <w:r>
                    <w:rPr>
                      <w:b/>
                      <w:color w:val="auto"/>
                      <w:szCs w:val="21"/>
                      <w:highlight w:val="none"/>
                    </w:rPr>
                    <w:t>C</w:t>
                  </w:r>
                  <w:r>
                    <w:rPr>
                      <w:b/>
                      <w:color w:val="auto"/>
                      <w:szCs w:val="21"/>
                      <w:highlight w:val="none"/>
                      <w:vertAlign w:val="subscript"/>
                    </w:rPr>
                    <w:t>m</w:t>
                  </w:r>
                  <w:r>
                    <w:rPr>
                      <w:b/>
                      <w:color w:val="auto"/>
                      <w:szCs w:val="21"/>
                      <w:highlight w:val="none"/>
                    </w:rPr>
                    <w:t>（mg/m</w:t>
                  </w:r>
                  <w:r>
                    <w:rPr>
                      <w:b/>
                      <w:color w:val="auto"/>
                      <w:szCs w:val="21"/>
                      <w:highlight w:val="none"/>
                      <w:vertAlign w:val="superscript"/>
                    </w:rPr>
                    <w:t>3</w:t>
                  </w:r>
                  <w:r>
                    <w:rPr>
                      <w:b/>
                      <w:color w:val="auto"/>
                      <w:szCs w:val="21"/>
                      <w:highlight w:val="none"/>
                    </w:rPr>
                    <w:t>）</w:t>
                  </w:r>
                </w:p>
              </w:tc>
              <w:tc>
                <w:tcPr>
                  <w:tcW w:w="327" w:type="pct"/>
                  <w:tcBorders>
                    <w:bottom w:val="single" w:color="auto" w:sz="12" w:space="0"/>
                  </w:tcBorders>
                  <w:vAlign w:val="center"/>
                </w:tcPr>
                <w:p w14:paraId="44DFAABF">
                  <w:pPr>
                    <w:keepNext w:val="0"/>
                    <w:keepLines w:val="0"/>
                    <w:pageBreakBefore w:val="0"/>
                    <w:widowControl w:val="0"/>
                    <w:kinsoku/>
                    <w:wordWrap/>
                    <w:overflowPunct/>
                    <w:topLinePunct w:val="0"/>
                    <w:autoSpaceDE/>
                    <w:autoSpaceDN/>
                    <w:bidi w:val="0"/>
                    <w:adjustRightInd/>
                    <w:snapToGrid/>
                    <w:ind w:right="0"/>
                    <w:jc w:val="center"/>
                    <w:textAlignment w:val="auto"/>
                    <w:rPr>
                      <w:b/>
                      <w:color w:val="auto"/>
                      <w:szCs w:val="21"/>
                      <w:highlight w:val="none"/>
                    </w:rPr>
                  </w:pPr>
                  <w:r>
                    <w:rPr>
                      <w:b/>
                      <w:color w:val="auto"/>
                      <w:szCs w:val="21"/>
                      <w:highlight w:val="none"/>
                    </w:rPr>
                    <w:t>A</w:t>
                  </w:r>
                </w:p>
              </w:tc>
              <w:tc>
                <w:tcPr>
                  <w:tcW w:w="366" w:type="pct"/>
                  <w:tcBorders>
                    <w:bottom w:val="single" w:color="auto" w:sz="12" w:space="0"/>
                  </w:tcBorders>
                  <w:vAlign w:val="center"/>
                </w:tcPr>
                <w:p w14:paraId="3B32082C">
                  <w:pPr>
                    <w:keepNext w:val="0"/>
                    <w:keepLines w:val="0"/>
                    <w:pageBreakBefore w:val="0"/>
                    <w:widowControl w:val="0"/>
                    <w:kinsoku/>
                    <w:wordWrap/>
                    <w:overflowPunct/>
                    <w:topLinePunct w:val="0"/>
                    <w:autoSpaceDE/>
                    <w:autoSpaceDN/>
                    <w:bidi w:val="0"/>
                    <w:adjustRightInd/>
                    <w:snapToGrid/>
                    <w:ind w:right="0"/>
                    <w:jc w:val="center"/>
                    <w:textAlignment w:val="auto"/>
                    <w:rPr>
                      <w:b/>
                      <w:color w:val="auto"/>
                      <w:szCs w:val="21"/>
                      <w:highlight w:val="none"/>
                    </w:rPr>
                  </w:pPr>
                  <w:r>
                    <w:rPr>
                      <w:b/>
                      <w:color w:val="auto"/>
                      <w:szCs w:val="21"/>
                      <w:highlight w:val="none"/>
                    </w:rPr>
                    <w:t>B</w:t>
                  </w:r>
                </w:p>
              </w:tc>
              <w:tc>
                <w:tcPr>
                  <w:tcW w:w="297" w:type="pct"/>
                  <w:tcBorders>
                    <w:bottom w:val="single" w:color="auto" w:sz="12" w:space="0"/>
                  </w:tcBorders>
                  <w:vAlign w:val="center"/>
                </w:tcPr>
                <w:p w14:paraId="7CD359CB">
                  <w:pPr>
                    <w:keepNext w:val="0"/>
                    <w:keepLines w:val="0"/>
                    <w:pageBreakBefore w:val="0"/>
                    <w:widowControl w:val="0"/>
                    <w:kinsoku/>
                    <w:wordWrap/>
                    <w:overflowPunct/>
                    <w:topLinePunct w:val="0"/>
                    <w:autoSpaceDE/>
                    <w:autoSpaceDN/>
                    <w:bidi w:val="0"/>
                    <w:adjustRightInd/>
                    <w:snapToGrid/>
                    <w:ind w:right="0"/>
                    <w:jc w:val="center"/>
                    <w:textAlignment w:val="auto"/>
                    <w:rPr>
                      <w:b/>
                      <w:color w:val="auto"/>
                      <w:szCs w:val="21"/>
                      <w:highlight w:val="none"/>
                    </w:rPr>
                  </w:pPr>
                  <w:r>
                    <w:rPr>
                      <w:b/>
                      <w:color w:val="auto"/>
                      <w:szCs w:val="21"/>
                      <w:highlight w:val="none"/>
                    </w:rPr>
                    <w:t>C</w:t>
                  </w:r>
                </w:p>
              </w:tc>
              <w:tc>
                <w:tcPr>
                  <w:tcW w:w="287" w:type="pct"/>
                  <w:tcBorders>
                    <w:bottom w:val="single" w:color="auto" w:sz="12" w:space="0"/>
                  </w:tcBorders>
                  <w:vAlign w:val="center"/>
                </w:tcPr>
                <w:p w14:paraId="226E0B9B">
                  <w:pPr>
                    <w:keepNext w:val="0"/>
                    <w:keepLines w:val="0"/>
                    <w:pageBreakBefore w:val="0"/>
                    <w:widowControl w:val="0"/>
                    <w:kinsoku/>
                    <w:wordWrap/>
                    <w:overflowPunct/>
                    <w:topLinePunct w:val="0"/>
                    <w:autoSpaceDE/>
                    <w:autoSpaceDN/>
                    <w:bidi w:val="0"/>
                    <w:adjustRightInd/>
                    <w:snapToGrid/>
                    <w:ind w:right="0"/>
                    <w:jc w:val="center"/>
                    <w:textAlignment w:val="auto"/>
                    <w:rPr>
                      <w:b/>
                      <w:color w:val="auto"/>
                      <w:szCs w:val="21"/>
                      <w:highlight w:val="none"/>
                    </w:rPr>
                  </w:pPr>
                  <w:r>
                    <w:rPr>
                      <w:b/>
                      <w:color w:val="auto"/>
                      <w:szCs w:val="21"/>
                      <w:highlight w:val="none"/>
                    </w:rPr>
                    <w:t>D</w:t>
                  </w:r>
                </w:p>
              </w:tc>
              <w:tc>
                <w:tcPr>
                  <w:tcW w:w="389" w:type="pct"/>
                  <w:tcBorders>
                    <w:bottom w:val="single" w:color="auto" w:sz="12" w:space="0"/>
                  </w:tcBorders>
                  <w:vAlign w:val="center"/>
                </w:tcPr>
                <w:p w14:paraId="1FBE94EA">
                  <w:pPr>
                    <w:keepNext w:val="0"/>
                    <w:keepLines w:val="0"/>
                    <w:pageBreakBefore w:val="0"/>
                    <w:widowControl w:val="0"/>
                    <w:kinsoku/>
                    <w:wordWrap/>
                    <w:overflowPunct/>
                    <w:topLinePunct w:val="0"/>
                    <w:autoSpaceDE/>
                    <w:autoSpaceDN/>
                    <w:bidi w:val="0"/>
                    <w:adjustRightInd/>
                    <w:snapToGrid/>
                    <w:ind w:right="0"/>
                    <w:jc w:val="center"/>
                    <w:textAlignment w:val="auto"/>
                    <w:rPr>
                      <w:b/>
                      <w:color w:val="auto"/>
                      <w:szCs w:val="21"/>
                      <w:highlight w:val="none"/>
                    </w:rPr>
                  </w:pPr>
                  <w:r>
                    <w:rPr>
                      <w:b/>
                      <w:color w:val="auto"/>
                      <w:szCs w:val="21"/>
                      <w:highlight w:val="none"/>
                    </w:rPr>
                    <w:t>L</w:t>
                  </w:r>
                  <w:r>
                    <w:rPr>
                      <w:b/>
                      <w:color w:val="auto"/>
                      <w:szCs w:val="21"/>
                      <w:highlight w:val="none"/>
                      <w:vertAlign w:val="subscript"/>
                    </w:rPr>
                    <w:t>计</w:t>
                  </w:r>
                  <w:r>
                    <w:rPr>
                      <w:b/>
                      <w:color w:val="auto"/>
                      <w:szCs w:val="21"/>
                      <w:highlight w:val="none"/>
                    </w:rPr>
                    <w:t>（m）</w:t>
                  </w:r>
                </w:p>
              </w:tc>
              <w:tc>
                <w:tcPr>
                  <w:tcW w:w="390" w:type="pct"/>
                  <w:tcBorders>
                    <w:bottom w:val="single" w:color="auto" w:sz="12" w:space="0"/>
                  </w:tcBorders>
                  <w:vAlign w:val="center"/>
                </w:tcPr>
                <w:p w14:paraId="7AF1908B">
                  <w:pPr>
                    <w:keepNext w:val="0"/>
                    <w:keepLines w:val="0"/>
                    <w:pageBreakBefore w:val="0"/>
                    <w:widowControl w:val="0"/>
                    <w:kinsoku/>
                    <w:wordWrap/>
                    <w:overflowPunct/>
                    <w:topLinePunct w:val="0"/>
                    <w:autoSpaceDE/>
                    <w:autoSpaceDN/>
                    <w:bidi w:val="0"/>
                    <w:adjustRightInd/>
                    <w:snapToGrid/>
                    <w:ind w:right="0"/>
                    <w:jc w:val="center"/>
                    <w:textAlignment w:val="auto"/>
                    <w:rPr>
                      <w:b/>
                      <w:color w:val="auto"/>
                      <w:szCs w:val="21"/>
                      <w:highlight w:val="none"/>
                    </w:rPr>
                  </w:pPr>
                  <w:r>
                    <w:rPr>
                      <w:b/>
                      <w:color w:val="auto"/>
                      <w:szCs w:val="21"/>
                      <w:highlight w:val="none"/>
                    </w:rPr>
                    <w:t>L（m）</w:t>
                  </w:r>
                </w:p>
              </w:tc>
            </w:tr>
            <w:tr w14:paraId="4F576E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691" w:type="pct"/>
                  <w:tcBorders>
                    <w:top w:val="single" w:color="auto" w:sz="12" w:space="0"/>
                    <w:bottom w:val="single" w:color="auto" w:sz="12" w:space="0"/>
                  </w:tcBorders>
                  <w:vAlign w:val="center"/>
                </w:tcPr>
                <w:p w14:paraId="78D2C6D3">
                  <w:pPr>
                    <w:keepNext w:val="0"/>
                    <w:keepLines w:val="0"/>
                    <w:pageBreakBefore w:val="0"/>
                    <w:widowControl w:val="0"/>
                    <w:kinsoku/>
                    <w:wordWrap/>
                    <w:overflowPunct/>
                    <w:topLinePunct w:val="0"/>
                    <w:autoSpaceDE/>
                    <w:autoSpaceDN/>
                    <w:bidi w:val="0"/>
                    <w:adjustRightInd/>
                    <w:snapToGrid/>
                    <w:ind w:left="-125" w:right="-111" w:rightChars="-53"/>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生产车间</w:t>
                  </w:r>
                </w:p>
              </w:tc>
              <w:tc>
                <w:tcPr>
                  <w:tcW w:w="613" w:type="pct"/>
                  <w:tcBorders>
                    <w:top w:val="single" w:color="auto" w:sz="12" w:space="0"/>
                    <w:bottom w:val="single" w:color="auto" w:sz="12" w:space="0"/>
                  </w:tcBorders>
                  <w:vAlign w:val="center"/>
                </w:tcPr>
                <w:p w14:paraId="61C9374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color w:val="auto"/>
                      <w:szCs w:val="21"/>
                      <w:highlight w:val="none"/>
                    </w:rPr>
                  </w:pPr>
                  <w:r>
                    <w:rPr>
                      <w:color w:val="auto"/>
                      <w:szCs w:val="21"/>
                      <w:highlight w:val="none"/>
                    </w:rPr>
                    <w:t>非甲烷总烃</w:t>
                  </w:r>
                </w:p>
              </w:tc>
              <w:tc>
                <w:tcPr>
                  <w:tcW w:w="480" w:type="pct"/>
                  <w:tcBorders>
                    <w:top w:val="single" w:color="auto" w:sz="12" w:space="0"/>
                    <w:bottom w:val="single" w:color="auto" w:sz="12" w:space="0"/>
                  </w:tcBorders>
                  <w:vAlign w:val="center"/>
                </w:tcPr>
                <w:p w14:paraId="09BBDFA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2500</w:t>
                  </w:r>
                </w:p>
              </w:tc>
              <w:tc>
                <w:tcPr>
                  <w:tcW w:w="523" w:type="pct"/>
                  <w:tcBorders>
                    <w:top w:val="single" w:color="auto" w:sz="12" w:space="0"/>
                    <w:bottom w:val="single" w:color="auto" w:sz="12" w:space="0"/>
                  </w:tcBorders>
                  <w:vAlign w:val="center"/>
                </w:tcPr>
                <w:p w14:paraId="3E30DA8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eastAsia="宋体"/>
                      <w:bCs/>
                      <w:color w:val="auto"/>
                      <w:sz w:val="18"/>
                      <w:szCs w:val="21"/>
                      <w:highlight w:val="none"/>
                      <w:lang w:val="en-US" w:eastAsia="zh-CN"/>
                    </w:rPr>
                  </w:pPr>
                  <w:r>
                    <w:rPr>
                      <w:rFonts w:hint="eastAsia" w:eastAsiaTheme="minorEastAsia"/>
                      <w:color w:val="auto"/>
                      <w:kern w:val="0"/>
                      <w:szCs w:val="21"/>
                      <w:highlight w:val="none"/>
                      <w:lang w:val="en-US" w:eastAsia="zh-CN"/>
                    </w:rPr>
                    <w:t>0.2155</w:t>
                  </w:r>
                </w:p>
              </w:tc>
              <w:tc>
                <w:tcPr>
                  <w:tcW w:w="632" w:type="pct"/>
                  <w:tcBorders>
                    <w:top w:val="single" w:color="auto" w:sz="12" w:space="0"/>
                    <w:bottom w:val="single" w:color="auto" w:sz="12" w:space="0"/>
                  </w:tcBorders>
                  <w:vAlign w:val="center"/>
                </w:tcPr>
                <w:p w14:paraId="4C62EC3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eastAsia="宋体"/>
                      <w:color w:val="auto"/>
                      <w:szCs w:val="21"/>
                      <w:highlight w:val="none"/>
                      <w:lang w:val="en-US" w:eastAsia="zh-CN"/>
                    </w:rPr>
                  </w:pPr>
                  <w:r>
                    <w:rPr>
                      <w:color w:val="auto"/>
                      <w:szCs w:val="21"/>
                      <w:highlight w:val="none"/>
                    </w:rPr>
                    <w:t>2</w:t>
                  </w:r>
                  <w:r>
                    <w:rPr>
                      <w:rFonts w:hint="eastAsia"/>
                      <w:color w:val="auto"/>
                      <w:szCs w:val="21"/>
                      <w:highlight w:val="none"/>
                      <w:lang w:val="en-US" w:eastAsia="zh-CN"/>
                    </w:rPr>
                    <w:t>.0</w:t>
                  </w:r>
                </w:p>
              </w:tc>
              <w:tc>
                <w:tcPr>
                  <w:tcW w:w="327" w:type="pct"/>
                  <w:tcBorders>
                    <w:top w:val="single" w:color="auto" w:sz="12" w:space="0"/>
                    <w:bottom w:val="single" w:color="auto" w:sz="12" w:space="0"/>
                  </w:tcBorders>
                  <w:vAlign w:val="center"/>
                </w:tcPr>
                <w:p w14:paraId="33BDDB9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eastAsia="宋体"/>
                      <w:color w:val="auto"/>
                      <w:szCs w:val="21"/>
                      <w:highlight w:val="none"/>
                      <w:lang w:eastAsia="zh-CN"/>
                    </w:rPr>
                  </w:pPr>
                  <w:r>
                    <w:rPr>
                      <w:rFonts w:hint="eastAsia"/>
                      <w:color w:val="auto"/>
                      <w:szCs w:val="21"/>
                      <w:highlight w:val="none"/>
                      <w:lang w:val="en-US" w:eastAsia="zh-CN"/>
                    </w:rPr>
                    <w:t>400</w:t>
                  </w:r>
                </w:p>
              </w:tc>
              <w:tc>
                <w:tcPr>
                  <w:tcW w:w="366" w:type="pct"/>
                  <w:tcBorders>
                    <w:top w:val="single" w:color="auto" w:sz="12" w:space="0"/>
                    <w:bottom w:val="single" w:color="auto" w:sz="12" w:space="0"/>
                  </w:tcBorders>
                  <w:vAlign w:val="center"/>
                </w:tcPr>
                <w:p w14:paraId="2B0CFB8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eastAsia="宋体"/>
                      <w:color w:val="auto"/>
                      <w:szCs w:val="21"/>
                      <w:highlight w:val="none"/>
                      <w:lang w:eastAsia="zh-CN"/>
                    </w:rPr>
                  </w:pPr>
                  <w:r>
                    <w:rPr>
                      <w:color w:val="auto"/>
                      <w:szCs w:val="21"/>
                      <w:highlight w:val="none"/>
                    </w:rPr>
                    <w:t>0.0</w:t>
                  </w:r>
                  <w:r>
                    <w:rPr>
                      <w:rFonts w:hint="eastAsia"/>
                      <w:color w:val="auto"/>
                      <w:szCs w:val="21"/>
                      <w:highlight w:val="none"/>
                      <w:lang w:val="en-US" w:eastAsia="zh-CN"/>
                    </w:rPr>
                    <w:t>10</w:t>
                  </w:r>
                </w:p>
              </w:tc>
              <w:tc>
                <w:tcPr>
                  <w:tcW w:w="297" w:type="pct"/>
                  <w:tcBorders>
                    <w:top w:val="single" w:color="auto" w:sz="12" w:space="0"/>
                    <w:bottom w:val="single" w:color="auto" w:sz="12" w:space="0"/>
                  </w:tcBorders>
                  <w:vAlign w:val="center"/>
                </w:tcPr>
                <w:p w14:paraId="298672D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eastAsia="宋体"/>
                      <w:color w:val="auto"/>
                      <w:szCs w:val="21"/>
                      <w:highlight w:val="none"/>
                      <w:lang w:eastAsia="zh-CN"/>
                    </w:rPr>
                  </w:pPr>
                  <w:r>
                    <w:rPr>
                      <w:color w:val="auto"/>
                      <w:szCs w:val="21"/>
                      <w:highlight w:val="none"/>
                    </w:rPr>
                    <w:t>1.85</w:t>
                  </w:r>
                </w:p>
              </w:tc>
              <w:tc>
                <w:tcPr>
                  <w:tcW w:w="287" w:type="pct"/>
                  <w:tcBorders>
                    <w:top w:val="single" w:color="auto" w:sz="12" w:space="0"/>
                    <w:bottom w:val="single" w:color="auto" w:sz="12" w:space="0"/>
                  </w:tcBorders>
                  <w:vAlign w:val="center"/>
                </w:tcPr>
                <w:p w14:paraId="55C63AB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eastAsia="宋体"/>
                      <w:color w:val="auto"/>
                      <w:szCs w:val="21"/>
                      <w:highlight w:val="none"/>
                      <w:lang w:eastAsia="zh-CN"/>
                    </w:rPr>
                  </w:pPr>
                  <w:r>
                    <w:rPr>
                      <w:color w:val="auto"/>
                      <w:szCs w:val="21"/>
                      <w:highlight w:val="none"/>
                    </w:rPr>
                    <w:t>0.</w:t>
                  </w:r>
                  <w:r>
                    <w:rPr>
                      <w:rFonts w:hint="eastAsia"/>
                      <w:color w:val="auto"/>
                      <w:szCs w:val="21"/>
                      <w:highlight w:val="none"/>
                      <w:lang w:val="en-US" w:eastAsia="zh-CN"/>
                    </w:rPr>
                    <w:t>78</w:t>
                  </w:r>
                </w:p>
              </w:tc>
              <w:tc>
                <w:tcPr>
                  <w:tcW w:w="389" w:type="pct"/>
                  <w:tcBorders>
                    <w:top w:val="single" w:color="auto" w:sz="12" w:space="0"/>
                    <w:bottom w:val="single" w:color="auto" w:sz="12" w:space="0"/>
                  </w:tcBorders>
                  <w:vAlign w:val="center"/>
                </w:tcPr>
                <w:p w14:paraId="03C2C92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0.190</w:t>
                  </w:r>
                </w:p>
              </w:tc>
              <w:tc>
                <w:tcPr>
                  <w:tcW w:w="390" w:type="pct"/>
                  <w:tcBorders>
                    <w:top w:val="single" w:color="auto" w:sz="12" w:space="0"/>
                    <w:bottom w:val="single" w:color="auto" w:sz="12" w:space="0"/>
                  </w:tcBorders>
                  <w:vAlign w:val="center"/>
                </w:tcPr>
                <w:p w14:paraId="01333FB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color w:val="auto"/>
                      <w:szCs w:val="21"/>
                      <w:highlight w:val="none"/>
                    </w:rPr>
                  </w:pPr>
                  <w:r>
                    <w:rPr>
                      <w:color w:val="auto"/>
                      <w:szCs w:val="21"/>
                      <w:highlight w:val="none"/>
                    </w:rPr>
                    <w:t>50</w:t>
                  </w:r>
                </w:p>
              </w:tc>
            </w:tr>
          </w:tbl>
          <w:p w14:paraId="6E4C7643">
            <w:pPr>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color w:val="auto"/>
                <w:sz w:val="24"/>
                <w:highlight w:val="none"/>
              </w:rPr>
            </w:pPr>
            <w:r>
              <w:rPr>
                <w:color w:val="auto"/>
                <w:sz w:val="24"/>
                <w:highlight w:val="none"/>
              </w:rPr>
              <w:t>根据《大气有害物质无组织排放卫生防护距离推导技术导则》(GB/T39499-2020)：</w:t>
            </w:r>
          </w:p>
          <w:p w14:paraId="3C0DAEB7">
            <w:pPr>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rFonts w:hint="default" w:eastAsia="宋体"/>
                <w:color w:val="auto"/>
                <w:sz w:val="24"/>
                <w:highlight w:val="none"/>
                <w:lang w:val="en-US" w:eastAsia="zh-CN"/>
              </w:rPr>
            </w:pPr>
            <w:r>
              <w:rPr>
                <w:rFonts w:hint="eastAsia"/>
                <w:color w:val="auto"/>
                <w:sz w:val="24"/>
                <w:highlight w:val="none"/>
                <w:lang w:val="en-US" w:eastAsia="zh-CN"/>
              </w:rPr>
              <w:t>4</w:t>
            </w:r>
            <w:r>
              <w:rPr>
                <w:color w:val="auto"/>
                <w:sz w:val="24"/>
                <w:highlight w:val="none"/>
              </w:rPr>
              <w:t>.1单一特征大气有害物质终值的确定</w:t>
            </w:r>
          </w:p>
          <w:p w14:paraId="7F413E1F">
            <w:pPr>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color w:val="auto"/>
                <w:sz w:val="24"/>
                <w:highlight w:val="none"/>
              </w:rPr>
            </w:pPr>
            <w:r>
              <w:rPr>
                <w:rFonts w:hint="eastAsia"/>
                <w:color w:val="auto"/>
                <w:sz w:val="24"/>
                <w:highlight w:val="none"/>
                <w:lang w:val="en-US" w:eastAsia="zh-CN"/>
              </w:rPr>
              <w:t>4</w:t>
            </w:r>
            <w:r>
              <w:rPr>
                <w:color w:val="auto"/>
                <w:sz w:val="24"/>
                <w:highlight w:val="none"/>
              </w:rPr>
              <w:t>.1.1卫生防护距离初值小于50m时，级差为50m。如计算初值小于50m，卫生防护距离终值取50m。</w:t>
            </w:r>
          </w:p>
          <w:p w14:paraId="32B04EB3">
            <w:pPr>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color w:val="auto"/>
                <w:sz w:val="24"/>
                <w:highlight w:val="none"/>
              </w:rPr>
            </w:pPr>
            <w:r>
              <w:rPr>
                <w:rFonts w:hint="eastAsia"/>
                <w:color w:val="auto"/>
                <w:sz w:val="24"/>
                <w:highlight w:val="none"/>
                <w:lang w:val="en-US" w:eastAsia="zh-CN"/>
              </w:rPr>
              <w:t>4</w:t>
            </w:r>
            <w:r>
              <w:rPr>
                <w:color w:val="auto"/>
                <w:sz w:val="24"/>
                <w:highlight w:val="none"/>
              </w:rPr>
              <w:t>.2多种特征大气有害物质终值的确定</w:t>
            </w:r>
          </w:p>
          <w:p w14:paraId="1FAF70B2">
            <w:pPr>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color w:val="auto"/>
                <w:sz w:val="24"/>
                <w:highlight w:val="none"/>
              </w:rPr>
            </w:pPr>
            <w:r>
              <w:rPr>
                <w:color w:val="auto"/>
                <w:sz w:val="24"/>
                <w:highlight w:val="none"/>
              </w:rPr>
              <w:t>当企业某生产单元的无组织排放存在多种特征大气有害物质</w:t>
            </w:r>
            <w:r>
              <w:rPr>
                <w:rFonts w:hint="eastAsia"/>
                <w:color w:val="auto"/>
                <w:sz w:val="24"/>
                <w:highlight w:val="none"/>
                <w:lang w:eastAsia="zh-CN"/>
              </w:rPr>
              <w:t>时</w:t>
            </w:r>
            <w:r>
              <w:rPr>
                <w:color w:val="auto"/>
                <w:sz w:val="24"/>
                <w:highlight w:val="none"/>
              </w:rPr>
              <w:t>，如果分别推导出的卫生防护距离初值在同一级别时，则</w:t>
            </w:r>
            <w:r>
              <w:rPr>
                <w:rFonts w:hint="eastAsia"/>
                <w:color w:val="auto"/>
                <w:sz w:val="24"/>
                <w:highlight w:val="none"/>
              </w:rPr>
              <w:t>该</w:t>
            </w:r>
            <w:r>
              <w:rPr>
                <w:color w:val="auto"/>
                <w:sz w:val="24"/>
                <w:highlight w:val="none"/>
              </w:rPr>
              <w:t>企业的卫生防护距离终值应提高一级；卫生防护距离初值不在同一级别的，以卫生防护距离终值较大者为准。</w:t>
            </w:r>
          </w:p>
          <w:p w14:paraId="50534298">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left"/>
              <w:textAlignment w:val="auto"/>
              <w:rPr>
                <w:color w:val="auto"/>
                <w:spacing w:val="-10"/>
                <w:sz w:val="24"/>
                <w:highlight w:val="none"/>
              </w:rPr>
            </w:pPr>
            <w:r>
              <w:rPr>
                <w:color w:val="auto"/>
                <w:sz w:val="24"/>
                <w:szCs w:val="21"/>
                <w:highlight w:val="none"/>
              </w:rPr>
              <w:t>因此，根据以上计算可得，本项目需以</w:t>
            </w:r>
            <w:r>
              <w:rPr>
                <w:rFonts w:hint="eastAsia"/>
                <w:color w:val="auto"/>
                <w:sz w:val="24"/>
                <w:szCs w:val="21"/>
                <w:highlight w:val="none"/>
                <w:lang w:val="en-US" w:eastAsia="zh-CN"/>
              </w:rPr>
              <w:t>厂房</w:t>
            </w:r>
            <w:r>
              <w:rPr>
                <w:rFonts w:hint="eastAsia"/>
                <w:color w:val="auto"/>
                <w:sz w:val="24"/>
                <w:szCs w:val="21"/>
                <w:highlight w:val="none"/>
              </w:rPr>
              <w:t>的边界外</w:t>
            </w:r>
            <w:r>
              <w:rPr>
                <w:color w:val="auto"/>
                <w:sz w:val="24"/>
                <w:szCs w:val="21"/>
                <w:highlight w:val="none"/>
              </w:rPr>
              <w:t>设</w:t>
            </w:r>
            <w:r>
              <w:rPr>
                <w:rFonts w:hint="eastAsia"/>
                <w:color w:val="auto"/>
                <w:sz w:val="24"/>
                <w:szCs w:val="21"/>
                <w:highlight w:val="none"/>
                <w:lang w:val="en-US" w:eastAsia="zh-CN"/>
              </w:rPr>
              <w:t>50</w:t>
            </w:r>
            <w:r>
              <w:rPr>
                <w:color w:val="auto"/>
                <w:sz w:val="24"/>
                <w:szCs w:val="21"/>
                <w:highlight w:val="none"/>
              </w:rPr>
              <w:t>m卫生防护距离</w:t>
            </w:r>
            <w:r>
              <w:rPr>
                <w:rFonts w:hint="eastAsia"/>
                <w:color w:val="auto"/>
                <w:sz w:val="24"/>
                <w:szCs w:val="21"/>
                <w:highlight w:val="none"/>
              </w:rPr>
              <w:t>，</w:t>
            </w:r>
            <w:r>
              <w:rPr>
                <w:rFonts w:hint="eastAsia" w:ascii="宋体" w:hAnsi="宋体" w:cs="宋体"/>
                <w:color w:val="auto"/>
                <w:kern w:val="0"/>
                <w:sz w:val="24"/>
                <w:highlight w:val="none"/>
                <w:lang w:bidi="ar"/>
              </w:rPr>
              <w:t>根据现场勘查，本项目卫生防护距离范围内无居民、医院、学校等环境敏感点，今后也不得新建居民区、医院、学校等环境敏感点。</w:t>
            </w:r>
            <w:r>
              <w:rPr>
                <w:color w:val="auto"/>
                <w:sz w:val="24"/>
                <w:szCs w:val="21"/>
                <w:highlight w:val="none"/>
              </w:rPr>
              <w:t>详见</w:t>
            </w:r>
            <w:r>
              <w:rPr>
                <w:b/>
                <w:color w:val="auto"/>
                <w:sz w:val="24"/>
                <w:szCs w:val="21"/>
                <w:highlight w:val="none"/>
              </w:rPr>
              <w:t>附图3</w:t>
            </w:r>
            <w:r>
              <w:rPr>
                <w:color w:val="auto"/>
                <w:sz w:val="24"/>
                <w:szCs w:val="21"/>
                <w:highlight w:val="none"/>
              </w:rPr>
              <w:t>。</w:t>
            </w:r>
          </w:p>
          <w:p w14:paraId="4CF951DA">
            <w:pPr>
              <w:keepNext w:val="0"/>
              <w:keepLines w:val="0"/>
              <w:pageBreakBefore w:val="0"/>
              <w:kinsoku/>
              <w:wordWrap/>
              <w:overflowPunct/>
              <w:topLinePunct w:val="0"/>
              <w:autoSpaceDE/>
              <w:autoSpaceDN/>
              <w:bidi w:val="0"/>
              <w:adjustRightInd/>
              <w:snapToGrid/>
              <w:spacing w:line="360" w:lineRule="auto"/>
              <w:ind w:left="0" w:firstLine="442" w:firstLineChars="200"/>
              <w:textAlignment w:val="auto"/>
              <w:rPr>
                <w:rFonts w:hint="eastAsia"/>
                <w:b/>
                <w:bCs/>
                <w:color w:val="auto"/>
                <w:spacing w:val="-10"/>
                <w:sz w:val="24"/>
                <w:szCs w:val="21"/>
                <w:highlight w:val="none"/>
              </w:rPr>
            </w:pPr>
            <w:r>
              <w:rPr>
                <w:rFonts w:hint="eastAsia"/>
                <w:b/>
                <w:bCs/>
                <w:color w:val="auto"/>
                <w:spacing w:val="-10"/>
                <w:sz w:val="24"/>
                <w:szCs w:val="21"/>
                <w:highlight w:val="none"/>
                <w:lang w:val="en-US" w:eastAsia="zh-CN"/>
              </w:rPr>
              <w:t>5</w:t>
            </w:r>
            <w:r>
              <w:rPr>
                <w:rFonts w:hint="eastAsia"/>
                <w:b/>
                <w:bCs/>
                <w:color w:val="auto"/>
                <w:spacing w:val="-10"/>
                <w:sz w:val="24"/>
                <w:szCs w:val="21"/>
                <w:highlight w:val="none"/>
              </w:rPr>
              <w:t>、结论</w:t>
            </w:r>
          </w:p>
          <w:p w14:paraId="772071FC">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highlight w:val="none"/>
                <w:lang w:bidi="ar"/>
              </w:rPr>
              <w:t>本项目所在地环境空气质量满足《环境空气质量标准》（GB3095-2012）中二级标准，项目厂界周边500米无敏感点；废气采取</w:t>
            </w:r>
            <w:r>
              <w:rPr>
                <w:rFonts w:hint="eastAsia" w:cs="Times New Roman"/>
                <w:color w:val="auto"/>
                <w:kern w:val="0"/>
                <w:sz w:val="24"/>
                <w:szCs w:val="24"/>
                <w:highlight w:val="none"/>
                <w:lang w:val="en-US" w:eastAsia="zh-CN" w:bidi="ar"/>
              </w:rPr>
              <w:t>无</w:t>
            </w:r>
            <w:r>
              <w:rPr>
                <w:rFonts w:hint="default" w:ascii="Times New Roman" w:hAnsi="Times New Roman" w:cs="Times New Roman"/>
                <w:color w:val="auto"/>
                <w:kern w:val="0"/>
                <w:sz w:val="24"/>
                <w:szCs w:val="24"/>
                <w:highlight w:val="none"/>
                <w:lang w:bidi="ar"/>
              </w:rPr>
              <w:t>组织形式排放，排放量小；</w:t>
            </w:r>
            <w:r>
              <w:rPr>
                <w:rFonts w:hint="eastAsia" w:ascii="Times New Roman" w:hAnsi="Times New Roman" w:cs="Times New Roman"/>
                <w:color w:val="auto"/>
                <w:kern w:val="0"/>
                <w:sz w:val="24"/>
                <w:szCs w:val="24"/>
                <w:highlight w:val="none"/>
                <w:lang w:eastAsia="zh-CN" w:bidi="ar"/>
              </w:rPr>
              <w:t>非甲烷总烃</w:t>
            </w:r>
            <w:r>
              <w:rPr>
                <w:rFonts w:hint="default" w:ascii="Times New Roman" w:hAnsi="Times New Roman" w:cs="Times New Roman"/>
                <w:color w:val="auto"/>
                <w:kern w:val="0"/>
                <w:sz w:val="24"/>
                <w:szCs w:val="24"/>
                <w:highlight w:val="none"/>
                <w:lang w:bidi="ar"/>
              </w:rPr>
              <w:t>排放满足</w:t>
            </w:r>
            <w:r>
              <w:rPr>
                <w:rFonts w:hint="default" w:ascii="Times New Roman" w:hAnsi="Times New Roman" w:cs="Times New Roman"/>
                <w:color w:val="auto"/>
                <w:sz w:val="24"/>
                <w:szCs w:val="24"/>
                <w:highlight w:val="none"/>
              </w:rPr>
              <w:t>《大气污染物综合排放标准》（DB32/4041-2021）</w:t>
            </w:r>
            <w:r>
              <w:rPr>
                <w:rFonts w:hint="eastAsia" w:cs="Times New Roman"/>
                <w:color w:val="auto"/>
                <w:sz w:val="24"/>
                <w:szCs w:val="24"/>
                <w:highlight w:val="none"/>
                <w:lang w:val="en-US" w:eastAsia="zh-CN"/>
              </w:rPr>
              <w:t>表2、</w:t>
            </w:r>
            <w:r>
              <w:rPr>
                <w:rFonts w:hint="default" w:ascii="Times New Roman" w:hAnsi="Times New Roman" w:cs="Times New Roman"/>
                <w:color w:val="auto"/>
                <w:sz w:val="24"/>
                <w:szCs w:val="24"/>
                <w:highlight w:val="none"/>
              </w:rPr>
              <w:t>表</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标准</w:t>
            </w:r>
            <w:r>
              <w:rPr>
                <w:rFonts w:hint="default" w:ascii="Times New Roman" w:hAnsi="Times New Roman" w:cs="Times New Roman"/>
                <w:color w:val="auto"/>
                <w:kern w:val="0"/>
                <w:sz w:val="24"/>
                <w:szCs w:val="24"/>
                <w:highlight w:val="none"/>
                <w:lang w:bidi="ar"/>
              </w:rPr>
              <w:t>要求，项目废气排放对大气环境影响较小。本项目卫生防护距离推荐值为：以厂界为起始分别设置</w:t>
            </w:r>
            <w:r>
              <w:rPr>
                <w:rFonts w:hint="eastAsia" w:ascii="Times New Roman" w:hAnsi="Times New Roman" w:cs="Times New Roman"/>
                <w:color w:val="auto"/>
                <w:kern w:val="0"/>
                <w:sz w:val="24"/>
                <w:szCs w:val="24"/>
                <w:highlight w:val="none"/>
                <w:lang w:val="en-US" w:eastAsia="zh-CN" w:bidi="ar"/>
              </w:rPr>
              <w:t>5</w:t>
            </w:r>
            <w:r>
              <w:rPr>
                <w:rFonts w:hint="default" w:ascii="Times New Roman" w:hAnsi="Times New Roman" w:cs="Times New Roman"/>
                <w:color w:val="auto"/>
                <w:kern w:val="0"/>
                <w:sz w:val="24"/>
                <w:szCs w:val="24"/>
                <w:highlight w:val="none"/>
                <w:lang w:bidi="ar"/>
              </w:rPr>
              <w:t>0m的卫生防护距离。经现场踏勘，项目卫生防护距离范围内无居民、医院、学校等环境敏感目标，能满足项目卫生防护距离的要求。</w:t>
            </w:r>
          </w:p>
          <w:p w14:paraId="3150BFBD">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highlight w:val="none"/>
                <w:lang w:bidi="ar"/>
              </w:rPr>
              <w:t>本项目位于不达标区域，本项目产生VOCs（以非甲烷总烃计，</w:t>
            </w:r>
            <w:r>
              <w:rPr>
                <w:rFonts w:hint="eastAsia" w:cs="Times New Roman"/>
                <w:color w:val="auto"/>
                <w:kern w:val="0"/>
                <w:sz w:val="24"/>
                <w:szCs w:val="24"/>
                <w:highlight w:val="none"/>
                <w:lang w:val="en-US" w:eastAsia="zh-CN" w:bidi="ar"/>
              </w:rPr>
              <w:t>无</w:t>
            </w:r>
            <w:r>
              <w:rPr>
                <w:rFonts w:hint="default" w:ascii="Times New Roman" w:hAnsi="Times New Roman" w:cs="Times New Roman"/>
                <w:color w:val="auto"/>
                <w:kern w:val="0"/>
                <w:sz w:val="24"/>
                <w:szCs w:val="24"/>
                <w:highlight w:val="none"/>
                <w:lang w:bidi="ar"/>
              </w:rPr>
              <w:t>组织</w:t>
            </w:r>
            <w:r>
              <w:rPr>
                <w:rFonts w:hint="eastAsia" w:cs="Times New Roman"/>
                <w:color w:val="auto"/>
                <w:kern w:val="0"/>
                <w:sz w:val="24"/>
                <w:szCs w:val="24"/>
                <w:highlight w:val="none"/>
                <w:lang w:val="en-US" w:eastAsia="zh-CN" w:bidi="ar"/>
              </w:rPr>
              <w:t>0.208</w:t>
            </w:r>
            <w:r>
              <w:rPr>
                <w:rFonts w:hint="default" w:ascii="Times New Roman" w:hAnsi="Times New Roman" w:cs="Times New Roman"/>
                <w:color w:val="auto"/>
                <w:kern w:val="0"/>
                <w:sz w:val="24"/>
                <w:szCs w:val="24"/>
                <w:highlight w:val="none"/>
                <w:lang w:bidi="ar"/>
              </w:rPr>
              <w:t>t/a</w:t>
            </w:r>
            <w:r>
              <w:rPr>
                <w:rFonts w:hint="eastAsia" w:cs="Times New Roman"/>
                <w:color w:val="auto"/>
                <w:kern w:val="0"/>
                <w:sz w:val="24"/>
                <w:szCs w:val="24"/>
                <w:highlight w:val="none"/>
                <w:lang w:eastAsia="zh-CN" w:bidi="ar"/>
              </w:rPr>
              <w:t>）</w:t>
            </w:r>
            <w:r>
              <w:rPr>
                <w:rFonts w:hint="default" w:ascii="Times New Roman" w:hAnsi="Times New Roman" w:cs="Times New Roman"/>
                <w:color w:val="auto"/>
                <w:kern w:val="0"/>
                <w:sz w:val="24"/>
                <w:szCs w:val="24"/>
                <w:highlight w:val="none"/>
                <w:lang w:bidi="ar"/>
              </w:rPr>
              <w:t>，需申请总量。</w:t>
            </w:r>
          </w:p>
          <w:p w14:paraId="246FA9E5">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highlight w:val="none"/>
                <w:lang w:bidi="ar"/>
              </w:rPr>
              <w:t>本项目满足区域大气环境质量改善目标，项目大气污染物排放方案可行，项目正常情况排放的大气污染物对大气环境影响可接受。</w:t>
            </w:r>
          </w:p>
          <w:p w14:paraId="61EC9389">
            <w:pPr>
              <w:keepNext w:val="0"/>
              <w:keepLines w:val="0"/>
              <w:pageBreakBefore w:val="0"/>
              <w:kinsoku/>
              <w:wordWrap/>
              <w:overflowPunct/>
              <w:topLinePunct w:val="0"/>
              <w:autoSpaceDE/>
              <w:autoSpaceDN/>
              <w:bidi w:val="0"/>
              <w:adjustRightInd/>
              <w:snapToGrid/>
              <w:spacing w:line="360" w:lineRule="auto"/>
              <w:ind w:left="0"/>
              <w:textAlignment w:val="auto"/>
              <w:rPr>
                <w:rFonts w:eastAsiaTheme="minorEastAsia"/>
                <w:b/>
                <w:color w:val="auto"/>
                <w:kern w:val="0"/>
                <w:sz w:val="24"/>
                <w:highlight w:val="none"/>
              </w:rPr>
            </w:pPr>
            <w:r>
              <w:rPr>
                <w:rFonts w:eastAsiaTheme="minorEastAsia"/>
                <w:b/>
                <w:color w:val="auto"/>
                <w:kern w:val="0"/>
                <w:sz w:val="24"/>
                <w:highlight w:val="none"/>
              </w:rPr>
              <w:t>（二）废水</w:t>
            </w:r>
          </w:p>
          <w:p w14:paraId="2FB913AC">
            <w:pPr>
              <w:keepNext w:val="0"/>
              <w:keepLines w:val="0"/>
              <w:pageBreakBefore w:val="0"/>
              <w:numPr>
                <w:ilvl w:val="0"/>
                <w:numId w:val="7"/>
              </w:numPr>
              <w:kinsoku/>
              <w:wordWrap/>
              <w:overflowPunct/>
              <w:topLinePunct w:val="0"/>
              <w:autoSpaceDE/>
              <w:autoSpaceDN/>
              <w:bidi w:val="0"/>
              <w:adjustRightInd/>
              <w:snapToGrid/>
              <w:spacing w:line="360" w:lineRule="auto"/>
              <w:ind w:left="0" w:leftChars="0" w:firstLine="482" w:firstLineChars="0"/>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废水源强分析</w:t>
            </w:r>
          </w:p>
          <w:p w14:paraId="6771C2CF">
            <w:pPr>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本项目产生的废水为生活污水</w:t>
            </w:r>
            <w:r>
              <w:rPr>
                <w:rFonts w:hint="eastAsia" w:cs="Times New Roman"/>
                <w:color w:val="auto"/>
                <w:sz w:val="24"/>
                <w:highlight w:val="none"/>
                <w:lang w:eastAsia="zh-CN"/>
              </w:rPr>
              <w:t>和生产废水</w:t>
            </w:r>
            <w:r>
              <w:rPr>
                <w:rFonts w:hint="eastAsia"/>
                <w:color w:val="auto"/>
                <w:highlight w:val="none"/>
                <w:lang w:eastAsia="zh-CN"/>
              </w:rPr>
              <w:t>。</w:t>
            </w:r>
            <w:r>
              <w:rPr>
                <w:rFonts w:hint="default" w:ascii="Times New Roman" w:hAnsi="Times New Roman" w:cs="Times New Roman"/>
                <w:color w:val="auto"/>
                <w:sz w:val="24"/>
                <w:highlight w:val="none"/>
              </w:rPr>
              <w:t>废水产生、治理及排放情况见表4-</w:t>
            </w:r>
            <w:r>
              <w:rPr>
                <w:rFonts w:hint="eastAsia" w:cs="Times New Roman"/>
                <w:color w:val="auto"/>
                <w:sz w:val="24"/>
                <w:highlight w:val="none"/>
                <w:lang w:val="en-US" w:eastAsia="zh-CN"/>
              </w:rPr>
              <w:t>7</w:t>
            </w:r>
            <w:r>
              <w:rPr>
                <w:rFonts w:hint="default" w:ascii="Times New Roman" w:hAnsi="Times New Roman" w:cs="Times New Roman"/>
                <w:color w:val="auto"/>
                <w:sz w:val="24"/>
                <w:highlight w:val="none"/>
              </w:rPr>
              <w:t>。具体源强分析过程如下：</w:t>
            </w:r>
          </w:p>
          <w:p w14:paraId="352A1C4F">
            <w:pPr>
              <w:pStyle w:val="4"/>
              <w:pageBreakBefore w:val="0"/>
              <w:numPr>
                <w:ilvl w:val="0"/>
                <w:numId w:val="0"/>
              </w:numPr>
              <w:kinsoku/>
              <w:wordWrap/>
              <w:overflowPunct/>
              <w:topLinePunct w:val="0"/>
              <w:autoSpaceDE/>
              <w:autoSpaceDN/>
              <w:bidi w:val="0"/>
              <w:adjustRightInd/>
              <w:snapToGrid/>
              <w:spacing w:before="0" w:after="0" w:line="360" w:lineRule="auto"/>
              <w:ind w:leftChars="200"/>
              <w:textAlignment w:val="auto"/>
              <w:outlineLvl w:val="2"/>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生活污水</w:t>
            </w:r>
          </w:p>
          <w:p w14:paraId="1FB5D7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b/>
                <w:color w:val="auto"/>
                <w:sz w:val="24"/>
                <w:szCs w:val="24"/>
                <w:highlight w:val="none"/>
                <w:lang w:val="zh-CN"/>
              </w:rPr>
            </w:pPr>
            <w:r>
              <w:rPr>
                <w:rFonts w:hint="default" w:ascii="Times New Roman" w:hAnsi="Times New Roman" w:cs="Times New Roman"/>
                <w:color w:val="auto"/>
                <w:sz w:val="24"/>
                <w:highlight w:val="none"/>
              </w:rPr>
              <w:t>项目定员</w:t>
            </w:r>
            <w:r>
              <w:rPr>
                <w:rFonts w:hint="eastAsia" w:cs="Times New Roman"/>
                <w:color w:val="auto"/>
                <w:sz w:val="24"/>
                <w:highlight w:val="none"/>
                <w:lang w:val="en-US" w:eastAsia="zh-CN"/>
              </w:rPr>
              <w:t>50</w:t>
            </w:r>
            <w:r>
              <w:rPr>
                <w:rFonts w:hint="default" w:ascii="Times New Roman" w:hAnsi="Times New Roman" w:cs="Times New Roman"/>
                <w:color w:val="auto"/>
                <w:sz w:val="24"/>
                <w:highlight w:val="none"/>
              </w:rPr>
              <w:t>人。根据《建筑给水排水设计标准》（GB50015-2019），工业企业管理人员与</w:t>
            </w:r>
            <w:r>
              <w:rPr>
                <w:rFonts w:hint="default" w:ascii="Times New Roman" w:hAnsi="Times New Roman" w:cs="Times New Roman"/>
                <w:color w:val="auto"/>
                <w:sz w:val="24"/>
                <w:highlight w:val="none"/>
                <w:lang w:val="en-US"/>
              </w:rPr>
              <w:t>车间</w:t>
            </w:r>
            <w:r>
              <w:rPr>
                <w:rFonts w:hint="default" w:ascii="Times New Roman" w:hAnsi="Times New Roman" w:cs="Times New Roman"/>
                <w:color w:val="auto"/>
                <w:sz w:val="24"/>
                <w:highlight w:val="none"/>
              </w:rPr>
              <w:t>工人生活用水可取30-50L/（人·班），本次评价按50L/（人•天）计，年工作日</w:t>
            </w:r>
            <w:r>
              <w:rPr>
                <w:rFonts w:hint="eastAsia" w:cs="Times New Roman"/>
                <w:color w:val="auto"/>
                <w:sz w:val="24"/>
                <w:highlight w:val="none"/>
                <w:lang w:val="en-US" w:eastAsia="zh-CN"/>
              </w:rPr>
              <w:t>300</w:t>
            </w:r>
            <w:r>
              <w:rPr>
                <w:rFonts w:hint="default" w:ascii="Times New Roman" w:hAnsi="Times New Roman" w:cs="Times New Roman"/>
                <w:color w:val="auto"/>
                <w:sz w:val="24"/>
                <w:highlight w:val="none"/>
              </w:rPr>
              <w:t>天</w:t>
            </w:r>
            <w:r>
              <w:rPr>
                <w:rFonts w:hint="default" w:ascii="Times New Roman" w:hAnsi="Times New Roman" w:cs="Times New Roman"/>
                <w:color w:val="auto"/>
                <w:sz w:val="24"/>
                <w:highlight w:val="none"/>
                <w:lang w:val="en-US"/>
              </w:rPr>
              <w:t>，</w:t>
            </w:r>
            <w:r>
              <w:rPr>
                <w:rFonts w:hint="default" w:ascii="Times New Roman" w:hAnsi="Times New Roman" w:cs="Times New Roman"/>
                <w:color w:val="auto"/>
                <w:sz w:val="24"/>
                <w:highlight w:val="none"/>
              </w:rPr>
              <w:t>则用水量为</w:t>
            </w:r>
            <w:r>
              <w:rPr>
                <w:rFonts w:hint="eastAsia" w:cs="Times New Roman"/>
                <w:color w:val="auto"/>
                <w:sz w:val="24"/>
                <w:highlight w:val="none"/>
                <w:lang w:val="en-US" w:eastAsia="zh-CN"/>
              </w:rPr>
              <w:t>2.5</w:t>
            </w:r>
            <w:r>
              <w:rPr>
                <w:rFonts w:hint="default" w:ascii="Times New Roman" w:hAnsi="Times New Roman" w:cs="Times New Roman"/>
                <w:color w:val="auto"/>
                <w:sz w:val="24"/>
                <w:highlight w:val="none"/>
              </w:rPr>
              <w:t>t/d（</w:t>
            </w:r>
            <w:r>
              <w:rPr>
                <w:rFonts w:hint="eastAsia" w:cs="Times New Roman"/>
                <w:color w:val="auto"/>
                <w:sz w:val="24"/>
                <w:highlight w:val="none"/>
                <w:lang w:val="en-US" w:eastAsia="zh-CN"/>
              </w:rPr>
              <w:t>750</w:t>
            </w:r>
            <w:r>
              <w:rPr>
                <w:rFonts w:hint="default" w:ascii="Times New Roman" w:hAnsi="Times New Roman" w:cs="Times New Roman"/>
                <w:color w:val="auto"/>
                <w:sz w:val="24"/>
                <w:highlight w:val="none"/>
              </w:rPr>
              <w:t>t/a），</w:t>
            </w:r>
            <w:r>
              <w:rPr>
                <w:rFonts w:hint="default" w:ascii="Times New Roman" w:hAnsi="Times New Roman" w:cs="Times New Roman"/>
                <w:color w:val="auto"/>
                <w:kern w:val="0"/>
                <w:sz w:val="24"/>
                <w:highlight w:val="none"/>
              </w:rPr>
              <w:t>排水按用水量的80%计，</w:t>
            </w:r>
            <w:r>
              <w:rPr>
                <w:rFonts w:hint="default" w:ascii="Times New Roman" w:hAnsi="Times New Roman" w:cs="Times New Roman"/>
                <w:color w:val="auto"/>
                <w:sz w:val="24"/>
                <w:highlight w:val="none"/>
              </w:rPr>
              <w:t>则生活污水产生量为</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t/d（</w:t>
            </w:r>
            <w:r>
              <w:rPr>
                <w:rFonts w:hint="eastAsia" w:cs="Times New Roman"/>
                <w:color w:val="auto"/>
                <w:sz w:val="24"/>
                <w:highlight w:val="none"/>
                <w:lang w:val="en-US" w:eastAsia="zh-CN"/>
              </w:rPr>
              <w:t>600</w:t>
            </w:r>
            <w:r>
              <w:rPr>
                <w:rFonts w:hint="default" w:ascii="Times New Roman" w:hAnsi="Times New Roman" w:cs="Times New Roman"/>
                <w:color w:val="auto"/>
                <w:sz w:val="24"/>
                <w:highlight w:val="none"/>
              </w:rPr>
              <w:t>t/a）。</w:t>
            </w:r>
            <w:r>
              <w:rPr>
                <w:color w:val="auto"/>
                <w:sz w:val="24"/>
                <w:szCs w:val="24"/>
                <w:highlight w:val="none"/>
              </w:rPr>
              <w:t>生活污水中主要污染物及产生浓度为COD</w:t>
            </w:r>
            <w:r>
              <w:rPr>
                <w:rFonts w:hint="eastAsia"/>
                <w:color w:val="auto"/>
                <w:sz w:val="24"/>
                <w:szCs w:val="24"/>
                <w:highlight w:val="none"/>
              </w:rPr>
              <w:t>50</w:t>
            </w:r>
            <w:r>
              <w:rPr>
                <w:color w:val="auto"/>
                <w:sz w:val="24"/>
                <w:szCs w:val="24"/>
                <w:highlight w:val="none"/>
              </w:rPr>
              <w:t>0mg/L、SS</w:t>
            </w:r>
            <w:r>
              <w:rPr>
                <w:rFonts w:hint="eastAsia"/>
                <w:color w:val="auto"/>
                <w:sz w:val="24"/>
                <w:szCs w:val="24"/>
                <w:highlight w:val="none"/>
              </w:rPr>
              <w:t>30</w:t>
            </w:r>
            <w:r>
              <w:rPr>
                <w:color w:val="auto"/>
                <w:sz w:val="24"/>
                <w:szCs w:val="24"/>
                <w:highlight w:val="none"/>
              </w:rPr>
              <w:t>0mg/L、氨氮</w:t>
            </w:r>
            <w:r>
              <w:rPr>
                <w:rFonts w:hint="eastAsia"/>
                <w:color w:val="auto"/>
                <w:sz w:val="24"/>
                <w:szCs w:val="24"/>
                <w:highlight w:val="none"/>
              </w:rPr>
              <w:t>3</w:t>
            </w:r>
            <w:r>
              <w:rPr>
                <w:color w:val="auto"/>
                <w:sz w:val="24"/>
                <w:szCs w:val="24"/>
                <w:highlight w:val="none"/>
              </w:rPr>
              <w:t>5mg/L、总磷4mg/L</w:t>
            </w:r>
            <w:r>
              <w:rPr>
                <w:rFonts w:hint="eastAsia"/>
                <w:color w:val="auto"/>
                <w:sz w:val="24"/>
                <w:szCs w:val="24"/>
                <w:highlight w:val="none"/>
              </w:rPr>
              <w:t>、总氮40</w:t>
            </w:r>
            <w:r>
              <w:rPr>
                <w:color w:val="auto"/>
                <w:sz w:val="24"/>
                <w:szCs w:val="24"/>
                <w:highlight w:val="none"/>
              </w:rPr>
              <w:t>mg/L，</w:t>
            </w:r>
            <w:r>
              <w:rPr>
                <w:color w:val="auto"/>
                <w:kern w:val="0"/>
                <w:sz w:val="24"/>
                <w:szCs w:val="24"/>
                <w:highlight w:val="none"/>
              </w:rPr>
              <w:t>项目生活污水经</w:t>
            </w:r>
            <w:r>
              <w:rPr>
                <w:rFonts w:hint="eastAsia"/>
                <w:color w:val="auto"/>
                <w:kern w:val="0"/>
                <w:sz w:val="24"/>
                <w:szCs w:val="24"/>
                <w:highlight w:val="none"/>
              </w:rPr>
              <w:t>园区现有</w:t>
            </w:r>
            <w:r>
              <w:rPr>
                <w:color w:val="auto"/>
                <w:kern w:val="0"/>
                <w:sz w:val="24"/>
                <w:szCs w:val="24"/>
                <w:highlight w:val="none"/>
              </w:rPr>
              <w:t>的化粪池处理后，</w:t>
            </w:r>
            <w:r>
              <w:rPr>
                <w:color w:val="auto"/>
                <w:sz w:val="24"/>
                <w:szCs w:val="24"/>
                <w:highlight w:val="none"/>
              </w:rPr>
              <w:t>达接管要求排入</w:t>
            </w:r>
            <w:r>
              <w:rPr>
                <w:rFonts w:hint="eastAsia"/>
                <w:color w:val="auto"/>
                <w:sz w:val="24"/>
                <w:szCs w:val="24"/>
                <w:highlight w:val="none"/>
              </w:rPr>
              <w:t>句容市</w:t>
            </w:r>
            <w:r>
              <w:rPr>
                <w:rFonts w:hint="eastAsia"/>
                <w:color w:val="auto"/>
                <w:sz w:val="24"/>
                <w:szCs w:val="24"/>
                <w:highlight w:val="none"/>
                <w:lang w:eastAsia="zh-CN"/>
              </w:rPr>
              <w:t>郭庄污水处理</w:t>
            </w:r>
            <w:r>
              <w:rPr>
                <w:rFonts w:hint="eastAsia"/>
                <w:color w:val="auto"/>
                <w:sz w:val="24"/>
                <w:szCs w:val="24"/>
                <w:highlight w:val="none"/>
              </w:rPr>
              <w:t>有限公司</w:t>
            </w:r>
            <w:r>
              <w:rPr>
                <w:color w:val="auto"/>
                <w:sz w:val="24"/>
                <w:szCs w:val="24"/>
                <w:highlight w:val="none"/>
              </w:rPr>
              <w:t>集中处理。化粪池处理后主要污染物及排放浓度为COD</w:t>
            </w:r>
            <w:r>
              <w:rPr>
                <w:rFonts w:hint="eastAsia"/>
                <w:color w:val="auto"/>
                <w:sz w:val="24"/>
                <w:szCs w:val="24"/>
                <w:highlight w:val="none"/>
              </w:rPr>
              <w:t>30</w:t>
            </w:r>
            <w:r>
              <w:rPr>
                <w:color w:val="auto"/>
                <w:sz w:val="24"/>
                <w:szCs w:val="24"/>
                <w:highlight w:val="none"/>
              </w:rPr>
              <w:t>0mg/L、SS</w:t>
            </w:r>
            <w:r>
              <w:rPr>
                <w:rFonts w:hint="eastAsia"/>
                <w:color w:val="auto"/>
                <w:sz w:val="24"/>
                <w:szCs w:val="24"/>
                <w:highlight w:val="none"/>
              </w:rPr>
              <w:t>120</w:t>
            </w:r>
            <w:r>
              <w:rPr>
                <w:color w:val="auto"/>
                <w:sz w:val="24"/>
                <w:szCs w:val="24"/>
                <w:highlight w:val="none"/>
              </w:rPr>
              <w:t>mg/L、氨氮</w:t>
            </w:r>
            <w:r>
              <w:rPr>
                <w:rFonts w:hint="eastAsia"/>
                <w:color w:val="auto"/>
                <w:sz w:val="24"/>
                <w:szCs w:val="24"/>
                <w:highlight w:val="none"/>
              </w:rPr>
              <w:t>3</w:t>
            </w:r>
            <w:r>
              <w:rPr>
                <w:rFonts w:hint="eastAsia"/>
                <w:color w:val="auto"/>
                <w:sz w:val="24"/>
                <w:szCs w:val="24"/>
                <w:highlight w:val="none"/>
                <w:lang w:val="en-US" w:eastAsia="zh-CN"/>
              </w:rPr>
              <w:t>5</w:t>
            </w:r>
            <w:r>
              <w:rPr>
                <w:color w:val="auto"/>
                <w:sz w:val="24"/>
                <w:szCs w:val="24"/>
                <w:highlight w:val="none"/>
              </w:rPr>
              <w:t>mg/L、总磷4mg/L</w:t>
            </w:r>
            <w:r>
              <w:rPr>
                <w:rFonts w:hint="eastAsia"/>
                <w:color w:val="auto"/>
                <w:sz w:val="24"/>
                <w:szCs w:val="24"/>
                <w:highlight w:val="none"/>
              </w:rPr>
              <w:t>、总氮40</w:t>
            </w:r>
            <w:r>
              <w:rPr>
                <w:color w:val="auto"/>
                <w:sz w:val="24"/>
                <w:szCs w:val="24"/>
                <w:highlight w:val="none"/>
              </w:rPr>
              <w:t>mg/L。</w:t>
            </w:r>
          </w:p>
          <w:p w14:paraId="758826AA">
            <w:pPr>
              <w:pageBreakBefore w:val="0"/>
              <w:numPr>
                <w:ilvl w:val="0"/>
                <w:numId w:val="0"/>
              </w:numPr>
              <w:kinsoku/>
              <w:wordWrap/>
              <w:overflowPunct/>
              <w:topLinePunct w:val="0"/>
              <w:autoSpaceDE/>
              <w:autoSpaceDN/>
              <w:bidi w:val="0"/>
              <w:adjustRightInd/>
              <w:snapToGrid/>
              <w:spacing w:line="360" w:lineRule="auto"/>
              <w:ind w:leftChars="200"/>
              <w:textAlignment w:val="auto"/>
              <w:rPr>
                <w:b/>
                <w:color w:val="auto"/>
                <w:sz w:val="24"/>
                <w:highlight w:val="none"/>
                <w:lang w:val="zh-CN"/>
              </w:rPr>
            </w:pPr>
            <w:r>
              <w:rPr>
                <w:rFonts w:hint="eastAsia"/>
                <w:b/>
                <w:color w:val="auto"/>
                <w:sz w:val="24"/>
                <w:highlight w:val="none"/>
                <w:lang w:val="zh-CN"/>
              </w:rPr>
              <w:t>（</w:t>
            </w:r>
            <w:r>
              <w:rPr>
                <w:rFonts w:hint="eastAsia"/>
                <w:b/>
                <w:color w:val="auto"/>
                <w:sz w:val="24"/>
                <w:highlight w:val="none"/>
                <w:lang w:val="en-US" w:eastAsia="zh-CN"/>
              </w:rPr>
              <w:t>2</w:t>
            </w:r>
            <w:r>
              <w:rPr>
                <w:rFonts w:hint="eastAsia"/>
                <w:b/>
                <w:color w:val="auto"/>
                <w:sz w:val="24"/>
                <w:highlight w:val="none"/>
                <w:lang w:val="zh-CN"/>
              </w:rPr>
              <w:t>）</w:t>
            </w:r>
            <w:r>
              <w:rPr>
                <w:b/>
                <w:color w:val="auto"/>
                <w:sz w:val="24"/>
                <w:highlight w:val="none"/>
                <w:lang w:val="zh-CN"/>
              </w:rPr>
              <w:t>生产废水</w:t>
            </w:r>
          </w:p>
          <w:p w14:paraId="0A9FDCC7">
            <w:pPr>
              <w:pageBreakBefore w:val="0"/>
              <w:kinsoku/>
              <w:wordWrap/>
              <w:overflowPunct/>
              <w:topLinePunct w:val="0"/>
              <w:autoSpaceDE/>
              <w:autoSpaceDN/>
              <w:bidi w:val="0"/>
              <w:adjustRightInd/>
              <w:snapToGrid/>
              <w:spacing w:line="360" w:lineRule="auto"/>
              <w:ind w:left="0" w:firstLine="480" w:firstLineChars="200"/>
              <w:textAlignment w:val="auto"/>
              <w:rPr>
                <w:rFonts w:hint="eastAsia" w:eastAsia="宋体"/>
                <w:color w:val="auto"/>
                <w:sz w:val="24"/>
                <w:szCs w:val="24"/>
                <w:highlight w:val="none"/>
                <w:lang w:eastAsia="zh-CN"/>
              </w:rPr>
            </w:pPr>
            <w:r>
              <w:rPr>
                <w:color w:val="auto"/>
                <w:sz w:val="24"/>
                <w:szCs w:val="24"/>
                <w:highlight w:val="none"/>
              </w:rPr>
              <w:t>本项目生产</w:t>
            </w:r>
            <w:r>
              <w:rPr>
                <w:rFonts w:hint="eastAsia"/>
                <w:color w:val="auto"/>
                <w:sz w:val="24"/>
                <w:szCs w:val="24"/>
                <w:highlight w:val="none"/>
                <w:lang w:val="en-US" w:eastAsia="zh-CN"/>
              </w:rPr>
              <w:t>废</w:t>
            </w:r>
            <w:r>
              <w:rPr>
                <w:color w:val="auto"/>
                <w:sz w:val="24"/>
                <w:szCs w:val="24"/>
                <w:highlight w:val="none"/>
              </w:rPr>
              <w:t>水主要是</w:t>
            </w:r>
            <w:r>
              <w:rPr>
                <w:rFonts w:hint="eastAsia"/>
                <w:color w:val="auto"/>
                <w:sz w:val="24"/>
                <w:szCs w:val="24"/>
                <w:highlight w:val="none"/>
                <w:lang w:val="en-US" w:eastAsia="zh-CN"/>
              </w:rPr>
              <w:t>清洗废水</w:t>
            </w:r>
            <w:r>
              <w:rPr>
                <w:color w:val="auto"/>
                <w:sz w:val="24"/>
                <w:szCs w:val="24"/>
                <w:highlight w:val="none"/>
              </w:rPr>
              <w:t>。</w:t>
            </w:r>
            <w:r>
              <w:rPr>
                <w:rFonts w:hint="eastAsia"/>
                <w:color w:val="auto"/>
                <w:sz w:val="24"/>
                <w:szCs w:val="24"/>
                <w:highlight w:val="none"/>
                <w:lang w:val="en-US" w:eastAsia="zh-CN"/>
              </w:rPr>
              <w:t>清洗废水</w:t>
            </w:r>
            <w:r>
              <w:rPr>
                <w:rFonts w:hint="eastAsia"/>
                <w:color w:val="auto"/>
                <w:sz w:val="24"/>
                <w:szCs w:val="24"/>
                <w:highlight w:val="none"/>
                <w:lang w:eastAsia="zh-CN"/>
              </w:rPr>
              <w:t>经沉淀池后再</w:t>
            </w:r>
            <w:r>
              <w:rPr>
                <w:bCs/>
                <w:color w:val="auto"/>
                <w:sz w:val="24"/>
                <w:highlight w:val="none"/>
              </w:rPr>
              <w:t>经化粪池后通过市政管网</w:t>
            </w:r>
            <w:r>
              <w:rPr>
                <w:rFonts w:hint="eastAsia"/>
                <w:bCs/>
                <w:color w:val="auto"/>
                <w:sz w:val="24"/>
                <w:highlight w:val="none"/>
                <w:lang w:val="en-US" w:eastAsia="zh-CN"/>
              </w:rPr>
              <w:t>接入</w:t>
            </w:r>
            <w:r>
              <w:rPr>
                <w:rFonts w:hint="eastAsia"/>
                <w:color w:val="auto"/>
                <w:sz w:val="24"/>
                <w:highlight w:val="none"/>
                <w:lang w:eastAsia="zh-CN"/>
              </w:rPr>
              <w:t>句容市郭庄污水处理有限公司集中处理</w:t>
            </w:r>
            <w:r>
              <w:rPr>
                <w:rFonts w:hint="eastAsia"/>
                <w:color w:val="auto"/>
                <w:sz w:val="24"/>
                <w:szCs w:val="24"/>
                <w:highlight w:val="none"/>
                <w:lang w:eastAsia="zh-CN"/>
              </w:rPr>
              <w:t>。</w:t>
            </w:r>
          </w:p>
          <w:p w14:paraId="172DE804">
            <w:pPr>
              <w:spacing w:line="240" w:lineRule="auto"/>
              <w:jc w:val="center"/>
              <w:rPr>
                <w:b/>
                <w:bCs/>
                <w:color w:val="auto"/>
                <w:sz w:val="24"/>
                <w:szCs w:val="24"/>
                <w:highlight w:val="none"/>
              </w:rPr>
            </w:pPr>
            <w:r>
              <w:rPr>
                <w:b/>
                <w:bCs/>
                <w:color w:val="auto"/>
                <w:sz w:val="24"/>
                <w:szCs w:val="24"/>
                <w:highlight w:val="none"/>
              </w:rPr>
              <w:t>表</w:t>
            </w:r>
            <w:r>
              <w:rPr>
                <w:rFonts w:hint="eastAsia"/>
                <w:b/>
                <w:bCs/>
                <w:color w:val="auto"/>
                <w:sz w:val="24"/>
                <w:szCs w:val="24"/>
                <w:highlight w:val="none"/>
              </w:rPr>
              <w:t>4-</w:t>
            </w:r>
            <w:r>
              <w:rPr>
                <w:rFonts w:hint="eastAsia"/>
                <w:b/>
                <w:bCs/>
                <w:color w:val="auto"/>
                <w:sz w:val="24"/>
                <w:szCs w:val="24"/>
                <w:highlight w:val="none"/>
                <w:lang w:val="en-US" w:eastAsia="zh-CN"/>
              </w:rPr>
              <w:t>7</w:t>
            </w:r>
            <w:r>
              <w:rPr>
                <w:b/>
                <w:bCs/>
                <w:color w:val="auto"/>
                <w:sz w:val="24"/>
                <w:szCs w:val="24"/>
                <w:highlight w:val="none"/>
              </w:rPr>
              <w:t xml:space="preserve">  项目</w:t>
            </w:r>
            <w:r>
              <w:rPr>
                <w:rFonts w:hint="eastAsia"/>
                <w:b/>
                <w:bCs/>
                <w:color w:val="auto"/>
                <w:sz w:val="24"/>
                <w:szCs w:val="24"/>
                <w:highlight w:val="none"/>
              </w:rPr>
              <w:t>污水</w:t>
            </w:r>
            <w:r>
              <w:rPr>
                <w:b/>
                <w:bCs/>
                <w:color w:val="auto"/>
                <w:sz w:val="24"/>
                <w:szCs w:val="24"/>
                <w:highlight w:val="none"/>
              </w:rPr>
              <w:t>产生</w:t>
            </w:r>
            <w:r>
              <w:rPr>
                <w:rFonts w:hint="eastAsia"/>
                <w:b/>
                <w:bCs/>
                <w:color w:val="auto"/>
                <w:sz w:val="24"/>
                <w:szCs w:val="24"/>
                <w:highlight w:val="none"/>
              </w:rPr>
              <w:t>及排放</w:t>
            </w:r>
            <w:r>
              <w:rPr>
                <w:b/>
                <w:bCs/>
                <w:color w:val="auto"/>
                <w:sz w:val="24"/>
                <w:szCs w:val="24"/>
                <w:highlight w:val="none"/>
              </w:rPr>
              <w:t>情况</w:t>
            </w:r>
          </w:p>
          <w:tbl>
            <w:tblPr>
              <w:tblStyle w:val="37"/>
              <w:tblW w:w="4966" w:type="pct"/>
              <w:jc w:val="center"/>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652"/>
              <w:gridCol w:w="918"/>
              <w:gridCol w:w="864"/>
              <w:gridCol w:w="1089"/>
              <w:gridCol w:w="1253"/>
              <w:gridCol w:w="926"/>
              <w:gridCol w:w="1188"/>
              <w:gridCol w:w="737"/>
            </w:tblGrid>
            <w:tr w14:paraId="09CCC4DF">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pct"/>
                  <w:vMerge w:val="restart"/>
                  <w:vAlign w:val="center"/>
                </w:tcPr>
                <w:p w14:paraId="04B3567E">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污水来源</w:t>
                  </w:r>
                </w:p>
              </w:tc>
              <w:tc>
                <w:tcPr>
                  <w:tcW w:w="389" w:type="pct"/>
                  <w:vMerge w:val="restart"/>
                  <w:vAlign w:val="center"/>
                </w:tcPr>
                <w:p w14:paraId="4E4852E0">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污水量t/a</w:t>
                  </w:r>
                </w:p>
              </w:tc>
              <w:tc>
                <w:tcPr>
                  <w:tcW w:w="548" w:type="pct"/>
                  <w:vMerge w:val="restart"/>
                  <w:vAlign w:val="center"/>
                </w:tcPr>
                <w:p w14:paraId="7933E3F8">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污染物名称</w:t>
                  </w:r>
                </w:p>
              </w:tc>
              <w:tc>
                <w:tcPr>
                  <w:tcW w:w="1166" w:type="pct"/>
                  <w:gridSpan w:val="2"/>
                  <w:vAlign w:val="center"/>
                </w:tcPr>
                <w:p w14:paraId="49581F08">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w:t>
                  </w:r>
                  <w:r>
                    <w:rPr>
                      <w:rFonts w:hint="default" w:ascii="Times New Roman" w:hAnsi="Times New Roman" w:cs="Times New Roman"/>
                      <w:b/>
                      <w:bCs/>
                      <w:color w:val="auto"/>
                      <w:sz w:val="21"/>
                      <w:szCs w:val="21"/>
                      <w:highlight w:val="none"/>
                    </w:rPr>
                    <w:cr/>
                  </w:r>
                  <w:r>
                    <w:rPr>
                      <w:rFonts w:hint="default" w:ascii="Times New Roman" w:hAnsi="Times New Roman" w:cs="Times New Roman"/>
                      <w:b/>
                      <w:bCs/>
                      <w:color w:val="auto"/>
                      <w:sz w:val="21"/>
                      <w:szCs w:val="21"/>
                      <w:highlight w:val="none"/>
                    </w:rPr>
                    <w:t>情况</w:t>
                  </w:r>
                </w:p>
              </w:tc>
              <w:tc>
                <w:tcPr>
                  <w:tcW w:w="748" w:type="pct"/>
                  <w:vMerge w:val="restart"/>
                  <w:vAlign w:val="center"/>
                </w:tcPr>
                <w:p w14:paraId="167AFD43">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处理方法</w:t>
                  </w:r>
                </w:p>
              </w:tc>
              <w:tc>
                <w:tcPr>
                  <w:tcW w:w="1262" w:type="pct"/>
                  <w:gridSpan w:val="2"/>
                  <w:tcBorders>
                    <w:right w:val="single" w:color="auto" w:sz="4" w:space="0"/>
                  </w:tcBorders>
                  <w:vAlign w:val="center"/>
                </w:tcPr>
                <w:p w14:paraId="3D510BA6">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排放情况</w:t>
                  </w:r>
                </w:p>
              </w:tc>
              <w:tc>
                <w:tcPr>
                  <w:tcW w:w="440" w:type="pct"/>
                  <w:vMerge w:val="restart"/>
                  <w:tcBorders>
                    <w:left w:val="single" w:color="auto" w:sz="4" w:space="0"/>
                    <w:bottom w:val="single" w:color="auto" w:sz="12" w:space="0"/>
                    <w:right w:val="nil"/>
                  </w:tcBorders>
                  <w:vAlign w:val="center"/>
                </w:tcPr>
                <w:p w14:paraId="6B0D290E">
                  <w:pPr>
                    <w:adjustRightInd w:val="0"/>
                    <w:snapToGrid w:val="0"/>
                    <w:spacing w:line="240" w:lineRule="auto"/>
                    <w:ind w:firstLine="0" w:firstLineChars="0"/>
                    <w:jc w:val="center"/>
                    <w:rPr>
                      <w:color w:val="auto"/>
                      <w:sz w:val="21"/>
                      <w:szCs w:val="21"/>
                      <w:highlight w:val="none"/>
                    </w:rPr>
                  </w:pPr>
                  <w:r>
                    <w:rPr>
                      <w:b/>
                      <w:bCs/>
                      <w:color w:val="auto"/>
                      <w:sz w:val="21"/>
                      <w:szCs w:val="21"/>
                      <w:highlight w:val="none"/>
                    </w:rPr>
                    <w:t>排放去向</w:t>
                  </w:r>
                </w:p>
              </w:tc>
            </w:tr>
            <w:tr w14:paraId="58904C12">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pct"/>
                  <w:vMerge w:val="continue"/>
                  <w:tcBorders>
                    <w:bottom w:val="single" w:color="auto" w:sz="12" w:space="0"/>
                  </w:tcBorders>
                  <w:vAlign w:val="center"/>
                </w:tcPr>
                <w:p w14:paraId="18ECC760">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p>
              </w:tc>
              <w:tc>
                <w:tcPr>
                  <w:tcW w:w="389" w:type="pct"/>
                  <w:vMerge w:val="continue"/>
                  <w:tcBorders>
                    <w:bottom w:val="single" w:color="auto" w:sz="12" w:space="0"/>
                  </w:tcBorders>
                  <w:vAlign w:val="center"/>
                </w:tcPr>
                <w:p w14:paraId="2086EADF">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p>
              </w:tc>
              <w:tc>
                <w:tcPr>
                  <w:tcW w:w="548" w:type="pct"/>
                  <w:vMerge w:val="continue"/>
                  <w:tcBorders>
                    <w:bottom w:val="single" w:color="auto" w:sz="12" w:space="0"/>
                  </w:tcBorders>
                  <w:vAlign w:val="center"/>
                </w:tcPr>
                <w:p w14:paraId="349C4153">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p>
              </w:tc>
              <w:tc>
                <w:tcPr>
                  <w:tcW w:w="516" w:type="pct"/>
                  <w:tcBorders>
                    <w:bottom w:val="single" w:color="auto" w:sz="12" w:space="0"/>
                  </w:tcBorders>
                  <w:vAlign w:val="center"/>
                </w:tcPr>
                <w:p w14:paraId="3C5564C7">
                  <w:pPr>
                    <w:pStyle w:val="62"/>
                    <w:keepNext w:val="0"/>
                    <w:keepLines w:val="0"/>
                    <w:pageBreakBefore w:val="0"/>
                    <w:widowControl w:val="0"/>
                    <w:kinsoku/>
                    <w:wordWrap/>
                    <w:overflowPunct/>
                    <w:topLinePunct w:val="0"/>
                    <w:autoSpaceDE/>
                    <w:autoSpaceDN/>
                    <w:bidi w:val="0"/>
                    <w:adjustRightInd/>
                    <w:snapToGrid/>
                    <w:spacing w:before="0" w:beforeLines="0" w:afterLines="0" w:line="240" w:lineRule="auto"/>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浓度mg/L</w:t>
                  </w:r>
                </w:p>
              </w:tc>
              <w:tc>
                <w:tcPr>
                  <w:tcW w:w="649" w:type="pct"/>
                  <w:tcBorders>
                    <w:bottom w:val="single" w:color="auto" w:sz="12" w:space="0"/>
                  </w:tcBorders>
                  <w:vAlign w:val="center"/>
                </w:tcPr>
                <w:p w14:paraId="644ABFC1">
                  <w:pPr>
                    <w:pStyle w:val="62"/>
                    <w:keepNext w:val="0"/>
                    <w:keepLines w:val="0"/>
                    <w:pageBreakBefore w:val="0"/>
                    <w:widowControl w:val="0"/>
                    <w:kinsoku/>
                    <w:wordWrap/>
                    <w:overflowPunct/>
                    <w:topLinePunct w:val="0"/>
                    <w:autoSpaceDE/>
                    <w:autoSpaceDN/>
                    <w:bidi w:val="0"/>
                    <w:adjustRightInd/>
                    <w:snapToGrid/>
                    <w:spacing w:before="0" w:beforeLines="0" w:afterLines="0" w:line="240" w:lineRule="auto"/>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产生量</w:t>
                  </w:r>
                </w:p>
                <w:p w14:paraId="24679063">
                  <w:pPr>
                    <w:pStyle w:val="62"/>
                    <w:keepNext w:val="0"/>
                    <w:keepLines w:val="0"/>
                    <w:pageBreakBefore w:val="0"/>
                    <w:widowControl w:val="0"/>
                    <w:kinsoku/>
                    <w:wordWrap/>
                    <w:overflowPunct/>
                    <w:topLinePunct w:val="0"/>
                    <w:autoSpaceDE/>
                    <w:autoSpaceDN/>
                    <w:bidi w:val="0"/>
                    <w:adjustRightInd/>
                    <w:snapToGrid/>
                    <w:spacing w:before="0" w:beforeLines="0" w:afterLines="0" w:line="240" w:lineRule="auto"/>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t/a</w:t>
                  </w:r>
                </w:p>
              </w:tc>
              <w:tc>
                <w:tcPr>
                  <w:tcW w:w="748" w:type="pct"/>
                  <w:vMerge w:val="continue"/>
                  <w:tcBorders>
                    <w:bottom w:val="single" w:color="auto" w:sz="12" w:space="0"/>
                  </w:tcBorders>
                  <w:vAlign w:val="center"/>
                </w:tcPr>
                <w:p w14:paraId="2AB06ADB">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p>
              </w:tc>
              <w:tc>
                <w:tcPr>
                  <w:tcW w:w="553" w:type="pct"/>
                  <w:tcBorders>
                    <w:bottom w:val="single" w:color="auto" w:sz="12" w:space="0"/>
                  </w:tcBorders>
                  <w:vAlign w:val="center"/>
                </w:tcPr>
                <w:p w14:paraId="4FD1F97F">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w:t>
                  </w:r>
                </w:p>
                <w:p w14:paraId="514A1ABC">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mg/L</w:t>
                  </w:r>
                </w:p>
              </w:tc>
              <w:tc>
                <w:tcPr>
                  <w:tcW w:w="709" w:type="pct"/>
                  <w:tcBorders>
                    <w:bottom w:val="single" w:color="auto" w:sz="12" w:space="0"/>
                    <w:right w:val="single" w:color="auto" w:sz="4" w:space="0"/>
                  </w:tcBorders>
                  <w:vAlign w:val="center"/>
                </w:tcPr>
                <w:p w14:paraId="449E63B4">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排放量t/a</w:t>
                  </w:r>
                </w:p>
              </w:tc>
              <w:tc>
                <w:tcPr>
                  <w:tcW w:w="440" w:type="pct"/>
                  <w:vMerge w:val="continue"/>
                  <w:tcBorders>
                    <w:top w:val="single" w:color="auto" w:sz="12" w:space="0"/>
                    <w:left w:val="single" w:color="auto" w:sz="4" w:space="0"/>
                    <w:bottom w:val="single" w:color="auto" w:sz="12" w:space="0"/>
                    <w:right w:val="nil"/>
                  </w:tcBorders>
                  <w:vAlign w:val="center"/>
                </w:tcPr>
                <w:p w14:paraId="0F5BB2DA">
                  <w:pPr>
                    <w:adjustRightInd w:val="0"/>
                    <w:snapToGrid w:val="0"/>
                    <w:spacing w:line="240" w:lineRule="auto"/>
                    <w:ind w:firstLine="0" w:firstLineChars="0"/>
                    <w:jc w:val="center"/>
                    <w:rPr>
                      <w:color w:val="auto"/>
                      <w:sz w:val="21"/>
                      <w:szCs w:val="21"/>
                      <w:highlight w:val="none"/>
                    </w:rPr>
                  </w:pPr>
                </w:p>
              </w:tc>
            </w:tr>
            <w:tr w14:paraId="63A11BE0">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pct"/>
                  <w:vMerge w:val="restart"/>
                  <w:tcBorders>
                    <w:top w:val="single" w:color="auto" w:sz="12" w:space="0"/>
                  </w:tcBorders>
                  <w:vAlign w:val="center"/>
                </w:tcPr>
                <w:p w14:paraId="3369D7FA">
                  <w:pPr>
                    <w:adjustRightInd w:val="0"/>
                    <w:snapToGrid w:val="0"/>
                    <w:spacing w:line="240" w:lineRule="auto"/>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生活污水</w:t>
                  </w:r>
                </w:p>
              </w:tc>
              <w:tc>
                <w:tcPr>
                  <w:tcW w:w="389" w:type="pct"/>
                  <w:vMerge w:val="restart"/>
                  <w:tcBorders>
                    <w:top w:val="single" w:color="auto" w:sz="12" w:space="0"/>
                  </w:tcBorders>
                  <w:vAlign w:val="center"/>
                </w:tcPr>
                <w:p w14:paraId="28FC3D27">
                  <w:pPr>
                    <w:adjustRightInd w:val="0"/>
                    <w:snapToGrid w:val="0"/>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600</w:t>
                  </w:r>
                </w:p>
              </w:tc>
              <w:tc>
                <w:tcPr>
                  <w:tcW w:w="548" w:type="pct"/>
                  <w:tcBorders>
                    <w:top w:val="single" w:color="auto" w:sz="12" w:space="0"/>
                    <w:bottom w:val="single" w:color="auto" w:sz="4" w:space="0"/>
                  </w:tcBorders>
                  <w:vAlign w:val="center"/>
                </w:tcPr>
                <w:p w14:paraId="089E6620">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COD</w:t>
                  </w:r>
                </w:p>
              </w:tc>
              <w:tc>
                <w:tcPr>
                  <w:tcW w:w="516" w:type="pct"/>
                  <w:tcBorders>
                    <w:top w:val="single" w:color="auto" w:sz="12" w:space="0"/>
                    <w:bottom w:val="single" w:color="auto" w:sz="4" w:space="0"/>
                  </w:tcBorders>
                  <w:vAlign w:val="center"/>
                </w:tcPr>
                <w:p w14:paraId="495F2D6D">
                  <w:pPr>
                    <w:adjustRightInd w:val="0"/>
                    <w:snapToGrid w:val="0"/>
                    <w:spacing w:line="240" w:lineRule="auto"/>
                    <w:ind w:firstLine="0" w:firstLineChars="0"/>
                    <w:jc w:val="center"/>
                    <w:rPr>
                      <w:rFonts w:hint="eastAsia"/>
                      <w:color w:val="auto"/>
                      <w:sz w:val="21"/>
                      <w:szCs w:val="21"/>
                      <w:highlight w:val="none"/>
                    </w:rPr>
                  </w:pPr>
                  <w:r>
                    <w:rPr>
                      <w:rFonts w:hint="eastAsia"/>
                      <w:color w:val="auto"/>
                      <w:sz w:val="21"/>
                      <w:szCs w:val="21"/>
                      <w:highlight w:val="none"/>
                    </w:rPr>
                    <w:t>500</w:t>
                  </w:r>
                </w:p>
              </w:tc>
              <w:tc>
                <w:tcPr>
                  <w:tcW w:w="649" w:type="pct"/>
                  <w:tcBorders>
                    <w:top w:val="single" w:color="auto" w:sz="12" w:space="0"/>
                    <w:bottom w:val="single" w:color="auto" w:sz="4" w:space="0"/>
                  </w:tcBorders>
                  <w:vAlign w:val="center"/>
                </w:tcPr>
                <w:p w14:paraId="6A36E0C3">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0.3</w:t>
                  </w:r>
                </w:p>
              </w:tc>
              <w:tc>
                <w:tcPr>
                  <w:tcW w:w="748" w:type="pct"/>
                  <w:vMerge w:val="restart"/>
                  <w:tcBorders>
                    <w:top w:val="single" w:color="auto" w:sz="12" w:space="0"/>
                  </w:tcBorders>
                  <w:vAlign w:val="center"/>
                </w:tcPr>
                <w:p w14:paraId="6B393DD5">
                  <w:pPr>
                    <w:adjustRightInd w:val="0"/>
                    <w:snapToGrid w:val="0"/>
                    <w:spacing w:line="240" w:lineRule="auto"/>
                    <w:ind w:firstLine="0" w:firstLineChars="0"/>
                    <w:jc w:val="center"/>
                    <w:rPr>
                      <w:color w:val="auto"/>
                      <w:sz w:val="21"/>
                      <w:szCs w:val="21"/>
                      <w:highlight w:val="none"/>
                    </w:rPr>
                  </w:pPr>
                  <w:r>
                    <w:rPr>
                      <w:rFonts w:hint="default" w:ascii="Times New Roman" w:hAnsi="Times New Roman" w:cs="Times New Roman"/>
                      <w:color w:val="auto"/>
                      <w:kern w:val="0"/>
                      <w:sz w:val="21"/>
                      <w:szCs w:val="21"/>
                      <w:highlight w:val="none"/>
                      <w:lang w:bidi="ar"/>
                    </w:rPr>
                    <w:t>化粪池处理</w:t>
                  </w:r>
                </w:p>
              </w:tc>
              <w:tc>
                <w:tcPr>
                  <w:tcW w:w="553" w:type="pct"/>
                  <w:tcBorders>
                    <w:top w:val="single" w:color="auto" w:sz="12" w:space="0"/>
                    <w:bottom w:val="single" w:color="auto" w:sz="4" w:space="0"/>
                  </w:tcBorders>
                  <w:vAlign w:val="center"/>
                </w:tcPr>
                <w:p w14:paraId="76B6FFAF">
                  <w:pPr>
                    <w:adjustRightInd w:val="0"/>
                    <w:snapToGrid w:val="0"/>
                    <w:spacing w:line="240" w:lineRule="auto"/>
                    <w:ind w:firstLine="0" w:firstLineChars="0"/>
                    <w:jc w:val="center"/>
                    <w:rPr>
                      <w:rFonts w:hint="eastAsia"/>
                      <w:color w:val="auto"/>
                      <w:sz w:val="21"/>
                      <w:szCs w:val="21"/>
                      <w:highlight w:val="none"/>
                    </w:rPr>
                  </w:pPr>
                  <w:r>
                    <w:rPr>
                      <w:rFonts w:hint="eastAsia"/>
                      <w:color w:val="auto"/>
                      <w:sz w:val="21"/>
                      <w:szCs w:val="21"/>
                      <w:highlight w:val="none"/>
                    </w:rPr>
                    <w:t>300</w:t>
                  </w:r>
                </w:p>
              </w:tc>
              <w:tc>
                <w:tcPr>
                  <w:tcW w:w="709" w:type="pct"/>
                  <w:tcBorders>
                    <w:top w:val="single" w:color="auto" w:sz="12" w:space="0"/>
                    <w:bottom w:val="single" w:color="auto" w:sz="4" w:space="0"/>
                  </w:tcBorders>
                  <w:vAlign w:val="center"/>
                </w:tcPr>
                <w:p w14:paraId="4CD8DB02">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0.18</w:t>
                  </w:r>
                </w:p>
              </w:tc>
              <w:tc>
                <w:tcPr>
                  <w:tcW w:w="440" w:type="pct"/>
                  <w:vMerge w:val="restart"/>
                  <w:tcBorders>
                    <w:top w:val="single" w:color="auto" w:sz="12" w:space="0"/>
                    <w:right w:val="nil"/>
                  </w:tcBorders>
                  <w:vAlign w:val="center"/>
                </w:tcPr>
                <w:p w14:paraId="58554B95">
                  <w:pPr>
                    <w:adjustRightInd w:val="0"/>
                    <w:snapToGrid w:val="0"/>
                    <w:spacing w:line="240" w:lineRule="auto"/>
                    <w:ind w:firstLine="0" w:firstLineChars="0"/>
                    <w:jc w:val="center"/>
                    <w:rPr>
                      <w:rFonts w:hint="eastAsia"/>
                      <w:color w:val="auto"/>
                      <w:sz w:val="21"/>
                      <w:szCs w:val="21"/>
                      <w:highlight w:val="none"/>
                    </w:rPr>
                  </w:pPr>
                  <w:r>
                    <w:rPr>
                      <w:rFonts w:hint="eastAsia"/>
                      <w:color w:val="auto"/>
                      <w:sz w:val="21"/>
                      <w:szCs w:val="21"/>
                      <w:highlight w:val="none"/>
                    </w:rPr>
                    <w:t>句容市</w:t>
                  </w:r>
                  <w:r>
                    <w:rPr>
                      <w:rFonts w:hint="eastAsia"/>
                      <w:color w:val="auto"/>
                      <w:sz w:val="21"/>
                      <w:szCs w:val="21"/>
                      <w:highlight w:val="none"/>
                      <w:lang w:eastAsia="zh-CN"/>
                    </w:rPr>
                    <w:t>郭庄污水处理</w:t>
                  </w:r>
                  <w:r>
                    <w:rPr>
                      <w:rFonts w:hint="eastAsia"/>
                      <w:color w:val="auto"/>
                      <w:sz w:val="21"/>
                      <w:szCs w:val="21"/>
                      <w:highlight w:val="none"/>
                    </w:rPr>
                    <w:t>有限公司</w:t>
                  </w:r>
                </w:p>
              </w:tc>
            </w:tr>
            <w:tr w14:paraId="74E1E1A6">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pct"/>
                  <w:vMerge w:val="continue"/>
                  <w:vAlign w:val="center"/>
                </w:tcPr>
                <w:p w14:paraId="16ECDDFA">
                  <w:pPr>
                    <w:adjustRightInd w:val="0"/>
                    <w:snapToGrid w:val="0"/>
                    <w:spacing w:line="240" w:lineRule="auto"/>
                    <w:ind w:firstLine="0" w:firstLineChars="0"/>
                    <w:jc w:val="center"/>
                    <w:rPr>
                      <w:rFonts w:hint="eastAsia"/>
                      <w:color w:val="auto"/>
                      <w:sz w:val="21"/>
                      <w:szCs w:val="21"/>
                      <w:highlight w:val="none"/>
                      <w:lang w:eastAsia="zh-CN"/>
                    </w:rPr>
                  </w:pPr>
                </w:p>
              </w:tc>
              <w:tc>
                <w:tcPr>
                  <w:tcW w:w="389" w:type="pct"/>
                  <w:vMerge w:val="continue"/>
                  <w:vAlign w:val="center"/>
                </w:tcPr>
                <w:p w14:paraId="3D15F807">
                  <w:pPr>
                    <w:adjustRightInd w:val="0"/>
                    <w:snapToGrid w:val="0"/>
                    <w:spacing w:line="240" w:lineRule="auto"/>
                    <w:ind w:firstLine="0" w:firstLineChars="0"/>
                    <w:jc w:val="center"/>
                    <w:rPr>
                      <w:rFonts w:hint="eastAsia"/>
                      <w:color w:val="auto"/>
                      <w:sz w:val="21"/>
                      <w:szCs w:val="21"/>
                      <w:highlight w:val="none"/>
                      <w:lang w:val="en-US" w:eastAsia="zh-CN"/>
                    </w:rPr>
                  </w:pPr>
                </w:p>
              </w:tc>
              <w:tc>
                <w:tcPr>
                  <w:tcW w:w="548" w:type="pct"/>
                  <w:tcBorders>
                    <w:top w:val="single" w:color="auto" w:sz="4" w:space="0"/>
                    <w:bottom w:val="single" w:color="auto" w:sz="4" w:space="0"/>
                  </w:tcBorders>
                  <w:vAlign w:val="center"/>
                </w:tcPr>
                <w:p w14:paraId="251902ED">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SS</w:t>
                  </w:r>
                </w:p>
              </w:tc>
              <w:tc>
                <w:tcPr>
                  <w:tcW w:w="516" w:type="pct"/>
                  <w:tcBorders>
                    <w:top w:val="single" w:color="auto" w:sz="4" w:space="0"/>
                    <w:bottom w:val="single" w:color="auto" w:sz="4" w:space="0"/>
                  </w:tcBorders>
                  <w:vAlign w:val="center"/>
                </w:tcPr>
                <w:p w14:paraId="23DD1F12">
                  <w:pPr>
                    <w:adjustRightInd w:val="0"/>
                    <w:snapToGrid w:val="0"/>
                    <w:spacing w:line="240" w:lineRule="auto"/>
                    <w:ind w:firstLine="0" w:firstLineChars="0"/>
                    <w:jc w:val="center"/>
                    <w:rPr>
                      <w:rFonts w:hint="eastAsia"/>
                      <w:color w:val="auto"/>
                      <w:sz w:val="21"/>
                      <w:szCs w:val="21"/>
                      <w:highlight w:val="none"/>
                    </w:rPr>
                  </w:pPr>
                  <w:r>
                    <w:rPr>
                      <w:rFonts w:hint="eastAsia"/>
                      <w:color w:val="auto"/>
                      <w:sz w:val="21"/>
                      <w:szCs w:val="21"/>
                      <w:highlight w:val="none"/>
                    </w:rPr>
                    <w:t>300</w:t>
                  </w:r>
                </w:p>
              </w:tc>
              <w:tc>
                <w:tcPr>
                  <w:tcW w:w="649" w:type="pct"/>
                  <w:tcBorders>
                    <w:top w:val="single" w:color="auto" w:sz="4" w:space="0"/>
                    <w:bottom w:val="single" w:color="auto" w:sz="4" w:space="0"/>
                  </w:tcBorders>
                  <w:vAlign w:val="center"/>
                </w:tcPr>
                <w:p w14:paraId="13E70567">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0.18</w:t>
                  </w:r>
                </w:p>
              </w:tc>
              <w:tc>
                <w:tcPr>
                  <w:tcW w:w="748" w:type="pct"/>
                  <w:vMerge w:val="continue"/>
                  <w:vAlign w:val="center"/>
                </w:tcPr>
                <w:p w14:paraId="6177F783">
                  <w:pPr>
                    <w:adjustRightInd w:val="0"/>
                    <w:snapToGrid w:val="0"/>
                    <w:spacing w:line="240" w:lineRule="auto"/>
                    <w:ind w:firstLine="0" w:firstLineChars="0"/>
                    <w:jc w:val="center"/>
                    <w:rPr>
                      <w:color w:val="auto"/>
                      <w:sz w:val="21"/>
                      <w:szCs w:val="21"/>
                      <w:highlight w:val="none"/>
                    </w:rPr>
                  </w:pPr>
                </w:p>
              </w:tc>
              <w:tc>
                <w:tcPr>
                  <w:tcW w:w="553" w:type="pct"/>
                  <w:tcBorders>
                    <w:top w:val="single" w:color="auto" w:sz="4" w:space="0"/>
                    <w:bottom w:val="single" w:color="auto" w:sz="4" w:space="0"/>
                  </w:tcBorders>
                  <w:vAlign w:val="center"/>
                </w:tcPr>
                <w:p w14:paraId="4FE36BD6">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280</w:t>
                  </w:r>
                </w:p>
              </w:tc>
              <w:tc>
                <w:tcPr>
                  <w:tcW w:w="709" w:type="pct"/>
                  <w:tcBorders>
                    <w:top w:val="single" w:color="auto" w:sz="4" w:space="0"/>
                    <w:bottom w:val="single" w:color="auto" w:sz="4" w:space="0"/>
                  </w:tcBorders>
                  <w:vAlign w:val="center"/>
                </w:tcPr>
                <w:p w14:paraId="33193A5A">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0.168</w:t>
                  </w:r>
                </w:p>
              </w:tc>
              <w:tc>
                <w:tcPr>
                  <w:tcW w:w="440" w:type="pct"/>
                  <w:vMerge w:val="continue"/>
                  <w:tcBorders>
                    <w:right w:val="nil"/>
                  </w:tcBorders>
                  <w:vAlign w:val="center"/>
                </w:tcPr>
                <w:p w14:paraId="2D3F2B50">
                  <w:pPr>
                    <w:adjustRightInd w:val="0"/>
                    <w:snapToGrid w:val="0"/>
                    <w:spacing w:line="240" w:lineRule="auto"/>
                    <w:ind w:firstLine="0" w:firstLineChars="0"/>
                    <w:jc w:val="center"/>
                    <w:rPr>
                      <w:rFonts w:hint="eastAsia"/>
                      <w:color w:val="auto"/>
                      <w:sz w:val="21"/>
                      <w:szCs w:val="21"/>
                      <w:highlight w:val="none"/>
                    </w:rPr>
                  </w:pPr>
                </w:p>
              </w:tc>
            </w:tr>
            <w:tr w14:paraId="0D17E571">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pct"/>
                  <w:vMerge w:val="continue"/>
                  <w:vAlign w:val="center"/>
                </w:tcPr>
                <w:p w14:paraId="3511FF17">
                  <w:pPr>
                    <w:adjustRightInd w:val="0"/>
                    <w:snapToGrid w:val="0"/>
                    <w:spacing w:line="240" w:lineRule="auto"/>
                    <w:ind w:firstLine="0" w:firstLineChars="0"/>
                    <w:jc w:val="center"/>
                    <w:rPr>
                      <w:rFonts w:hint="eastAsia"/>
                      <w:color w:val="auto"/>
                      <w:sz w:val="21"/>
                      <w:szCs w:val="21"/>
                      <w:highlight w:val="none"/>
                      <w:lang w:eastAsia="zh-CN"/>
                    </w:rPr>
                  </w:pPr>
                </w:p>
              </w:tc>
              <w:tc>
                <w:tcPr>
                  <w:tcW w:w="389" w:type="pct"/>
                  <w:vMerge w:val="continue"/>
                  <w:vAlign w:val="center"/>
                </w:tcPr>
                <w:p w14:paraId="3D79BC99">
                  <w:pPr>
                    <w:adjustRightInd w:val="0"/>
                    <w:snapToGrid w:val="0"/>
                    <w:spacing w:line="240" w:lineRule="auto"/>
                    <w:ind w:firstLine="0" w:firstLineChars="0"/>
                    <w:jc w:val="center"/>
                    <w:rPr>
                      <w:rFonts w:hint="eastAsia"/>
                      <w:color w:val="auto"/>
                      <w:sz w:val="21"/>
                      <w:szCs w:val="21"/>
                      <w:highlight w:val="none"/>
                      <w:lang w:val="en-US" w:eastAsia="zh-CN"/>
                    </w:rPr>
                  </w:pPr>
                </w:p>
              </w:tc>
              <w:tc>
                <w:tcPr>
                  <w:tcW w:w="548" w:type="pct"/>
                  <w:tcBorders>
                    <w:top w:val="single" w:color="auto" w:sz="4" w:space="0"/>
                    <w:bottom w:val="single" w:color="auto" w:sz="4" w:space="0"/>
                  </w:tcBorders>
                  <w:vAlign w:val="center"/>
                </w:tcPr>
                <w:p w14:paraId="06A2C182">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NH</w:t>
                  </w:r>
                  <w:r>
                    <w:rPr>
                      <w:rStyle w:val="76"/>
                      <w:rFonts w:hint="default" w:ascii="Times New Roman" w:hAnsi="Times New Roman" w:cs="Times New Roman"/>
                      <w:color w:val="auto"/>
                      <w:sz w:val="21"/>
                      <w:szCs w:val="21"/>
                      <w:highlight w:val="none"/>
                      <w:vertAlign w:val="subscript"/>
                      <w:lang w:bidi="ar"/>
                    </w:rPr>
                    <w:t>3</w:t>
                  </w:r>
                  <w:r>
                    <w:rPr>
                      <w:rFonts w:hint="default" w:ascii="Times New Roman" w:hAnsi="Times New Roman" w:cs="Times New Roman"/>
                      <w:color w:val="auto"/>
                      <w:kern w:val="0"/>
                      <w:sz w:val="21"/>
                      <w:szCs w:val="21"/>
                      <w:highlight w:val="none"/>
                      <w:lang w:bidi="ar"/>
                    </w:rPr>
                    <w:t>-N</w:t>
                  </w:r>
                </w:p>
              </w:tc>
              <w:tc>
                <w:tcPr>
                  <w:tcW w:w="516" w:type="pct"/>
                  <w:tcBorders>
                    <w:top w:val="single" w:color="auto" w:sz="4" w:space="0"/>
                    <w:bottom w:val="single" w:color="auto" w:sz="4" w:space="0"/>
                  </w:tcBorders>
                  <w:vAlign w:val="center"/>
                </w:tcPr>
                <w:p w14:paraId="447E7479">
                  <w:pPr>
                    <w:adjustRightInd w:val="0"/>
                    <w:snapToGrid w:val="0"/>
                    <w:spacing w:line="240" w:lineRule="auto"/>
                    <w:ind w:firstLine="0" w:firstLineChars="0"/>
                    <w:jc w:val="center"/>
                    <w:rPr>
                      <w:rFonts w:hint="eastAsia"/>
                      <w:color w:val="auto"/>
                      <w:sz w:val="21"/>
                      <w:szCs w:val="21"/>
                      <w:highlight w:val="none"/>
                    </w:rPr>
                  </w:pPr>
                  <w:r>
                    <w:rPr>
                      <w:rFonts w:hint="eastAsia"/>
                      <w:color w:val="auto"/>
                      <w:sz w:val="21"/>
                      <w:szCs w:val="21"/>
                      <w:highlight w:val="none"/>
                    </w:rPr>
                    <w:t>35</w:t>
                  </w:r>
                </w:p>
              </w:tc>
              <w:tc>
                <w:tcPr>
                  <w:tcW w:w="649" w:type="pct"/>
                  <w:tcBorders>
                    <w:top w:val="single" w:color="auto" w:sz="4" w:space="0"/>
                    <w:bottom w:val="single" w:color="auto" w:sz="4" w:space="0"/>
                  </w:tcBorders>
                  <w:vAlign w:val="center"/>
                </w:tcPr>
                <w:p w14:paraId="6684D65D">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0.021</w:t>
                  </w:r>
                </w:p>
              </w:tc>
              <w:tc>
                <w:tcPr>
                  <w:tcW w:w="748" w:type="pct"/>
                  <w:vMerge w:val="continue"/>
                  <w:vAlign w:val="center"/>
                </w:tcPr>
                <w:p w14:paraId="0831C01D">
                  <w:pPr>
                    <w:adjustRightInd w:val="0"/>
                    <w:snapToGrid w:val="0"/>
                    <w:spacing w:line="240" w:lineRule="auto"/>
                    <w:ind w:firstLine="0" w:firstLineChars="0"/>
                    <w:jc w:val="center"/>
                    <w:rPr>
                      <w:color w:val="auto"/>
                      <w:sz w:val="21"/>
                      <w:szCs w:val="21"/>
                      <w:highlight w:val="none"/>
                    </w:rPr>
                  </w:pPr>
                </w:p>
              </w:tc>
              <w:tc>
                <w:tcPr>
                  <w:tcW w:w="553" w:type="pct"/>
                  <w:tcBorders>
                    <w:top w:val="single" w:color="auto" w:sz="4" w:space="0"/>
                    <w:bottom w:val="single" w:color="auto" w:sz="4" w:space="0"/>
                  </w:tcBorders>
                  <w:vAlign w:val="center"/>
                </w:tcPr>
                <w:p w14:paraId="044E3848">
                  <w:pPr>
                    <w:adjustRightInd w:val="0"/>
                    <w:snapToGrid w:val="0"/>
                    <w:spacing w:line="240" w:lineRule="auto"/>
                    <w:ind w:firstLine="0" w:firstLineChars="0"/>
                    <w:jc w:val="center"/>
                    <w:rPr>
                      <w:rFonts w:hint="eastAsia"/>
                      <w:color w:val="auto"/>
                      <w:sz w:val="21"/>
                      <w:szCs w:val="21"/>
                      <w:highlight w:val="none"/>
                    </w:rPr>
                  </w:pPr>
                  <w:r>
                    <w:rPr>
                      <w:rFonts w:hint="eastAsia"/>
                      <w:color w:val="auto"/>
                      <w:sz w:val="21"/>
                      <w:szCs w:val="21"/>
                      <w:highlight w:val="none"/>
                    </w:rPr>
                    <w:t>3</w:t>
                  </w:r>
                  <w:r>
                    <w:rPr>
                      <w:rFonts w:hint="eastAsia"/>
                      <w:color w:val="auto"/>
                      <w:sz w:val="21"/>
                      <w:szCs w:val="21"/>
                      <w:highlight w:val="none"/>
                      <w:lang w:val="en-US" w:eastAsia="zh-CN"/>
                    </w:rPr>
                    <w:t>5</w:t>
                  </w:r>
                </w:p>
              </w:tc>
              <w:tc>
                <w:tcPr>
                  <w:tcW w:w="709" w:type="pct"/>
                  <w:tcBorders>
                    <w:top w:val="single" w:color="auto" w:sz="4" w:space="0"/>
                    <w:bottom w:val="single" w:color="auto" w:sz="4" w:space="0"/>
                  </w:tcBorders>
                  <w:vAlign w:val="center"/>
                </w:tcPr>
                <w:p w14:paraId="5BBBC03F">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0.021</w:t>
                  </w:r>
                </w:p>
              </w:tc>
              <w:tc>
                <w:tcPr>
                  <w:tcW w:w="440" w:type="pct"/>
                  <w:vMerge w:val="continue"/>
                  <w:tcBorders>
                    <w:right w:val="nil"/>
                  </w:tcBorders>
                  <w:vAlign w:val="center"/>
                </w:tcPr>
                <w:p w14:paraId="55611979">
                  <w:pPr>
                    <w:adjustRightInd w:val="0"/>
                    <w:snapToGrid w:val="0"/>
                    <w:spacing w:line="240" w:lineRule="auto"/>
                    <w:ind w:firstLine="0" w:firstLineChars="0"/>
                    <w:jc w:val="center"/>
                    <w:rPr>
                      <w:rFonts w:hint="eastAsia"/>
                      <w:color w:val="auto"/>
                      <w:sz w:val="21"/>
                      <w:szCs w:val="21"/>
                      <w:highlight w:val="none"/>
                    </w:rPr>
                  </w:pPr>
                </w:p>
              </w:tc>
            </w:tr>
            <w:tr w14:paraId="0BB957ED">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pct"/>
                  <w:vMerge w:val="continue"/>
                  <w:vAlign w:val="center"/>
                </w:tcPr>
                <w:p w14:paraId="30611DB1">
                  <w:pPr>
                    <w:adjustRightInd w:val="0"/>
                    <w:snapToGrid w:val="0"/>
                    <w:spacing w:line="240" w:lineRule="auto"/>
                    <w:ind w:firstLine="0" w:firstLineChars="0"/>
                    <w:jc w:val="center"/>
                    <w:rPr>
                      <w:rFonts w:hint="eastAsia"/>
                      <w:color w:val="auto"/>
                      <w:sz w:val="21"/>
                      <w:szCs w:val="21"/>
                      <w:highlight w:val="none"/>
                      <w:lang w:eastAsia="zh-CN"/>
                    </w:rPr>
                  </w:pPr>
                </w:p>
              </w:tc>
              <w:tc>
                <w:tcPr>
                  <w:tcW w:w="389" w:type="pct"/>
                  <w:vMerge w:val="continue"/>
                  <w:vAlign w:val="center"/>
                </w:tcPr>
                <w:p w14:paraId="4C01080B">
                  <w:pPr>
                    <w:adjustRightInd w:val="0"/>
                    <w:snapToGrid w:val="0"/>
                    <w:spacing w:line="240" w:lineRule="auto"/>
                    <w:ind w:firstLine="0" w:firstLineChars="0"/>
                    <w:jc w:val="center"/>
                    <w:rPr>
                      <w:rFonts w:hint="eastAsia"/>
                      <w:color w:val="auto"/>
                      <w:sz w:val="21"/>
                      <w:szCs w:val="21"/>
                      <w:highlight w:val="none"/>
                      <w:lang w:val="en-US" w:eastAsia="zh-CN"/>
                    </w:rPr>
                  </w:pPr>
                </w:p>
              </w:tc>
              <w:tc>
                <w:tcPr>
                  <w:tcW w:w="548" w:type="pct"/>
                  <w:tcBorders>
                    <w:top w:val="single" w:color="auto" w:sz="4" w:space="0"/>
                    <w:bottom w:val="single" w:color="auto" w:sz="4" w:space="0"/>
                  </w:tcBorders>
                  <w:vAlign w:val="center"/>
                </w:tcPr>
                <w:p w14:paraId="776812EC">
                  <w:pPr>
                    <w:pStyle w:val="62"/>
                    <w:spacing w:before="0"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TP</w:t>
                  </w:r>
                </w:p>
              </w:tc>
              <w:tc>
                <w:tcPr>
                  <w:tcW w:w="516" w:type="pct"/>
                  <w:tcBorders>
                    <w:top w:val="single" w:color="auto" w:sz="4" w:space="0"/>
                    <w:bottom w:val="single" w:color="auto" w:sz="4" w:space="0"/>
                  </w:tcBorders>
                  <w:vAlign w:val="center"/>
                </w:tcPr>
                <w:p w14:paraId="045E1105">
                  <w:pPr>
                    <w:adjustRightInd w:val="0"/>
                    <w:snapToGrid w:val="0"/>
                    <w:spacing w:line="240" w:lineRule="auto"/>
                    <w:ind w:firstLine="0" w:firstLineChars="0"/>
                    <w:jc w:val="center"/>
                    <w:rPr>
                      <w:rFonts w:hint="eastAsia"/>
                      <w:color w:val="auto"/>
                      <w:sz w:val="21"/>
                      <w:szCs w:val="21"/>
                      <w:highlight w:val="none"/>
                    </w:rPr>
                  </w:pPr>
                  <w:r>
                    <w:rPr>
                      <w:rFonts w:hint="eastAsia"/>
                      <w:color w:val="auto"/>
                      <w:sz w:val="21"/>
                      <w:szCs w:val="21"/>
                      <w:highlight w:val="none"/>
                    </w:rPr>
                    <w:t>4</w:t>
                  </w:r>
                </w:p>
              </w:tc>
              <w:tc>
                <w:tcPr>
                  <w:tcW w:w="649" w:type="pct"/>
                  <w:tcBorders>
                    <w:top w:val="single" w:color="auto" w:sz="4" w:space="0"/>
                    <w:bottom w:val="single" w:color="auto" w:sz="4" w:space="0"/>
                  </w:tcBorders>
                  <w:vAlign w:val="center"/>
                </w:tcPr>
                <w:p w14:paraId="0328AA59">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0.0024</w:t>
                  </w:r>
                </w:p>
              </w:tc>
              <w:tc>
                <w:tcPr>
                  <w:tcW w:w="748" w:type="pct"/>
                  <w:vMerge w:val="continue"/>
                  <w:vAlign w:val="center"/>
                </w:tcPr>
                <w:p w14:paraId="71E50431">
                  <w:pPr>
                    <w:adjustRightInd w:val="0"/>
                    <w:snapToGrid w:val="0"/>
                    <w:spacing w:line="240" w:lineRule="auto"/>
                    <w:ind w:firstLine="0" w:firstLineChars="0"/>
                    <w:jc w:val="center"/>
                    <w:rPr>
                      <w:color w:val="auto"/>
                      <w:sz w:val="21"/>
                      <w:szCs w:val="21"/>
                      <w:highlight w:val="none"/>
                    </w:rPr>
                  </w:pPr>
                </w:p>
              </w:tc>
              <w:tc>
                <w:tcPr>
                  <w:tcW w:w="553" w:type="pct"/>
                  <w:tcBorders>
                    <w:top w:val="single" w:color="auto" w:sz="4" w:space="0"/>
                    <w:bottom w:val="single" w:color="auto" w:sz="4" w:space="0"/>
                  </w:tcBorders>
                  <w:vAlign w:val="center"/>
                </w:tcPr>
                <w:p w14:paraId="4DFDB8EE">
                  <w:pPr>
                    <w:adjustRightInd w:val="0"/>
                    <w:snapToGrid w:val="0"/>
                    <w:spacing w:line="240" w:lineRule="auto"/>
                    <w:ind w:firstLine="0" w:firstLineChars="0"/>
                    <w:jc w:val="center"/>
                    <w:rPr>
                      <w:rFonts w:hint="eastAsia"/>
                      <w:color w:val="auto"/>
                      <w:sz w:val="21"/>
                      <w:szCs w:val="21"/>
                      <w:highlight w:val="none"/>
                    </w:rPr>
                  </w:pPr>
                  <w:r>
                    <w:rPr>
                      <w:rFonts w:hint="eastAsia"/>
                      <w:color w:val="auto"/>
                      <w:sz w:val="21"/>
                      <w:szCs w:val="21"/>
                      <w:highlight w:val="none"/>
                    </w:rPr>
                    <w:t>4</w:t>
                  </w:r>
                </w:p>
              </w:tc>
              <w:tc>
                <w:tcPr>
                  <w:tcW w:w="709" w:type="pct"/>
                  <w:tcBorders>
                    <w:top w:val="single" w:color="auto" w:sz="4" w:space="0"/>
                    <w:bottom w:val="single" w:color="auto" w:sz="4" w:space="0"/>
                  </w:tcBorders>
                  <w:vAlign w:val="center"/>
                </w:tcPr>
                <w:p w14:paraId="73DD3574">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0.0024</w:t>
                  </w:r>
                </w:p>
              </w:tc>
              <w:tc>
                <w:tcPr>
                  <w:tcW w:w="440" w:type="pct"/>
                  <w:vMerge w:val="continue"/>
                  <w:tcBorders>
                    <w:right w:val="nil"/>
                  </w:tcBorders>
                  <w:vAlign w:val="center"/>
                </w:tcPr>
                <w:p w14:paraId="0C91A2BE">
                  <w:pPr>
                    <w:adjustRightInd w:val="0"/>
                    <w:snapToGrid w:val="0"/>
                    <w:spacing w:line="240" w:lineRule="auto"/>
                    <w:ind w:firstLine="0" w:firstLineChars="0"/>
                    <w:jc w:val="center"/>
                    <w:rPr>
                      <w:rFonts w:hint="eastAsia"/>
                      <w:color w:val="auto"/>
                      <w:sz w:val="21"/>
                      <w:szCs w:val="21"/>
                      <w:highlight w:val="none"/>
                    </w:rPr>
                  </w:pPr>
                </w:p>
              </w:tc>
            </w:tr>
            <w:tr w14:paraId="143D29BA">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pct"/>
                  <w:vMerge w:val="continue"/>
                  <w:tcBorders>
                    <w:bottom w:val="single" w:color="auto" w:sz="4" w:space="0"/>
                  </w:tcBorders>
                  <w:vAlign w:val="center"/>
                </w:tcPr>
                <w:p w14:paraId="280388FF">
                  <w:pPr>
                    <w:adjustRightInd w:val="0"/>
                    <w:snapToGrid w:val="0"/>
                    <w:spacing w:line="240" w:lineRule="auto"/>
                    <w:ind w:firstLine="0" w:firstLineChars="0"/>
                    <w:jc w:val="center"/>
                    <w:rPr>
                      <w:rFonts w:hint="eastAsia"/>
                      <w:color w:val="auto"/>
                      <w:sz w:val="21"/>
                      <w:szCs w:val="21"/>
                      <w:highlight w:val="none"/>
                      <w:lang w:eastAsia="zh-CN"/>
                    </w:rPr>
                  </w:pPr>
                </w:p>
              </w:tc>
              <w:tc>
                <w:tcPr>
                  <w:tcW w:w="389" w:type="pct"/>
                  <w:vMerge w:val="continue"/>
                  <w:tcBorders>
                    <w:bottom w:val="single" w:color="auto" w:sz="4" w:space="0"/>
                  </w:tcBorders>
                  <w:vAlign w:val="center"/>
                </w:tcPr>
                <w:p w14:paraId="26CFB702">
                  <w:pPr>
                    <w:adjustRightInd w:val="0"/>
                    <w:snapToGrid w:val="0"/>
                    <w:spacing w:line="240" w:lineRule="auto"/>
                    <w:ind w:firstLine="0" w:firstLineChars="0"/>
                    <w:jc w:val="center"/>
                    <w:rPr>
                      <w:rFonts w:hint="eastAsia"/>
                      <w:color w:val="auto"/>
                      <w:sz w:val="21"/>
                      <w:szCs w:val="21"/>
                      <w:highlight w:val="none"/>
                      <w:lang w:val="en-US" w:eastAsia="zh-CN"/>
                    </w:rPr>
                  </w:pPr>
                </w:p>
              </w:tc>
              <w:tc>
                <w:tcPr>
                  <w:tcW w:w="548" w:type="pct"/>
                  <w:tcBorders>
                    <w:top w:val="single" w:color="auto" w:sz="4" w:space="0"/>
                    <w:bottom w:val="single" w:color="auto" w:sz="4" w:space="0"/>
                  </w:tcBorders>
                  <w:vAlign w:val="center"/>
                </w:tcPr>
                <w:p w14:paraId="13308DD8">
                  <w:pPr>
                    <w:pStyle w:val="62"/>
                    <w:spacing w:before="0"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TN</w:t>
                  </w:r>
                </w:p>
              </w:tc>
              <w:tc>
                <w:tcPr>
                  <w:tcW w:w="516" w:type="pct"/>
                  <w:tcBorders>
                    <w:top w:val="single" w:color="auto" w:sz="4" w:space="0"/>
                    <w:bottom w:val="single" w:color="auto" w:sz="4" w:space="0"/>
                  </w:tcBorders>
                  <w:vAlign w:val="center"/>
                </w:tcPr>
                <w:p w14:paraId="7DE51C9B">
                  <w:pPr>
                    <w:adjustRightInd w:val="0"/>
                    <w:snapToGrid w:val="0"/>
                    <w:spacing w:line="240" w:lineRule="auto"/>
                    <w:ind w:firstLine="0" w:firstLineChars="0"/>
                    <w:jc w:val="center"/>
                    <w:rPr>
                      <w:rFonts w:hint="eastAsia"/>
                      <w:color w:val="auto"/>
                      <w:sz w:val="21"/>
                      <w:szCs w:val="21"/>
                      <w:highlight w:val="none"/>
                    </w:rPr>
                  </w:pPr>
                  <w:r>
                    <w:rPr>
                      <w:rFonts w:hint="eastAsia"/>
                      <w:color w:val="auto"/>
                      <w:sz w:val="21"/>
                      <w:szCs w:val="21"/>
                      <w:highlight w:val="none"/>
                    </w:rPr>
                    <w:t>40</w:t>
                  </w:r>
                </w:p>
              </w:tc>
              <w:tc>
                <w:tcPr>
                  <w:tcW w:w="649" w:type="pct"/>
                  <w:tcBorders>
                    <w:top w:val="single" w:color="auto" w:sz="4" w:space="0"/>
                    <w:bottom w:val="single" w:color="auto" w:sz="4" w:space="0"/>
                  </w:tcBorders>
                  <w:vAlign w:val="center"/>
                </w:tcPr>
                <w:p w14:paraId="3D92205C">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0.024</w:t>
                  </w:r>
                </w:p>
              </w:tc>
              <w:tc>
                <w:tcPr>
                  <w:tcW w:w="748" w:type="pct"/>
                  <w:vMerge w:val="continue"/>
                  <w:tcBorders>
                    <w:bottom w:val="single" w:color="auto" w:sz="4" w:space="0"/>
                  </w:tcBorders>
                  <w:vAlign w:val="center"/>
                </w:tcPr>
                <w:p w14:paraId="3A91B29A">
                  <w:pPr>
                    <w:adjustRightInd w:val="0"/>
                    <w:snapToGrid w:val="0"/>
                    <w:spacing w:line="240" w:lineRule="auto"/>
                    <w:ind w:firstLine="0" w:firstLineChars="0"/>
                    <w:jc w:val="center"/>
                    <w:rPr>
                      <w:color w:val="auto"/>
                      <w:sz w:val="21"/>
                      <w:szCs w:val="21"/>
                      <w:highlight w:val="none"/>
                    </w:rPr>
                  </w:pPr>
                </w:p>
              </w:tc>
              <w:tc>
                <w:tcPr>
                  <w:tcW w:w="553" w:type="pct"/>
                  <w:tcBorders>
                    <w:top w:val="single" w:color="auto" w:sz="4" w:space="0"/>
                    <w:bottom w:val="single" w:color="auto" w:sz="4" w:space="0"/>
                  </w:tcBorders>
                  <w:vAlign w:val="center"/>
                </w:tcPr>
                <w:p w14:paraId="23AC7FF7">
                  <w:pPr>
                    <w:adjustRightInd w:val="0"/>
                    <w:snapToGrid w:val="0"/>
                    <w:spacing w:line="240" w:lineRule="auto"/>
                    <w:ind w:firstLine="0" w:firstLineChars="0"/>
                    <w:jc w:val="center"/>
                    <w:rPr>
                      <w:rFonts w:hint="eastAsia"/>
                      <w:color w:val="auto"/>
                      <w:sz w:val="21"/>
                      <w:szCs w:val="21"/>
                      <w:highlight w:val="none"/>
                    </w:rPr>
                  </w:pPr>
                  <w:r>
                    <w:rPr>
                      <w:rFonts w:hint="eastAsia"/>
                      <w:color w:val="auto"/>
                      <w:sz w:val="21"/>
                      <w:szCs w:val="21"/>
                      <w:highlight w:val="none"/>
                    </w:rPr>
                    <w:t>40</w:t>
                  </w:r>
                </w:p>
              </w:tc>
              <w:tc>
                <w:tcPr>
                  <w:tcW w:w="709" w:type="pct"/>
                  <w:tcBorders>
                    <w:top w:val="single" w:color="auto" w:sz="4" w:space="0"/>
                    <w:bottom w:val="single" w:color="auto" w:sz="4" w:space="0"/>
                  </w:tcBorders>
                  <w:vAlign w:val="center"/>
                </w:tcPr>
                <w:p w14:paraId="1C664669">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0.024</w:t>
                  </w:r>
                </w:p>
              </w:tc>
              <w:tc>
                <w:tcPr>
                  <w:tcW w:w="440" w:type="pct"/>
                  <w:vMerge w:val="continue"/>
                  <w:tcBorders>
                    <w:right w:val="nil"/>
                  </w:tcBorders>
                  <w:vAlign w:val="center"/>
                </w:tcPr>
                <w:p w14:paraId="5F1A3ECE">
                  <w:pPr>
                    <w:adjustRightInd w:val="0"/>
                    <w:snapToGrid w:val="0"/>
                    <w:spacing w:line="240" w:lineRule="auto"/>
                    <w:ind w:firstLine="0" w:firstLineChars="0"/>
                    <w:jc w:val="center"/>
                    <w:rPr>
                      <w:rFonts w:hint="eastAsia"/>
                      <w:color w:val="auto"/>
                      <w:sz w:val="21"/>
                      <w:szCs w:val="21"/>
                      <w:highlight w:val="none"/>
                    </w:rPr>
                  </w:pPr>
                </w:p>
              </w:tc>
            </w:tr>
            <w:tr w14:paraId="125B0635">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pct"/>
                  <w:vMerge w:val="restart"/>
                  <w:tcBorders>
                    <w:top w:val="single" w:color="auto" w:sz="4" w:space="0"/>
                  </w:tcBorders>
                  <w:vAlign w:val="center"/>
                </w:tcPr>
                <w:p w14:paraId="55BD8F21">
                  <w:pPr>
                    <w:adjustRightInd w:val="0"/>
                    <w:snapToGrid w:val="0"/>
                    <w:spacing w:line="240" w:lineRule="auto"/>
                    <w:ind w:firstLine="0" w:firstLineChars="0"/>
                    <w:jc w:val="center"/>
                    <w:rPr>
                      <w:rFonts w:hint="eastAsia"/>
                      <w:color w:val="auto"/>
                      <w:sz w:val="21"/>
                      <w:szCs w:val="21"/>
                      <w:highlight w:val="none"/>
                      <w:lang w:eastAsia="zh-CN"/>
                    </w:rPr>
                  </w:pPr>
                  <w:r>
                    <w:rPr>
                      <w:rFonts w:hint="eastAsia"/>
                      <w:color w:val="auto"/>
                      <w:sz w:val="21"/>
                      <w:szCs w:val="21"/>
                      <w:highlight w:val="none"/>
                      <w:lang w:val="en-US" w:eastAsia="zh-CN"/>
                    </w:rPr>
                    <w:t>清洗</w:t>
                  </w:r>
                  <w:r>
                    <w:rPr>
                      <w:rFonts w:hint="eastAsia"/>
                      <w:color w:val="auto"/>
                      <w:sz w:val="21"/>
                      <w:szCs w:val="21"/>
                      <w:highlight w:val="none"/>
                      <w:lang w:eastAsia="zh-CN"/>
                    </w:rPr>
                    <w:t>废水</w:t>
                  </w:r>
                </w:p>
              </w:tc>
              <w:tc>
                <w:tcPr>
                  <w:tcW w:w="389" w:type="pct"/>
                  <w:vMerge w:val="restart"/>
                  <w:tcBorders>
                    <w:top w:val="single" w:color="auto" w:sz="4" w:space="0"/>
                  </w:tcBorders>
                  <w:vAlign w:val="center"/>
                </w:tcPr>
                <w:p w14:paraId="6C2796AF">
                  <w:pPr>
                    <w:adjustRightInd w:val="0"/>
                    <w:snapToGrid w:val="0"/>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240</w:t>
                  </w:r>
                </w:p>
              </w:tc>
              <w:tc>
                <w:tcPr>
                  <w:tcW w:w="548" w:type="pct"/>
                  <w:tcBorders>
                    <w:top w:val="single" w:color="auto" w:sz="4" w:space="0"/>
                    <w:bottom w:val="single" w:color="auto" w:sz="4" w:space="0"/>
                  </w:tcBorders>
                  <w:vAlign w:val="center"/>
                </w:tcPr>
                <w:p w14:paraId="11595F27">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COD</w:t>
                  </w:r>
                </w:p>
              </w:tc>
              <w:tc>
                <w:tcPr>
                  <w:tcW w:w="516" w:type="pct"/>
                  <w:tcBorders>
                    <w:top w:val="single" w:color="auto" w:sz="4" w:space="0"/>
                    <w:bottom w:val="single" w:color="auto" w:sz="4" w:space="0"/>
                  </w:tcBorders>
                  <w:vAlign w:val="center"/>
                </w:tcPr>
                <w:p w14:paraId="1413E9FA">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200</w:t>
                  </w:r>
                </w:p>
              </w:tc>
              <w:tc>
                <w:tcPr>
                  <w:tcW w:w="649" w:type="pct"/>
                  <w:tcBorders>
                    <w:top w:val="single" w:color="auto" w:sz="4" w:space="0"/>
                    <w:bottom w:val="single" w:color="auto" w:sz="4" w:space="0"/>
                  </w:tcBorders>
                  <w:vAlign w:val="center"/>
                </w:tcPr>
                <w:p w14:paraId="1A437464">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0.048</w:t>
                  </w:r>
                </w:p>
              </w:tc>
              <w:tc>
                <w:tcPr>
                  <w:tcW w:w="748" w:type="pct"/>
                  <w:vMerge w:val="restart"/>
                  <w:tcBorders>
                    <w:top w:val="single" w:color="auto" w:sz="4" w:space="0"/>
                  </w:tcBorders>
                  <w:vAlign w:val="center"/>
                </w:tcPr>
                <w:p w14:paraId="4329348D">
                  <w:pPr>
                    <w:adjustRightInd w:val="0"/>
                    <w:snapToGrid w:val="0"/>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沉淀池</w:t>
                  </w:r>
                </w:p>
              </w:tc>
              <w:tc>
                <w:tcPr>
                  <w:tcW w:w="553" w:type="pct"/>
                  <w:tcBorders>
                    <w:top w:val="single" w:color="auto" w:sz="4" w:space="0"/>
                    <w:bottom w:val="single" w:color="auto" w:sz="4" w:space="0"/>
                  </w:tcBorders>
                  <w:vAlign w:val="center"/>
                </w:tcPr>
                <w:p w14:paraId="7E968710">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150</w:t>
                  </w:r>
                </w:p>
              </w:tc>
              <w:tc>
                <w:tcPr>
                  <w:tcW w:w="709" w:type="pct"/>
                  <w:tcBorders>
                    <w:top w:val="single" w:color="auto" w:sz="4" w:space="0"/>
                    <w:bottom w:val="single" w:color="auto" w:sz="4" w:space="0"/>
                  </w:tcBorders>
                  <w:vAlign w:val="center"/>
                </w:tcPr>
                <w:p w14:paraId="7FED0E42">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0.036</w:t>
                  </w:r>
                </w:p>
              </w:tc>
              <w:tc>
                <w:tcPr>
                  <w:tcW w:w="440" w:type="pct"/>
                  <w:vMerge w:val="continue"/>
                  <w:tcBorders>
                    <w:right w:val="nil"/>
                  </w:tcBorders>
                  <w:vAlign w:val="center"/>
                </w:tcPr>
                <w:p w14:paraId="2596FDA5">
                  <w:pPr>
                    <w:adjustRightInd w:val="0"/>
                    <w:snapToGrid w:val="0"/>
                    <w:spacing w:line="240" w:lineRule="auto"/>
                    <w:ind w:firstLine="0" w:firstLineChars="0"/>
                    <w:jc w:val="center"/>
                    <w:rPr>
                      <w:rFonts w:hint="eastAsia"/>
                      <w:color w:val="auto"/>
                      <w:sz w:val="21"/>
                      <w:szCs w:val="21"/>
                      <w:highlight w:val="none"/>
                    </w:rPr>
                  </w:pPr>
                </w:p>
              </w:tc>
            </w:tr>
            <w:tr w14:paraId="3C32BCF0">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pct"/>
                  <w:vMerge w:val="continue"/>
                  <w:tcBorders>
                    <w:bottom w:val="single" w:color="auto" w:sz="4" w:space="0"/>
                  </w:tcBorders>
                  <w:vAlign w:val="center"/>
                </w:tcPr>
                <w:p w14:paraId="0FFBA976">
                  <w:pPr>
                    <w:adjustRightInd w:val="0"/>
                    <w:snapToGrid w:val="0"/>
                    <w:spacing w:line="240" w:lineRule="auto"/>
                    <w:ind w:firstLine="0" w:firstLineChars="0"/>
                    <w:jc w:val="center"/>
                    <w:rPr>
                      <w:rFonts w:hint="eastAsia"/>
                      <w:color w:val="auto"/>
                      <w:sz w:val="21"/>
                      <w:szCs w:val="21"/>
                      <w:highlight w:val="none"/>
                      <w:lang w:eastAsia="zh-CN"/>
                    </w:rPr>
                  </w:pPr>
                </w:p>
              </w:tc>
              <w:tc>
                <w:tcPr>
                  <w:tcW w:w="389" w:type="pct"/>
                  <w:vMerge w:val="continue"/>
                  <w:tcBorders>
                    <w:bottom w:val="single" w:color="auto" w:sz="4" w:space="0"/>
                  </w:tcBorders>
                  <w:vAlign w:val="center"/>
                </w:tcPr>
                <w:p w14:paraId="701B6440">
                  <w:pPr>
                    <w:adjustRightInd w:val="0"/>
                    <w:snapToGrid w:val="0"/>
                    <w:spacing w:line="240" w:lineRule="auto"/>
                    <w:ind w:firstLine="0" w:firstLineChars="0"/>
                    <w:jc w:val="center"/>
                    <w:rPr>
                      <w:rFonts w:hint="eastAsia"/>
                      <w:color w:val="auto"/>
                      <w:sz w:val="21"/>
                      <w:szCs w:val="21"/>
                      <w:highlight w:val="none"/>
                      <w:lang w:val="en-US" w:eastAsia="zh-CN"/>
                    </w:rPr>
                  </w:pPr>
                </w:p>
              </w:tc>
              <w:tc>
                <w:tcPr>
                  <w:tcW w:w="548" w:type="pct"/>
                  <w:tcBorders>
                    <w:top w:val="single" w:color="auto" w:sz="4" w:space="0"/>
                    <w:bottom w:val="single" w:color="auto" w:sz="4" w:space="0"/>
                  </w:tcBorders>
                  <w:vAlign w:val="center"/>
                </w:tcPr>
                <w:p w14:paraId="760B889F">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SS</w:t>
                  </w:r>
                </w:p>
              </w:tc>
              <w:tc>
                <w:tcPr>
                  <w:tcW w:w="516" w:type="pct"/>
                  <w:tcBorders>
                    <w:top w:val="single" w:color="auto" w:sz="4" w:space="0"/>
                    <w:bottom w:val="single" w:color="auto" w:sz="4" w:space="0"/>
                  </w:tcBorders>
                  <w:vAlign w:val="center"/>
                </w:tcPr>
                <w:p w14:paraId="6ECC71AE">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150</w:t>
                  </w:r>
                </w:p>
              </w:tc>
              <w:tc>
                <w:tcPr>
                  <w:tcW w:w="649" w:type="pct"/>
                  <w:tcBorders>
                    <w:top w:val="single" w:color="auto" w:sz="4" w:space="0"/>
                    <w:bottom w:val="single" w:color="auto" w:sz="4" w:space="0"/>
                  </w:tcBorders>
                  <w:vAlign w:val="center"/>
                </w:tcPr>
                <w:p w14:paraId="5DE20317">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0.036</w:t>
                  </w:r>
                </w:p>
              </w:tc>
              <w:tc>
                <w:tcPr>
                  <w:tcW w:w="748" w:type="pct"/>
                  <w:vMerge w:val="continue"/>
                  <w:tcBorders>
                    <w:bottom w:val="single" w:color="auto" w:sz="4" w:space="0"/>
                  </w:tcBorders>
                  <w:vAlign w:val="center"/>
                </w:tcPr>
                <w:p w14:paraId="22408834">
                  <w:pPr>
                    <w:adjustRightInd w:val="0"/>
                    <w:snapToGrid w:val="0"/>
                    <w:spacing w:line="240" w:lineRule="auto"/>
                    <w:ind w:firstLine="0" w:firstLineChars="0"/>
                    <w:jc w:val="center"/>
                    <w:rPr>
                      <w:color w:val="auto"/>
                      <w:sz w:val="21"/>
                      <w:szCs w:val="21"/>
                      <w:highlight w:val="none"/>
                    </w:rPr>
                  </w:pPr>
                </w:p>
              </w:tc>
              <w:tc>
                <w:tcPr>
                  <w:tcW w:w="553" w:type="pct"/>
                  <w:tcBorders>
                    <w:top w:val="single" w:color="auto" w:sz="4" w:space="0"/>
                    <w:bottom w:val="single" w:color="auto" w:sz="4" w:space="0"/>
                  </w:tcBorders>
                  <w:vAlign w:val="center"/>
                </w:tcPr>
                <w:p w14:paraId="026D2021">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100</w:t>
                  </w:r>
                </w:p>
              </w:tc>
              <w:tc>
                <w:tcPr>
                  <w:tcW w:w="709" w:type="pct"/>
                  <w:tcBorders>
                    <w:top w:val="single" w:color="auto" w:sz="4" w:space="0"/>
                    <w:bottom w:val="single" w:color="auto" w:sz="4" w:space="0"/>
                  </w:tcBorders>
                  <w:vAlign w:val="center"/>
                </w:tcPr>
                <w:p w14:paraId="0C5E4778">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0.024</w:t>
                  </w:r>
                </w:p>
              </w:tc>
              <w:tc>
                <w:tcPr>
                  <w:tcW w:w="440" w:type="pct"/>
                  <w:vMerge w:val="continue"/>
                  <w:tcBorders>
                    <w:right w:val="nil"/>
                  </w:tcBorders>
                  <w:vAlign w:val="center"/>
                </w:tcPr>
                <w:p w14:paraId="2068606D">
                  <w:pPr>
                    <w:adjustRightInd w:val="0"/>
                    <w:snapToGrid w:val="0"/>
                    <w:spacing w:line="240" w:lineRule="auto"/>
                    <w:ind w:firstLine="0" w:firstLineChars="0"/>
                    <w:jc w:val="center"/>
                    <w:rPr>
                      <w:rFonts w:hint="eastAsia"/>
                      <w:color w:val="auto"/>
                      <w:sz w:val="21"/>
                      <w:szCs w:val="21"/>
                      <w:highlight w:val="none"/>
                    </w:rPr>
                  </w:pPr>
                </w:p>
              </w:tc>
            </w:tr>
            <w:tr w14:paraId="0D75F67B">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PrEx>
              <w:trPr>
                <w:trHeight w:val="340" w:hRule="atLeast"/>
                <w:jc w:val="center"/>
              </w:trPr>
              <w:tc>
                <w:tcPr>
                  <w:tcW w:w="443" w:type="pct"/>
                  <w:vMerge w:val="restart"/>
                  <w:tcBorders>
                    <w:top w:val="single" w:color="auto" w:sz="4" w:space="0"/>
                    <w:tl2br w:val="nil"/>
                    <w:tr2bl w:val="nil"/>
                  </w:tcBorders>
                  <w:vAlign w:val="center"/>
                </w:tcPr>
                <w:p w14:paraId="37AC1607">
                  <w:pPr>
                    <w:adjustRightInd w:val="0"/>
                    <w:snapToGrid w:val="0"/>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综合</w:t>
                  </w:r>
                  <w:r>
                    <w:rPr>
                      <w:color w:val="auto"/>
                      <w:sz w:val="21"/>
                      <w:szCs w:val="21"/>
                      <w:highlight w:val="none"/>
                    </w:rPr>
                    <w:t>污水</w:t>
                  </w:r>
                  <w:r>
                    <w:rPr>
                      <w:rFonts w:hint="eastAsia"/>
                      <w:color w:val="auto"/>
                      <w:sz w:val="21"/>
                      <w:szCs w:val="21"/>
                      <w:highlight w:val="none"/>
                      <w:lang w:eastAsia="zh-CN"/>
                    </w:rPr>
                    <w:t>（生活</w:t>
                  </w:r>
                  <w:r>
                    <w:rPr>
                      <w:rFonts w:hint="eastAsia"/>
                      <w:color w:val="auto"/>
                      <w:sz w:val="21"/>
                      <w:szCs w:val="21"/>
                      <w:highlight w:val="none"/>
                      <w:lang w:val="en-US" w:eastAsia="zh-CN"/>
                    </w:rPr>
                    <w:t>和清洗</w:t>
                  </w:r>
                  <w:r>
                    <w:rPr>
                      <w:rFonts w:hint="eastAsia"/>
                      <w:color w:val="auto"/>
                      <w:sz w:val="21"/>
                      <w:szCs w:val="21"/>
                      <w:highlight w:val="none"/>
                      <w:lang w:eastAsia="zh-CN"/>
                    </w:rPr>
                    <w:t>）</w:t>
                  </w:r>
                </w:p>
              </w:tc>
              <w:tc>
                <w:tcPr>
                  <w:tcW w:w="389" w:type="pct"/>
                  <w:vMerge w:val="restart"/>
                  <w:tcBorders>
                    <w:top w:val="single" w:color="auto" w:sz="4" w:space="0"/>
                    <w:tl2br w:val="nil"/>
                    <w:tr2bl w:val="nil"/>
                  </w:tcBorders>
                  <w:vAlign w:val="center"/>
                </w:tcPr>
                <w:p w14:paraId="2B858909">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840</w:t>
                  </w:r>
                </w:p>
              </w:tc>
              <w:tc>
                <w:tcPr>
                  <w:tcW w:w="548" w:type="pct"/>
                  <w:tcBorders>
                    <w:top w:val="single" w:color="auto" w:sz="4" w:space="0"/>
                    <w:tl2br w:val="nil"/>
                    <w:tr2bl w:val="nil"/>
                  </w:tcBorders>
                  <w:vAlign w:val="center"/>
                </w:tcPr>
                <w:p w14:paraId="630ED733">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516" w:type="pct"/>
                  <w:tcBorders>
                    <w:top w:val="single" w:color="auto" w:sz="4" w:space="0"/>
                    <w:tl2br w:val="nil"/>
                    <w:tr2bl w:val="nil"/>
                  </w:tcBorders>
                  <w:vAlign w:val="center"/>
                </w:tcPr>
                <w:p w14:paraId="74DFB091">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414</w:t>
                  </w:r>
                </w:p>
              </w:tc>
              <w:tc>
                <w:tcPr>
                  <w:tcW w:w="649" w:type="pct"/>
                  <w:tcBorders>
                    <w:top w:val="single" w:color="auto" w:sz="4" w:space="0"/>
                    <w:tl2br w:val="nil"/>
                    <w:tr2bl w:val="nil"/>
                  </w:tcBorders>
                  <w:vAlign w:val="center"/>
                </w:tcPr>
                <w:p w14:paraId="19AC9B75">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0.3477</w:t>
                  </w:r>
                </w:p>
              </w:tc>
              <w:tc>
                <w:tcPr>
                  <w:tcW w:w="748" w:type="pct"/>
                  <w:vMerge w:val="restart"/>
                  <w:tcBorders>
                    <w:top w:val="single" w:color="auto" w:sz="4" w:space="0"/>
                    <w:tl2br w:val="nil"/>
                    <w:tr2bl w:val="nil"/>
                  </w:tcBorders>
                  <w:vAlign w:val="center"/>
                </w:tcPr>
                <w:p w14:paraId="25D6767D">
                  <w:pPr>
                    <w:adjustRightInd w:val="0"/>
                    <w:snapToGrid w:val="0"/>
                    <w:spacing w:line="240" w:lineRule="auto"/>
                    <w:ind w:firstLine="0" w:firstLineChars="0"/>
                    <w:jc w:val="center"/>
                    <w:rPr>
                      <w:rFonts w:hint="default" w:eastAsia="宋体"/>
                      <w:color w:val="auto"/>
                      <w:sz w:val="21"/>
                      <w:szCs w:val="21"/>
                      <w:highlight w:val="none"/>
                      <w:lang w:val="en-US" w:eastAsia="zh-CN"/>
                    </w:rPr>
                  </w:pPr>
                  <w:r>
                    <w:rPr>
                      <w:color w:val="auto"/>
                      <w:sz w:val="21"/>
                      <w:szCs w:val="21"/>
                      <w:highlight w:val="none"/>
                    </w:rPr>
                    <w:t>化粪池</w:t>
                  </w:r>
                  <w:r>
                    <w:rPr>
                      <w:rFonts w:hint="eastAsia"/>
                      <w:color w:val="auto"/>
                      <w:sz w:val="21"/>
                      <w:szCs w:val="21"/>
                      <w:highlight w:val="none"/>
                      <w:lang w:val="en-US" w:eastAsia="zh-CN"/>
                    </w:rPr>
                    <w:t>＋沉淀池</w:t>
                  </w:r>
                </w:p>
              </w:tc>
              <w:tc>
                <w:tcPr>
                  <w:tcW w:w="553" w:type="pct"/>
                  <w:tcBorders>
                    <w:top w:val="single" w:color="auto" w:sz="4" w:space="0"/>
                    <w:tl2br w:val="nil"/>
                    <w:tr2bl w:val="nil"/>
                  </w:tcBorders>
                  <w:vAlign w:val="center"/>
                </w:tcPr>
                <w:p w14:paraId="29BE2AB3">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257</w:t>
                  </w:r>
                </w:p>
              </w:tc>
              <w:tc>
                <w:tcPr>
                  <w:tcW w:w="709" w:type="pct"/>
                  <w:tcBorders>
                    <w:top w:val="single" w:color="auto" w:sz="4" w:space="0"/>
                    <w:tl2br w:val="nil"/>
                    <w:tr2bl w:val="nil"/>
                  </w:tcBorders>
                  <w:vAlign w:val="center"/>
                </w:tcPr>
                <w:p w14:paraId="7AC0D7F3">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eastAsia="zh-CN"/>
                    </w:rPr>
                    <w:t>0.</w:t>
                  </w:r>
                  <w:r>
                    <w:rPr>
                      <w:rFonts w:hint="eastAsia"/>
                      <w:color w:val="auto"/>
                      <w:sz w:val="21"/>
                      <w:szCs w:val="21"/>
                      <w:highlight w:val="none"/>
                      <w:lang w:val="en-US" w:eastAsia="zh-CN"/>
                    </w:rPr>
                    <w:t>2158</w:t>
                  </w:r>
                </w:p>
              </w:tc>
              <w:tc>
                <w:tcPr>
                  <w:tcW w:w="440" w:type="pct"/>
                  <w:vMerge w:val="continue"/>
                  <w:tcBorders>
                    <w:right w:val="nil"/>
                  </w:tcBorders>
                  <w:vAlign w:val="center"/>
                </w:tcPr>
                <w:p w14:paraId="675FD34B">
                  <w:pPr>
                    <w:adjustRightInd w:val="0"/>
                    <w:snapToGrid w:val="0"/>
                    <w:spacing w:line="240" w:lineRule="auto"/>
                    <w:ind w:firstLine="0" w:firstLineChars="0"/>
                    <w:jc w:val="center"/>
                    <w:rPr>
                      <w:color w:val="auto"/>
                      <w:sz w:val="21"/>
                      <w:szCs w:val="21"/>
                      <w:highlight w:val="none"/>
                    </w:rPr>
                  </w:pPr>
                </w:p>
              </w:tc>
            </w:tr>
            <w:tr w14:paraId="6707953D">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pct"/>
                  <w:vMerge w:val="continue"/>
                  <w:tcBorders>
                    <w:tl2br w:val="nil"/>
                    <w:tr2bl w:val="nil"/>
                  </w:tcBorders>
                  <w:vAlign w:val="center"/>
                </w:tcPr>
                <w:p w14:paraId="545656A4">
                  <w:pPr>
                    <w:adjustRightInd w:val="0"/>
                    <w:snapToGrid w:val="0"/>
                    <w:spacing w:line="240" w:lineRule="auto"/>
                    <w:ind w:firstLine="0" w:firstLineChars="0"/>
                    <w:jc w:val="center"/>
                    <w:rPr>
                      <w:color w:val="auto"/>
                      <w:sz w:val="21"/>
                      <w:szCs w:val="21"/>
                      <w:highlight w:val="none"/>
                    </w:rPr>
                  </w:pPr>
                </w:p>
              </w:tc>
              <w:tc>
                <w:tcPr>
                  <w:tcW w:w="389" w:type="pct"/>
                  <w:vMerge w:val="continue"/>
                  <w:tcBorders>
                    <w:tl2br w:val="nil"/>
                    <w:tr2bl w:val="nil"/>
                  </w:tcBorders>
                  <w:vAlign w:val="center"/>
                </w:tcPr>
                <w:p w14:paraId="6DB3F8B9">
                  <w:pPr>
                    <w:adjustRightInd w:val="0"/>
                    <w:snapToGrid w:val="0"/>
                    <w:spacing w:line="240" w:lineRule="auto"/>
                    <w:ind w:firstLine="0" w:firstLineChars="0"/>
                    <w:jc w:val="center"/>
                    <w:rPr>
                      <w:color w:val="auto"/>
                      <w:sz w:val="21"/>
                      <w:szCs w:val="21"/>
                      <w:highlight w:val="none"/>
                    </w:rPr>
                  </w:pPr>
                </w:p>
              </w:tc>
              <w:tc>
                <w:tcPr>
                  <w:tcW w:w="548" w:type="pct"/>
                  <w:tcBorders>
                    <w:tl2br w:val="nil"/>
                    <w:tr2bl w:val="nil"/>
                  </w:tcBorders>
                  <w:vAlign w:val="center"/>
                </w:tcPr>
                <w:p w14:paraId="14036F7D">
                  <w:pPr>
                    <w:pStyle w:val="62"/>
                    <w:spacing w:before="0"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516" w:type="pct"/>
                  <w:tcBorders>
                    <w:tl2br w:val="nil"/>
                    <w:tr2bl w:val="nil"/>
                  </w:tcBorders>
                  <w:vAlign w:val="center"/>
                </w:tcPr>
                <w:p w14:paraId="486D4EE1">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257</w:t>
                  </w:r>
                </w:p>
              </w:tc>
              <w:tc>
                <w:tcPr>
                  <w:tcW w:w="649" w:type="pct"/>
                  <w:tcBorders>
                    <w:tl2br w:val="nil"/>
                    <w:tr2bl w:val="nil"/>
                  </w:tcBorders>
                  <w:vAlign w:val="center"/>
                </w:tcPr>
                <w:p w14:paraId="4969A1E7">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eastAsia="zh-CN"/>
                    </w:rPr>
                    <w:t>0.</w:t>
                  </w:r>
                  <w:r>
                    <w:rPr>
                      <w:rFonts w:hint="eastAsia"/>
                      <w:color w:val="auto"/>
                      <w:sz w:val="21"/>
                      <w:szCs w:val="21"/>
                      <w:highlight w:val="none"/>
                      <w:lang w:val="en-US" w:eastAsia="zh-CN"/>
                    </w:rPr>
                    <w:t>2158</w:t>
                  </w:r>
                </w:p>
              </w:tc>
              <w:tc>
                <w:tcPr>
                  <w:tcW w:w="748" w:type="pct"/>
                  <w:vMerge w:val="continue"/>
                  <w:tcBorders>
                    <w:tl2br w:val="nil"/>
                    <w:tr2bl w:val="nil"/>
                  </w:tcBorders>
                  <w:vAlign w:val="center"/>
                </w:tcPr>
                <w:p w14:paraId="0F22A463">
                  <w:pPr>
                    <w:adjustRightInd w:val="0"/>
                    <w:snapToGrid w:val="0"/>
                    <w:spacing w:line="240" w:lineRule="auto"/>
                    <w:ind w:firstLine="0" w:firstLineChars="0"/>
                    <w:jc w:val="center"/>
                    <w:rPr>
                      <w:color w:val="auto"/>
                      <w:sz w:val="21"/>
                      <w:szCs w:val="21"/>
                      <w:highlight w:val="none"/>
                    </w:rPr>
                  </w:pPr>
                </w:p>
              </w:tc>
              <w:tc>
                <w:tcPr>
                  <w:tcW w:w="553" w:type="pct"/>
                  <w:tcBorders>
                    <w:tl2br w:val="nil"/>
                    <w:tr2bl w:val="nil"/>
                  </w:tcBorders>
                  <w:vAlign w:val="center"/>
                </w:tcPr>
                <w:p w14:paraId="11FF176A">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228</w:t>
                  </w:r>
                </w:p>
              </w:tc>
              <w:tc>
                <w:tcPr>
                  <w:tcW w:w="709" w:type="pct"/>
                  <w:tcBorders>
                    <w:tl2br w:val="nil"/>
                    <w:tr2bl w:val="nil"/>
                  </w:tcBorders>
                  <w:vAlign w:val="center"/>
                </w:tcPr>
                <w:p w14:paraId="20F73CA5">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0.1915</w:t>
                  </w:r>
                </w:p>
              </w:tc>
              <w:tc>
                <w:tcPr>
                  <w:tcW w:w="440" w:type="pct"/>
                  <w:vMerge w:val="continue"/>
                  <w:tcBorders>
                    <w:right w:val="nil"/>
                    <w:tl2br w:val="nil"/>
                    <w:tr2bl w:val="nil"/>
                  </w:tcBorders>
                  <w:vAlign w:val="center"/>
                </w:tcPr>
                <w:p w14:paraId="368985D0">
                  <w:pPr>
                    <w:adjustRightInd w:val="0"/>
                    <w:snapToGrid w:val="0"/>
                    <w:spacing w:line="240" w:lineRule="auto"/>
                    <w:ind w:firstLine="0" w:firstLineChars="0"/>
                    <w:jc w:val="center"/>
                    <w:rPr>
                      <w:color w:val="auto"/>
                      <w:sz w:val="21"/>
                      <w:szCs w:val="21"/>
                      <w:highlight w:val="none"/>
                    </w:rPr>
                  </w:pPr>
                </w:p>
              </w:tc>
            </w:tr>
            <w:tr w14:paraId="0E4F88DD">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pct"/>
                  <w:vMerge w:val="continue"/>
                  <w:tcBorders>
                    <w:tl2br w:val="nil"/>
                    <w:tr2bl w:val="nil"/>
                  </w:tcBorders>
                  <w:vAlign w:val="center"/>
                </w:tcPr>
                <w:p w14:paraId="2581CE12">
                  <w:pPr>
                    <w:adjustRightInd w:val="0"/>
                    <w:snapToGrid w:val="0"/>
                    <w:spacing w:line="240" w:lineRule="auto"/>
                    <w:ind w:firstLine="0" w:firstLineChars="0"/>
                    <w:jc w:val="center"/>
                    <w:rPr>
                      <w:color w:val="auto"/>
                      <w:sz w:val="21"/>
                      <w:szCs w:val="21"/>
                      <w:highlight w:val="none"/>
                    </w:rPr>
                  </w:pPr>
                </w:p>
              </w:tc>
              <w:tc>
                <w:tcPr>
                  <w:tcW w:w="389" w:type="pct"/>
                  <w:vMerge w:val="continue"/>
                  <w:tcBorders>
                    <w:tl2br w:val="nil"/>
                    <w:tr2bl w:val="nil"/>
                  </w:tcBorders>
                  <w:vAlign w:val="center"/>
                </w:tcPr>
                <w:p w14:paraId="0E81BEA0">
                  <w:pPr>
                    <w:adjustRightInd w:val="0"/>
                    <w:snapToGrid w:val="0"/>
                    <w:spacing w:line="240" w:lineRule="auto"/>
                    <w:ind w:firstLine="0" w:firstLineChars="0"/>
                    <w:jc w:val="center"/>
                    <w:rPr>
                      <w:color w:val="auto"/>
                      <w:sz w:val="21"/>
                      <w:szCs w:val="21"/>
                      <w:highlight w:val="none"/>
                    </w:rPr>
                  </w:pPr>
                </w:p>
              </w:tc>
              <w:tc>
                <w:tcPr>
                  <w:tcW w:w="548" w:type="pct"/>
                  <w:tcBorders>
                    <w:tl2br w:val="nil"/>
                    <w:tr2bl w:val="nil"/>
                  </w:tcBorders>
                  <w:vAlign w:val="center"/>
                </w:tcPr>
                <w:p w14:paraId="75A97178">
                  <w:pPr>
                    <w:pStyle w:val="62"/>
                    <w:spacing w:before="0"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516" w:type="pct"/>
                  <w:tcBorders>
                    <w:tl2br w:val="nil"/>
                    <w:tr2bl w:val="nil"/>
                  </w:tcBorders>
                  <w:vAlign w:val="center"/>
                </w:tcPr>
                <w:p w14:paraId="0718F051">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25</w:t>
                  </w:r>
                </w:p>
              </w:tc>
              <w:tc>
                <w:tcPr>
                  <w:tcW w:w="649" w:type="pct"/>
                  <w:tcBorders>
                    <w:tl2br w:val="nil"/>
                    <w:tr2bl w:val="nil"/>
                  </w:tcBorders>
                  <w:vAlign w:val="center"/>
                </w:tcPr>
                <w:p w14:paraId="79A9EBFE">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0.021</w:t>
                  </w:r>
                </w:p>
              </w:tc>
              <w:tc>
                <w:tcPr>
                  <w:tcW w:w="748" w:type="pct"/>
                  <w:vMerge w:val="continue"/>
                  <w:tcBorders>
                    <w:tl2br w:val="nil"/>
                    <w:tr2bl w:val="nil"/>
                  </w:tcBorders>
                  <w:vAlign w:val="center"/>
                </w:tcPr>
                <w:p w14:paraId="7E29F28B">
                  <w:pPr>
                    <w:adjustRightInd w:val="0"/>
                    <w:snapToGrid w:val="0"/>
                    <w:spacing w:line="240" w:lineRule="auto"/>
                    <w:ind w:firstLine="0" w:firstLineChars="0"/>
                    <w:jc w:val="center"/>
                    <w:rPr>
                      <w:color w:val="auto"/>
                      <w:sz w:val="21"/>
                      <w:szCs w:val="21"/>
                      <w:highlight w:val="none"/>
                    </w:rPr>
                  </w:pPr>
                </w:p>
              </w:tc>
              <w:tc>
                <w:tcPr>
                  <w:tcW w:w="887" w:type="dxa"/>
                  <w:tcBorders>
                    <w:tl2br w:val="nil"/>
                    <w:tr2bl w:val="nil"/>
                  </w:tcBorders>
                  <w:vAlign w:val="center"/>
                </w:tcPr>
                <w:p w14:paraId="23F6FBE0">
                  <w:pPr>
                    <w:adjustRightInd w:val="0"/>
                    <w:snapToGrid w:val="0"/>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25</w:t>
                  </w:r>
                </w:p>
              </w:tc>
              <w:tc>
                <w:tcPr>
                  <w:tcW w:w="1137" w:type="dxa"/>
                  <w:tcBorders>
                    <w:tl2br w:val="nil"/>
                    <w:tr2bl w:val="nil"/>
                  </w:tcBorders>
                  <w:vAlign w:val="center"/>
                </w:tcPr>
                <w:p w14:paraId="7F811755">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0.0209</w:t>
                  </w:r>
                </w:p>
              </w:tc>
              <w:tc>
                <w:tcPr>
                  <w:tcW w:w="440" w:type="pct"/>
                  <w:vMerge w:val="continue"/>
                  <w:tcBorders>
                    <w:right w:val="nil"/>
                    <w:tl2br w:val="nil"/>
                    <w:tr2bl w:val="nil"/>
                  </w:tcBorders>
                  <w:vAlign w:val="center"/>
                </w:tcPr>
                <w:p w14:paraId="59D5F194">
                  <w:pPr>
                    <w:adjustRightInd w:val="0"/>
                    <w:snapToGrid w:val="0"/>
                    <w:spacing w:line="240" w:lineRule="auto"/>
                    <w:ind w:firstLine="0" w:firstLineChars="0"/>
                    <w:jc w:val="center"/>
                    <w:rPr>
                      <w:color w:val="auto"/>
                      <w:sz w:val="21"/>
                      <w:szCs w:val="21"/>
                      <w:highlight w:val="none"/>
                    </w:rPr>
                  </w:pPr>
                </w:p>
              </w:tc>
            </w:tr>
            <w:tr w14:paraId="07E579E6">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pct"/>
                  <w:vMerge w:val="continue"/>
                  <w:tcBorders>
                    <w:tl2br w:val="nil"/>
                    <w:tr2bl w:val="nil"/>
                  </w:tcBorders>
                  <w:vAlign w:val="center"/>
                </w:tcPr>
                <w:p w14:paraId="1B104296">
                  <w:pPr>
                    <w:adjustRightInd w:val="0"/>
                    <w:snapToGrid w:val="0"/>
                    <w:spacing w:line="240" w:lineRule="auto"/>
                    <w:ind w:firstLine="0" w:firstLineChars="0"/>
                    <w:jc w:val="center"/>
                    <w:rPr>
                      <w:color w:val="auto"/>
                      <w:sz w:val="21"/>
                      <w:szCs w:val="21"/>
                      <w:highlight w:val="none"/>
                    </w:rPr>
                  </w:pPr>
                </w:p>
              </w:tc>
              <w:tc>
                <w:tcPr>
                  <w:tcW w:w="389" w:type="pct"/>
                  <w:vMerge w:val="continue"/>
                  <w:tcBorders>
                    <w:tl2br w:val="nil"/>
                    <w:tr2bl w:val="nil"/>
                  </w:tcBorders>
                  <w:vAlign w:val="center"/>
                </w:tcPr>
                <w:p w14:paraId="12E349D8">
                  <w:pPr>
                    <w:adjustRightInd w:val="0"/>
                    <w:snapToGrid w:val="0"/>
                    <w:spacing w:line="240" w:lineRule="auto"/>
                    <w:ind w:firstLine="0" w:firstLineChars="0"/>
                    <w:jc w:val="center"/>
                    <w:rPr>
                      <w:color w:val="auto"/>
                      <w:sz w:val="21"/>
                      <w:szCs w:val="21"/>
                      <w:highlight w:val="none"/>
                    </w:rPr>
                  </w:pPr>
                </w:p>
              </w:tc>
              <w:tc>
                <w:tcPr>
                  <w:tcW w:w="548" w:type="pct"/>
                  <w:tcBorders>
                    <w:tl2br w:val="nil"/>
                    <w:tr2bl w:val="nil"/>
                  </w:tcBorders>
                  <w:vAlign w:val="center"/>
                </w:tcPr>
                <w:p w14:paraId="7CD0A188">
                  <w:pPr>
                    <w:pStyle w:val="62"/>
                    <w:spacing w:before="0"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TP</w:t>
                  </w:r>
                </w:p>
              </w:tc>
              <w:tc>
                <w:tcPr>
                  <w:tcW w:w="516" w:type="pct"/>
                  <w:tcBorders>
                    <w:tl2br w:val="nil"/>
                    <w:tr2bl w:val="nil"/>
                  </w:tcBorders>
                  <w:vAlign w:val="center"/>
                </w:tcPr>
                <w:p w14:paraId="1A47123C">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2.86</w:t>
                  </w:r>
                </w:p>
              </w:tc>
              <w:tc>
                <w:tcPr>
                  <w:tcW w:w="649" w:type="pct"/>
                  <w:tcBorders>
                    <w:tl2br w:val="nil"/>
                    <w:tr2bl w:val="nil"/>
                  </w:tcBorders>
                  <w:vAlign w:val="center"/>
                </w:tcPr>
                <w:p w14:paraId="435159F5">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0.0024</w:t>
                  </w:r>
                </w:p>
              </w:tc>
              <w:tc>
                <w:tcPr>
                  <w:tcW w:w="748" w:type="pct"/>
                  <w:vMerge w:val="continue"/>
                  <w:tcBorders>
                    <w:tl2br w:val="nil"/>
                    <w:tr2bl w:val="nil"/>
                  </w:tcBorders>
                  <w:vAlign w:val="center"/>
                </w:tcPr>
                <w:p w14:paraId="25343123">
                  <w:pPr>
                    <w:adjustRightInd w:val="0"/>
                    <w:snapToGrid w:val="0"/>
                    <w:spacing w:line="240" w:lineRule="auto"/>
                    <w:ind w:firstLine="0" w:firstLineChars="0"/>
                    <w:jc w:val="center"/>
                    <w:rPr>
                      <w:color w:val="auto"/>
                      <w:sz w:val="21"/>
                      <w:szCs w:val="21"/>
                      <w:highlight w:val="none"/>
                    </w:rPr>
                  </w:pPr>
                </w:p>
              </w:tc>
              <w:tc>
                <w:tcPr>
                  <w:tcW w:w="887" w:type="dxa"/>
                  <w:tcBorders>
                    <w:tl2br w:val="nil"/>
                    <w:tr2bl w:val="nil"/>
                  </w:tcBorders>
                  <w:vAlign w:val="center"/>
                </w:tcPr>
                <w:p w14:paraId="43F79A7E">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2.86</w:t>
                  </w:r>
                </w:p>
              </w:tc>
              <w:tc>
                <w:tcPr>
                  <w:tcW w:w="1137" w:type="dxa"/>
                  <w:tcBorders>
                    <w:tl2br w:val="nil"/>
                    <w:tr2bl w:val="nil"/>
                  </w:tcBorders>
                  <w:vAlign w:val="center"/>
                </w:tcPr>
                <w:p w14:paraId="594AAA04">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0.0023</w:t>
                  </w:r>
                </w:p>
              </w:tc>
              <w:tc>
                <w:tcPr>
                  <w:tcW w:w="440" w:type="pct"/>
                  <w:vMerge w:val="continue"/>
                  <w:tcBorders>
                    <w:right w:val="nil"/>
                    <w:tl2br w:val="nil"/>
                    <w:tr2bl w:val="nil"/>
                  </w:tcBorders>
                  <w:vAlign w:val="center"/>
                </w:tcPr>
                <w:p w14:paraId="78D4FEEA">
                  <w:pPr>
                    <w:adjustRightInd w:val="0"/>
                    <w:snapToGrid w:val="0"/>
                    <w:spacing w:line="240" w:lineRule="auto"/>
                    <w:ind w:firstLine="0" w:firstLineChars="0"/>
                    <w:jc w:val="center"/>
                    <w:rPr>
                      <w:color w:val="auto"/>
                      <w:sz w:val="21"/>
                      <w:szCs w:val="21"/>
                      <w:highlight w:val="none"/>
                    </w:rPr>
                  </w:pPr>
                </w:p>
              </w:tc>
            </w:tr>
            <w:tr w14:paraId="2E6DB490">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pct"/>
                  <w:vMerge w:val="continue"/>
                  <w:tcBorders>
                    <w:tl2br w:val="nil"/>
                    <w:tr2bl w:val="nil"/>
                  </w:tcBorders>
                  <w:vAlign w:val="center"/>
                </w:tcPr>
                <w:p w14:paraId="4BD4D6D2">
                  <w:pPr>
                    <w:adjustRightInd w:val="0"/>
                    <w:snapToGrid w:val="0"/>
                    <w:spacing w:line="240" w:lineRule="auto"/>
                    <w:ind w:firstLine="0" w:firstLineChars="0"/>
                    <w:jc w:val="center"/>
                    <w:rPr>
                      <w:color w:val="auto"/>
                      <w:sz w:val="21"/>
                      <w:szCs w:val="21"/>
                      <w:highlight w:val="none"/>
                    </w:rPr>
                  </w:pPr>
                </w:p>
              </w:tc>
              <w:tc>
                <w:tcPr>
                  <w:tcW w:w="389" w:type="pct"/>
                  <w:vMerge w:val="continue"/>
                  <w:tcBorders>
                    <w:tl2br w:val="nil"/>
                    <w:tr2bl w:val="nil"/>
                  </w:tcBorders>
                  <w:vAlign w:val="center"/>
                </w:tcPr>
                <w:p w14:paraId="4B9B80F6">
                  <w:pPr>
                    <w:adjustRightInd w:val="0"/>
                    <w:snapToGrid w:val="0"/>
                    <w:spacing w:line="240" w:lineRule="auto"/>
                    <w:ind w:firstLine="0" w:firstLineChars="0"/>
                    <w:jc w:val="center"/>
                    <w:rPr>
                      <w:color w:val="auto"/>
                      <w:sz w:val="21"/>
                      <w:szCs w:val="21"/>
                      <w:highlight w:val="none"/>
                    </w:rPr>
                  </w:pPr>
                </w:p>
              </w:tc>
              <w:tc>
                <w:tcPr>
                  <w:tcW w:w="548" w:type="pct"/>
                  <w:tcBorders>
                    <w:tl2br w:val="nil"/>
                    <w:tr2bl w:val="nil"/>
                  </w:tcBorders>
                  <w:vAlign w:val="center"/>
                </w:tcPr>
                <w:p w14:paraId="2B9D004A">
                  <w:pPr>
                    <w:pStyle w:val="62"/>
                    <w:spacing w:before="0"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TN</w:t>
                  </w:r>
                </w:p>
              </w:tc>
              <w:tc>
                <w:tcPr>
                  <w:tcW w:w="516" w:type="pct"/>
                  <w:tcBorders>
                    <w:tl2br w:val="nil"/>
                    <w:tr2bl w:val="nil"/>
                  </w:tcBorders>
                  <w:vAlign w:val="center"/>
                </w:tcPr>
                <w:p w14:paraId="617E2FA7">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28.5</w:t>
                  </w:r>
                </w:p>
              </w:tc>
              <w:tc>
                <w:tcPr>
                  <w:tcW w:w="649" w:type="pct"/>
                  <w:tcBorders>
                    <w:tl2br w:val="nil"/>
                    <w:tr2bl w:val="nil"/>
                  </w:tcBorders>
                  <w:vAlign w:val="center"/>
                </w:tcPr>
                <w:p w14:paraId="0C872F28">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0.0239</w:t>
                  </w:r>
                </w:p>
              </w:tc>
              <w:tc>
                <w:tcPr>
                  <w:tcW w:w="748" w:type="pct"/>
                  <w:vMerge w:val="continue"/>
                  <w:tcBorders>
                    <w:tl2br w:val="nil"/>
                    <w:tr2bl w:val="nil"/>
                  </w:tcBorders>
                  <w:vAlign w:val="center"/>
                </w:tcPr>
                <w:p w14:paraId="33DA8E30">
                  <w:pPr>
                    <w:adjustRightInd w:val="0"/>
                    <w:snapToGrid w:val="0"/>
                    <w:spacing w:line="240" w:lineRule="auto"/>
                    <w:ind w:firstLine="0" w:firstLineChars="0"/>
                    <w:jc w:val="center"/>
                    <w:rPr>
                      <w:color w:val="auto"/>
                      <w:sz w:val="21"/>
                      <w:szCs w:val="21"/>
                      <w:highlight w:val="none"/>
                    </w:rPr>
                  </w:pPr>
                </w:p>
              </w:tc>
              <w:tc>
                <w:tcPr>
                  <w:tcW w:w="887" w:type="dxa"/>
                  <w:tcBorders>
                    <w:tl2br w:val="nil"/>
                    <w:tr2bl w:val="nil"/>
                  </w:tcBorders>
                  <w:vAlign w:val="center"/>
                </w:tcPr>
                <w:p w14:paraId="6F55A42B">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28.5</w:t>
                  </w:r>
                </w:p>
              </w:tc>
              <w:tc>
                <w:tcPr>
                  <w:tcW w:w="1137" w:type="dxa"/>
                  <w:tcBorders>
                    <w:tl2br w:val="nil"/>
                    <w:tr2bl w:val="nil"/>
                  </w:tcBorders>
                  <w:vAlign w:val="center"/>
                </w:tcPr>
                <w:p w14:paraId="0A19B373">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0.0239</w:t>
                  </w:r>
                </w:p>
              </w:tc>
              <w:tc>
                <w:tcPr>
                  <w:tcW w:w="440" w:type="pct"/>
                  <w:vMerge w:val="continue"/>
                  <w:tcBorders>
                    <w:right w:val="nil"/>
                    <w:tl2br w:val="nil"/>
                    <w:tr2bl w:val="nil"/>
                  </w:tcBorders>
                  <w:vAlign w:val="center"/>
                </w:tcPr>
                <w:p w14:paraId="3DB572D4">
                  <w:pPr>
                    <w:adjustRightInd w:val="0"/>
                    <w:snapToGrid w:val="0"/>
                    <w:spacing w:line="240" w:lineRule="auto"/>
                    <w:ind w:firstLine="0" w:firstLineChars="0"/>
                    <w:jc w:val="center"/>
                    <w:rPr>
                      <w:color w:val="auto"/>
                      <w:sz w:val="21"/>
                      <w:szCs w:val="21"/>
                      <w:highlight w:val="none"/>
                    </w:rPr>
                  </w:pPr>
                </w:p>
              </w:tc>
            </w:tr>
          </w:tbl>
          <w:p w14:paraId="5C12C687">
            <w:pPr>
              <w:pStyle w:val="110"/>
              <w:spacing w:before="0" w:beforeLines="0" w:after="0" w:afterLines="0" w:line="360" w:lineRule="auto"/>
              <w:ind w:firstLine="480" w:firstLineChars="200"/>
              <w:jc w:val="both"/>
              <w:rPr>
                <w:color w:val="auto"/>
                <w:sz w:val="24"/>
                <w:szCs w:val="24"/>
                <w:highlight w:val="none"/>
              </w:rPr>
            </w:pPr>
            <w:r>
              <w:rPr>
                <w:rFonts w:hint="eastAsia"/>
                <w:b w:val="0"/>
                <w:bCs/>
                <w:color w:val="auto"/>
                <w:sz w:val="24"/>
                <w:szCs w:val="24"/>
                <w:highlight w:val="none"/>
              </w:rPr>
              <w:t>项目水污染物最终排放情况见表4-</w:t>
            </w:r>
            <w:r>
              <w:rPr>
                <w:rFonts w:hint="eastAsia"/>
                <w:b w:val="0"/>
                <w:bCs/>
                <w:color w:val="auto"/>
                <w:sz w:val="24"/>
                <w:szCs w:val="24"/>
                <w:highlight w:val="none"/>
                <w:lang w:val="en-US" w:eastAsia="zh-CN"/>
              </w:rPr>
              <w:t>8</w:t>
            </w:r>
            <w:r>
              <w:rPr>
                <w:rFonts w:hint="eastAsia"/>
                <w:b w:val="0"/>
                <w:bCs/>
                <w:color w:val="auto"/>
                <w:sz w:val="24"/>
                <w:szCs w:val="24"/>
                <w:highlight w:val="none"/>
              </w:rPr>
              <w:t>。</w:t>
            </w:r>
          </w:p>
          <w:p w14:paraId="488C4F51">
            <w:pPr>
              <w:pStyle w:val="110"/>
              <w:spacing w:before="0" w:beforeLines="0" w:after="0" w:afterLines="0"/>
              <w:rPr>
                <w:b w:val="0"/>
                <w:bCs/>
                <w:color w:val="auto"/>
                <w:sz w:val="24"/>
                <w:szCs w:val="24"/>
                <w:highlight w:val="none"/>
              </w:rPr>
            </w:pPr>
            <w:r>
              <w:rPr>
                <w:color w:val="auto"/>
                <w:sz w:val="24"/>
                <w:szCs w:val="24"/>
                <w:highlight w:val="none"/>
              </w:rPr>
              <w:t>表4-</w:t>
            </w:r>
            <w:r>
              <w:rPr>
                <w:rFonts w:hint="eastAsia"/>
                <w:color w:val="auto"/>
                <w:sz w:val="24"/>
                <w:szCs w:val="24"/>
                <w:highlight w:val="none"/>
                <w:lang w:val="en-US" w:eastAsia="zh-CN"/>
              </w:rPr>
              <w:t>8</w:t>
            </w:r>
            <w:r>
              <w:rPr>
                <w:color w:val="auto"/>
                <w:sz w:val="24"/>
                <w:szCs w:val="24"/>
                <w:highlight w:val="none"/>
              </w:rPr>
              <w:t xml:space="preserve">  </w:t>
            </w:r>
            <w:r>
              <w:rPr>
                <w:rFonts w:hint="eastAsia"/>
                <w:color w:val="auto"/>
                <w:sz w:val="24"/>
                <w:szCs w:val="24"/>
                <w:highlight w:val="none"/>
              </w:rPr>
              <w:t>项目水污染物最终排放情况一览表</w:t>
            </w:r>
          </w:p>
          <w:tbl>
            <w:tblPr>
              <w:tblStyle w:val="37"/>
              <w:tblW w:w="8390"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604"/>
              <w:gridCol w:w="915"/>
              <w:gridCol w:w="795"/>
              <w:gridCol w:w="1095"/>
              <w:gridCol w:w="915"/>
              <w:gridCol w:w="915"/>
              <w:gridCol w:w="1470"/>
              <w:gridCol w:w="1020"/>
            </w:tblGrid>
            <w:tr w14:paraId="2ACEA9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dxa"/>
                  <w:vMerge w:val="restart"/>
                  <w:tcBorders>
                    <w:top w:val="single" w:color="auto" w:sz="12" w:space="0"/>
                  </w:tcBorders>
                  <w:vAlign w:val="center"/>
                </w:tcPr>
                <w:p w14:paraId="7B76DFDB">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污水来源</w:t>
                  </w:r>
                </w:p>
              </w:tc>
              <w:tc>
                <w:tcPr>
                  <w:tcW w:w="604" w:type="dxa"/>
                  <w:vMerge w:val="restart"/>
                  <w:tcBorders>
                    <w:top w:val="single" w:color="auto" w:sz="12" w:space="0"/>
                  </w:tcBorders>
                  <w:vAlign w:val="center"/>
                </w:tcPr>
                <w:p w14:paraId="461507B6">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污水量t/a</w:t>
                  </w:r>
                </w:p>
              </w:tc>
              <w:tc>
                <w:tcPr>
                  <w:tcW w:w="915" w:type="dxa"/>
                  <w:vMerge w:val="restart"/>
                  <w:tcBorders>
                    <w:top w:val="single" w:color="auto" w:sz="12" w:space="0"/>
                  </w:tcBorders>
                  <w:vAlign w:val="center"/>
                </w:tcPr>
                <w:p w14:paraId="348C70A3">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污染物名称</w:t>
                  </w:r>
                </w:p>
              </w:tc>
              <w:tc>
                <w:tcPr>
                  <w:tcW w:w="1890" w:type="dxa"/>
                  <w:gridSpan w:val="2"/>
                  <w:tcBorders>
                    <w:top w:val="single" w:color="auto" w:sz="12" w:space="0"/>
                  </w:tcBorders>
                  <w:vAlign w:val="center"/>
                </w:tcPr>
                <w:p w14:paraId="040B25D8">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接管</w:t>
                  </w:r>
                  <w:r>
                    <w:rPr>
                      <w:rFonts w:hint="default" w:ascii="Times New Roman" w:hAnsi="Times New Roman" w:cs="Times New Roman"/>
                      <w:b/>
                      <w:bCs/>
                      <w:color w:val="auto"/>
                      <w:sz w:val="21"/>
                      <w:szCs w:val="21"/>
                      <w:highlight w:val="none"/>
                    </w:rPr>
                    <w:cr/>
                  </w:r>
                  <w:r>
                    <w:rPr>
                      <w:rFonts w:hint="default" w:ascii="Times New Roman" w:hAnsi="Times New Roman" w:cs="Times New Roman"/>
                      <w:b/>
                      <w:bCs/>
                      <w:color w:val="auto"/>
                      <w:sz w:val="21"/>
                      <w:szCs w:val="21"/>
                      <w:highlight w:val="none"/>
                    </w:rPr>
                    <w:t>情况</w:t>
                  </w:r>
                </w:p>
              </w:tc>
              <w:tc>
                <w:tcPr>
                  <w:tcW w:w="915" w:type="dxa"/>
                  <w:vMerge w:val="restart"/>
                  <w:tcBorders>
                    <w:top w:val="single" w:color="auto" w:sz="12" w:space="0"/>
                  </w:tcBorders>
                  <w:vAlign w:val="center"/>
                </w:tcPr>
                <w:p w14:paraId="11E9B919">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接管浓度限值mg/L</w:t>
                  </w:r>
                </w:p>
              </w:tc>
              <w:tc>
                <w:tcPr>
                  <w:tcW w:w="2385" w:type="dxa"/>
                  <w:gridSpan w:val="2"/>
                  <w:tcBorders>
                    <w:top w:val="single" w:color="auto" w:sz="12" w:space="0"/>
                  </w:tcBorders>
                  <w:vAlign w:val="center"/>
                </w:tcPr>
                <w:p w14:paraId="07C8F8E6">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最终外排环境排放情况</w:t>
                  </w:r>
                </w:p>
              </w:tc>
              <w:tc>
                <w:tcPr>
                  <w:tcW w:w="1020" w:type="dxa"/>
                  <w:vMerge w:val="restart"/>
                  <w:tcBorders>
                    <w:top w:val="single" w:color="auto" w:sz="12" w:space="0"/>
                  </w:tcBorders>
                  <w:vAlign w:val="center"/>
                </w:tcPr>
                <w:p w14:paraId="551BB833">
                  <w:pPr>
                    <w:adjustRightInd w:val="0"/>
                    <w:snapToGrid w:val="0"/>
                    <w:spacing w:line="240" w:lineRule="auto"/>
                    <w:ind w:firstLine="0" w:firstLineChars="0"/>
                    <w:jc w:val="center"/>
                    <w:rPr>
                      <w:color w:val="auto"/>
                      <w:sz w:val="21"/>
                      <w:szCs w:val="21"/>
                      <w:highlight w:val="none"/>
                    </w:rPr>
                  </w:pPr>
                  <w:r>
                    <w:rPr>
                      <w:rFonts w:hint="eastAsia"/>
                      <w:b/>
                      <w:bCs/>
                      <w:color w:val="auto"/>
                      <w:sz w:val="21"/>
                      <w:szCs w:val="21"/>
                      <w:highlight w:val="none"/>
                    </w:rPr>
                    <w:t>外排环境标准浓度限值</w:t>
                  </w:r>
                  <w:r>
                    <w:rPr>
                      <w:b/>
                      <w:bCs/>
                      <w:color w:val="auto"/>
                      <w:sz w:val="21"/>
                      <w:szCs w:val="21"/>
                      <w:highlight w:val="none"/>
                    </w:rPr>
                    <w:t>mg/L</w:t>
                  </w:r>
                </w:p>
              </w:tc>
            </w:tr>
            <w:tr w14:paraId="2BD3F6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dxa"/>
                  <w:vMerge w:val="continue"/>
                  <w:tcBorders>
                    <w:bottom w:val="single" w:color="auto" w:sz="12" w:space="0"/>
                    <w:tl2br w:val="nil"/>
                    <w:tr2bl w:val="nil"/>
                  </w:tcBorders>
                  <w:vAlign w:val="center"/>
                </w:tcPr>
                <w:p w14:paraId="2A99BECC">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p>
              </w:tc>
              <w:tc>
                <w:tcPr>
                  <w:tcW w:w="604" w:type="dxa"/>
                  <w:vMerge w:val="continue"/>
                  <w:tcBorders>
                    <w:bottom w:val="single" w:color="auto" w:sz="12" w:space="0"/>
                    <w:tl2br w:val="nil"/>
                    <w:tr2bl w:val="nil"/>
                  </w:tcBorders>
                  <w:vAlign w:val="center"/>
                </w:tcPr>
                <w:p w14:paraId="763DD617">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p>
              </w:tc>
              <w:tc>
                <w:tcPr>
                  <w:tcW w:w="915" w:type="dxa"/>
                  <w:vMerge w:val="continue"/>
                  <w:tcBorders>
                    <w:bottom w:val="single" w:color="auto" w:sz="12" w:space="0"/>
                    <w:tl2br w:val="nil"/>
                    <w:tr2bl w:val="nil"/>
                  </w:tcBorders>
                  <w:vAlign w:val="center"/>
                </w:tcPr>
                <w:p w14:paraId="433EDB4B">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p>
              </w:tc>
              <w:tc>
                <w:tcPr>
                  <w:tcW w:w="795" w:type="dxa"/>
                  <w:tcBorders>
                    <w:bottom w:val="single" w:color="auto" w:sz="12" w:space="0"/>
                    <w:tl2br w:val="nil"/>
                    <w:tr2bl w:val="nil"/>
                  </w:tcBorders>
                  <w:vAlign w:val="center"/>
                </w:tcPr>
                <w:p w14:paraId="7171BFB9">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浓度mg/L</w:t>
                  </w:r>
                </w:p>
              </w:tc>
              <w:tc>
                <w:tcPr>
                  <w:tcW w:w="1095" w:type="dxa"/>
                  <w:tcBorders>
                    <w:bottom w:val="single" w:color="auto" w:sz="12" w:space="0"/>
                    <w:tl2br w:val="nil"/>
                    <w:tr2bl w:val="nil"/>
                  </w:tcBorders>
                  <w:vAlign w:val="center"/>
                </w:tcPr>
                <w:p w14:paraId="1BDA82D0">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接管量</w:t>
                  </w:r>
                </w:p>
                <w:p w14:paraId="4936A4DC">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t/a</w:t>
                  </w:r>
                </w:p>
              </w:tc>
              <w:tc>
                <w:tcPr>
                  <w:tcW w:w="915" w:type="dxa"/>
                  <w:vMerge w:val="continue"/>
                  <w:tcBorders>
                    <w:bottom w:val="single" w:color="auto" w:sz="12" w:space="0"/>
                    <w:tl2br w:val="nil"/>
                    <w:tr2bl w:val="nil"/>
                  </w:tcBorders>
                  <w:vAlign w:val="center"/>
                </w:tcPr>
                <w:p w14:paraId="6F012506">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p>
              </w:tc>
              <w:tc>
                <w:tcPr>
                  <w:tcW w:w="915" w:type="dxa"/>
                  <w:tcBorders>
                    <w:bottom w:val="single" w:color="auto" w:sz="12" w:space="0"/>
                    <w:tl2br w:val="nil"/>
                    <w:tr2bl w:val="nil"/>
                  </w:tcBorders>
                  <w:vAlign w:val="center"/>
                </w:tcPr>
                <w:p w14:paraId="0F5E6530">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w:t>
                  </w:r>
                </w:p>
                <w:p w14:paraId="3F2394F3">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mg/L</w:t>
                  </w:r>
                </w:p>
              </w:tc>
              <w:tc>
                <w:tcPr>
                  <w:tcW w:w="1470" w:type="dxa"/>
                  <w:tcBorders>
                    <w:bottom w:val="single" w:color="auto" w:sz="12" w:space="0"/>
                    <w:tl2br w:val="nil"/>
                    <w:tr2bl w:val="nil"/>
                  </w:tcBorders>
                  <w:vAlign w:val="center"/>
                </w:tcPr>
                <w:p w14:paraId="0C31CF29">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最终外排量t/a</w:t>
                  </w:r>
                </w:p>
              </w:tc>
              <w:tc>
                <w:tcPr>
                  <w:tcW w:w="1020" w:type="dxa"/>
                  <w:vMerge w:val="continue"/>
                  <w:tcBorders>
                    <w:bottom w:val="single" w:color="auto" w:sz="12" w:space="0"/>
                    <w:tl2br w:val="nil"/>
                    <w:tr2bl w:val="nil"/>
                  </w:tcBorders>
                  <w:vAlign w:val="center"/>
                </w:tcPr>
                <w:p w14:paraId="4E78B269">
                  <w:pPr>
                    <w:adjustRightInd w:val="0"/>
                    <w:snapToGrid w:val="0"/>
                    <w:spacing w:line="240" w:lineRule="auto"/>
                    <w:ind w:firstLine="0" w:firstLineChars="0"/>
                    <w:jc w:val="center"/>
                    <w:rPr>
                      <w:color w:val="auto"/>
                      <w:sz w:val="21"/>
                      <w:szCs w:val="21"/>
                      <w:highlight w:val="none"/>
                    </w:rPr>
                  </w:pPr>
                </w:p>
              </w:tc>
            </w:tr>
            <w:tr w14:paraId="3BF221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dxa"/>
                  <w:vMerge w:val="restart"/>
                  <w:tcBorders>
                    <w:top w:val="single" w:color="auto" w:sz="12" w:space="0"/>
                  </w:tcBorders>
                  <w:vAlign w:val="center"/>
                </w:tcPr>
                <w:p w14:paraId="090A258C">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eastAsia="zh-CN"/>
                    </w:rPr>
                    <w:t>综合</w:t>
                  </w:r>
                  <w:r>
                    <w:rPr>
                      <w:color w:val="auto"/>
                      <w:sz w:val="21"/>
                      <w:szCs w:val="21"/>
                      <w:highlight w:val="none"/>
                    </w:rPr>
                    <w:t>污水</w:t>
                  </w:r>
                  <w:r>
                    <w:rPr>
                      <w:rFonts w:hint="eastAsia"/>
                      <w:color w:val="auto"/>
                      <w:sz w:val="21"/>
                      <w:szCs w:val="21"/>
                      <w:highlight w:val="none"/>
                      <w:lang w:eastAsia="zh-CN"/>
                    </w:rPr>
                    <w:t>（生活</w:t>
                  </w:r>
                  <w:r>
                    <w:rPr>
                      <w:rFonts w:hint="eastAsia"/>
                      <w:color w:val="auto"/>
                      <w:sz w:val="21"/>
                      <w:szCs w:val="21"/>
                      <w:highlight w:val="none"/>
                      <w:lang w:val="en-US" w:eastAsia="zh-CN"/>
                    </w:rPr>
                    <w:t>污水和清洗废水</w:t>
                  </w:r>
                  <w:r>
                    <w:rPr>
                      <w:rFonts w:hint="eastAsia"/>
                      <w:color w:val="auto"/>
                      <w:sz w:val="21"/>
                      <w:szCs w:val="21"/>
                      <w:highlight w:val="none"/>
                      <w:lang w:eastAsia="zh-CN"/>
                    </w:rPr>
                    <w:t>）</w:t>
                  </w:r>
                </w:p>
              </w:tc>
              <w:tc>
                <w:tcPr>
                  <w:tcW w:w="604" w:type="dxa"/>
                  <w:vMerge w:val="restart"/>
                  <w:tcBorders>
                    <w:top w:val="single" w:color="auto" w:sz="12" w:space="0"/>
                  </w:tcBorders>
                  <w:vAlign w:val="center"/>
                </w:tcPr>
                <w:p w14:paraId="39E8F69D">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840</w:t>
                  </w:r>
                </w:p>
              </w:tc>
              <w:tc>
                <w:tcPr>
                  <w:tcW w:w="915" w:type="dxa"/>
                  <w:tcBorders>
                    <w:top w:val="single" w:color="auto" w:sz="12" w:space="0"/>
                  </w:tcBorders>
                  <w:vAlign w:val="center"/>
                </w:tcPr>
                <w:p w14:paraId="2BF17ADD">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795" w:type="dxa"/>
                  <w:tcBorders>
                    <w:top w:val="single" w:color="auto" w:sz="12" w:space="0"/>
                  </w:tcBorders>
                  <w:vAlign w:val="center"/>
                </w:tcPr>
                <w:p w14:paraId="50769683">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257</w:t>
                  </w:r>
                </w:p>
              </w:tc>
              <w:tc>
                <w:tcPr>
                  <w:tcW w:w="1095" w:type="dxa"/>
                  <w:tcBorders>
                    <w:top w:val="single" w:color="auto" w:sz="12" w:space="0"/>
                  </w:tcBorders>
                  <w:vAlign w:val="center"/>
                </w:tcPr>
                <w:p w14:paraId="47DA4866">
                  <w:pPr>
                    <w:adjustRightInd w:val="0"/>
                    <w:snapToGrid w:val="0"/>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0.</w:t>
                  </w:r>
                  <w:r>
                    <w:rPr>
                      <w:rFonts w:hint="eastAsia"/>
                      <w:color w:val="auto"/>
                      <w:sz w:val="21"/>
                      <w:szCs w:val="21"/>
                      <w:highlight w:val="none"/>
                      <w:lang w:val="en-US" w:eastAsia="zh-CN"/>
                    </w:rPr>
                    <w:t>2158</w:t>
                  </w:r>
                </w:p>
              </w:tc>
              <w:tc>
                <w:tcPr>
                  <w:tcW w:w="915" w:type="dxa"/>
                  <w:tcBorders>
                    <w:top w:val="single" w:color="auto" w:sz="12" w:space="0"/>
                  </w:tcBorders>
                  <w:vAlign w:val="center"/>
                </w:tcPr>
                <w:p w14:paraId="2BF24385">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500</w:t>
                  </w:r>
                </w:p>
              </w:tc>
              <w:tc>
                <w:tcPr>
                  <w:tcW w:w="915" w:type="dxa"/>
                  <w:tcBorders>
                    <w:top w:val="single" w:color="auto" w:sz="12" w:space="0"/>
                  </w:tcBorders>
                  <w:vAlign w:val="center"/>
                </w:tcPr>
                <w:p w14:paraId="2F355EAC">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50</w:t>
                  </w:r>
                </w:p>
              </w:tc>
              <w:tc>
                <w:tcPr>
                  <w:tcW w:w="1470" w:type="dxa"/>
                  <w:tcBorders>
                    <w:top w:val="single" w:color="auto" w:sz="12" w:space="0"/>
                  </w:tcBorders>
                  <w:vAlign w:val="center"/>
                </w:tcPr>
                <w:p w14:paraId="2A9CE13F">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rPr>
                    <w:t>0.0</w:t>
                  </w:r>
                  <w:r>
                    <w:rPr>
                      <w:rFonts w:hint="eastAsia"/>
                      <w:color w:val="auto"/>
                      <w:sz w:val="21"/>
                      <w:szCs w:val="21"/>
                      <w:highlight w:val="none"/>
                      <w:lang w:val="en-US" w:eastAsia="zh-CN"/>
                    </w:rPr>
                    <w:t>42</w:t>
                  </w:r>
                </w:p>
              </w:tc>
              <w:tc>
                <w:tcPr>
                  <w:tcW w:w="1020" w:type="dxa"/>
                  <w:tcBorders>
                    <w:top w:val="single" w:color="auto" w:sz="12" w:space="0"/>
                  </w:tcBorders>
                  <w:vAlign w:val="center"/>
                </w:tcPr>
                <w:p w14:paraId="01D1982A">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50</w:t>
                  </w:r>
                </w:p>
              </w:tc>
            </w:tr>
            <w:tr w14:paraId="46F632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dxa"/>
                  <w:vMerge w:val="continue"/>
                  <w:vAlign w:val="center"/>
                </w:tcPr>
                <w:p w14:paraId="4544A476">
                  <w:pPr>
                    <w:adjustRightInd w:val="0"/>
                    <w:snapToGrid w:val="0"/>
                    <w:spacing w:line="240" w:lineRule="auto"/>
                    <w:ind w:firstLine="0" w:firstLineChars="0"/>
                    <w:jc w:val="center"/>
                    <w:rPr>
                      <w:color w:val="auto"/>
                      <w:sz w:val="21"/>
                      <w:szCs w:val="21"/>
                      <w:highlight w:val="none"/>
                    </w:rPr>
                  </w:pPr>
                </w:p>
              </w:tc>
              <w:tc>
                <w:tcPr>
                  <w:tcW w:w="604" w:type="dxa"/>
                  <w:vMerge w:val="continue"/>
                  <w:vAlign w:val="center"/>
                </w:tcPr>
                <w:p w14:paraId="7EB6BEB8">
                  <w:pPr>
                    <w:adjustRightInd w:val="0"/>
                    <w:snapToGrid w:val="0"/>
                    <w:spacing w:line="240" w:lineRule="auto"/>
                    <w:ind w:firstLine="0" w:firstLineChars="0"/>
                    <w:jc w:val="center"/>
                    <w:rPr>
                      <w:color w:val="auto"/>
                      <w:sz w:val="21"/>
                      <w:szCs w:val="21"/>
                      <w:highlight w:val="none"/>
                    </w:rPr>
                  </w:pPr>
                </w:p>
              </w:tc>
              <w:tc>
                <w:tcPr>
                  <w:tcW w:w="915" w:type="dxa"/>
                  <w:vAlign w:val="center"/>
                </w:tcPr>
                <w:p w14:paraId="09B236EA">
                  <w:pPr>
                    <w:pStyle w:val="62"/>
                    <w:spacing w:before="0"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795" w:type="dxa"/>
                  <w:vAlign w:val="center"/>
                </w:tcPr>
                <w:p w14:paraId="72F82414">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228</w:t>
                  </w:r>
                </w:p>
              </w:tc>
              <w:tc>
                <w:tcPr>
                  <w:tcW w:w="1095" w:type="dxa"/>
                  <w:vAlign w:val="center"/>
                </w:tcPr>
                <w:p w14:paraId="186D2245">
                  <w:pPr>
                    <w:adjustRightInd w:val="0"/>
                    <w:snapToGrid w:val="0"/>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0.1915</w:t>
                  </w:r>
                </w:p>
              </w:tc>
              <w:tc>
                <w:tcPr>
                  <w:tcW w:w="915" w:type="dxa"/>
                  <w:vAlign w:val="center"/>
                </w:tcPr>
                <w:p w14:paraId="433F1B1D">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400</w:t>
                  </w:r>
                </w:p>
              </w:tc>
              <w:tc>
                <w:tcPr>
                  <w:tcW w:w="915" w:type="dxa"/>
                  <w:vAlign w:val="center"/>
                </w:tcPr>
                <w:p w14:paraId="10D16569">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10</w:t>
                  </w:r>
                </w:p>
              </w:tc>
              <w:tc>
                <w:tcPr>
                  <w:tcW w:w="1470" w:type="dxa"/>
                  <w:vAlign w:val="center"/>
                </w:tcPr>
                <w:p w14:paraId="286946F3">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rPr>
                    <w:t>0.00</w:t>
                  </w:r>
                  <w:r>
                    <w:rPr>
                      <w:rFonts w:hint="eastAsia"/>
                      <w:color w:val="auto"/>
                      <w:sz w:val="21"/>
                      <w:szCs w:val="21"/>
                      <w:highlight w:val="none"/>
                      <w:lang w:val="en-US" w:eastAsia="zh-CN"/>
                    </w:rPr>
                    <w:t>84</w:t>
                  </w:r>
                </w:p>
              </w:tc>
              <w:tc>
                <w:tcPr>
                  <w:tcW w:w="1020" w:type="dxa"/>
                  <w:vAlign w:val="center"/>
                </w:tcPr>
                <w:p w14:paraId="0FAF1969">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10</w:t>
                  </w:r>
                </w:p>
              </w:tc>
            </w:tr>
            <w:tr w14:paraId="31DAB9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61" w:type="dxa"/>
                  <w:vMerge w:val="continue"/>
                  <w:vAlign w:val="center"/>
                </w:tcPr>
                <w:p w14:paraId="17C3D5D3">
                  <w:pPr>
                    <w:adjustRightInd w:val="0"/>
                    <w:snapToGrid w:val="0"/>
                    <w:spacing w:line="240" w:lineRule="auto"/>
                    <w:ind w:firstLine="0" w:firstLineChars="0"/>
                    <w:jc w:val="center"/>
                    <w:rPr>
                      <w:color w:val="auto"/>
                      <w:sz w:val="21"/>
                      <w:szCs w:val="21"/>
                      <w:highlight w:val="none"/>
                    </w:rPr>
                  </w:pPr>
                </w:p>
              </w:tc>
              <w:tc>
                <w:tcPr>
                  <w:tcW w:w="604" w:type="dxa"/>
                  <w:vMerge w:val="continue"/>
                  <w:vAlign w:val="center"/>
                </w:tcPr>
                <w:p w14:paraId="1E8242A1">
                  <w:pPr>
                    <w:adjustRightInd w:val="0"/>
                    <w:snapToGrid w:val="0"/>
                    <w:spacing w:line="240" w:lineRule="auto"/>
                    <w:ind w:firstLine="0" w:firstLineChars="0"/>
                    <w:jc w:val="center"/>
                    <w:rPr>
                      <w:color w:val="auto"/>
                      <w:sz w:val="21"/>
                      <w:szCs w:val="21"/>
                      <w:highlight w:val="none"/>
                    </w:rPr>
                  </w:pPr>
                </w:p>
              </w:tc>
              <w:tc>
                <w:tcPr>
                  <w:tcW w:w="915" w:type="dxa"/>
                  <w:vAlign w:val="center"/>
                </w:tcPr>
                <w:p w14:paraId="18EFBE77">
                  <w:pPr>
                    <w:pStyle w:val="62"/>
                    <w:spacing w:before="0"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795" w:type="dxa"/>
                  <w:vAlign w:val="center"/>
                </w:tcPr>
                <w:p w14:paraId="2E2E87A7">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25</w:t>
                  </w:r>
                </w:p>
              </w:tc>
              <w:tc>
                <w:tcPr>
                  <w:tcW w:w="1095" w:type="dxa"/>
                  <w:vAlign w:val="center"/>
                </w:tcPr>
                <w:p w14:paraId="32783A15">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0.0209</w:t>
                  </w:r>
                </w:p>
              </w:tc>
              <w:tc>
                <w:tcPr>
                  <w:tcW w:w="915" w:type="dxa"/>
                  <w:vAlign w:val="center"/>
                </w:tcPr>
                <w:p w14:paraId="279F9B9A">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45</w:t>
                  </w:r>
                </w:p>
              </w:tc>
              <w:tc>
                <w:tcPr>
                  <w:tcW w:w="915" w:type="dxa"/>
                  <w:vAlign w:val="center"/>
                </w:tcPr>
                <w:p w14:paraId="5DDDE778">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5</w:t>
                  </w:r>
                </w:p>
              </w:tc>
              <w:tc>
                <w:tcPr>
                  <w:tcW w:w="1470" w:type="dxa"/>
                  <w:vAlign w:val="center"/>
                </w:tcPr>
                <w:p w14:paraId="5C0F2AAC">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rPr>
                    <w:t>0.00</w:t>
                  </w:r>
                  <w:r>
                    <w:rPr>
                      <w:rFonts w:hint="eastAsia"/>
                      <w:color w:val="auto"/>
                      <w:sz w:val="21"/>
                      <w:szCs w:val="21"/>
                      <w:highlight w:val="none"/>
                      <w:lang w:val="en-US" w:eastAsia="zh-CN"/>
                    </w:rPr>
                    <w:t>42</w:t>
                  </w:r>
                </w:p>
              </w:tc>
              <w:tc>
                <w:tcPr>
                  <w:tcW w:w="1020" w:type="dxa"/>
                  <w:vAlign w:val="center"/>
                </w:tcPr>
                <w:p w14:paraId="6178A0A9">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5</w:t>
                  </w:r>
                </w:p>
              </w:tc>
            </w:tr>
            <w:tr w14:paraId="48EB94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dxa"/>
                  <w:vMerge w:val="continue"/>
                  <w:vAlign w:val="center"/>
                </w:tcPr>
                <w:p w14:paraId="6549014A">
                  <w:pPr>
                    <w:adjustRightInd w:val="0"/>
                    <w:snapToGrid w:val="0"/>
                    <w:spacing w:line="240" w:lineRule="auto"/>
                    <w:ind w:firstLine="0" w:firstLineChars="0"/>
                    <w:jc w:val="center"/>
                    <w:rPr>
                      <w:color w:val="auto"/>
                      <w:sz w:val="21"/>
                      <w:szCs w:val="21"/>
                      <w:highlight w:val="none"/>
                    </w:rPr>
                  </w:pPr>
                </w:p>
              </w:tc>
              <w:tc>
                <w:tcPr>
                  <w:tcW w:w="604" w:type="dxa"/>
                  <w:vMerge w:val="continue"/>
                  <w:vAlign w:val="center"/>
                </w:tcPr>
                <w:p w14:paraId="305D1216">
                  <w:pPr>
                    <w:adjustRightInd w:val="0"/>
                    <w:snapToGrid w:val="0"/>
                    <w:spacing w:line="240" w:lineRule="auto"/>
                    <w:ind w:firstLine="0" w:firstLineChars="0"/>
                    <w:jc w:val="center"/>
                    <w:rPr>
                      <w:color w:val="auto"/>
                      <w:sz w:val="21"/>
                      <w:szCs w:val="21"/>
                      <w:highlight w:val="none"/>
                    </w:rPr>
                  </w:pPr>
                </w:p>
              </w:tc>
              <w:tc>
                <w:tcPr>
                  <w:tcW w:w="915" w:type="dxa"/>
                  <w:vAlign w:val="center"/>
                </w:tcPr>
                <w:p w14:paraId="40252558">
                  <w:pPr>
                    <w:pStyle w:val="62"/>
                    <w:spacing w:before="0"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TP</w:t>
                  </w:r>
                </w:p>
              </w:tc>
              <w:tc>
                <w:tcPr>
                  <w:tcW w:w="795" w:type="dxa"/>
                  <w:vAlign w:val="center"/>
                </w:tcPr>
                <w:p w14:paraId="0365E1EE">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2.86</w:t>
                  </w:r>
                </w:p>
              </w:tc>
              <w:tc>
                <w:tcPr>
                  <w:tcW w:w="1095" w:type="dxa"/>
                  <w:vAlign w:val="center"/>
                </w:tcPr>
                <w:p w14:paraId="2DB0F3DB">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0.0023</w:t>
                  </w:r>
                </w:p>
              </w:tc>
              <w:tc>
                <w:tcPr>
                  <w:tcW w:w="915" w:type="dxa"/>
                  <w:vAlign w:val="center"/>
                </w:tcPr>
                <w:p w14:paraId="15AF879C">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8</w:t>
                  </w:r>
                </w:p>
              </w:tc>
              <w:tc>
                <w:tcPr>
                  <w:tcW w:w="915" w:type="dxa"/>
                  <w:vAlign w:val="center"/>
                </w:tcPr>
                <w:p w14:paraId="6D531026">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0.5</w:t>
                  </w:r>
                </w:p>
              </w:tc>
              <w:tc>
                <w:tcPr>
                  <w:tcW w:w="1470" w:type="dxa"/>
                  <w:vAlign w:val="center"/>
                </w:tcPr>
                <w:p w14:paraId="5FE26AAB">
                  <w:pPr>
                    <w:adjustRightInd w:val="0"/>
                    <w:snapToGrid w:val="0"/>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rPr>
                    <w:t>0.000</w:t>
                  </w:r>
                  <w:r>
                    <w:rPr>
                      <w:rFonts w:hint="eastAsia"/>
                      <w:color w:val="auto"/>
                      <w:sz w:val="21"/>
                      <w:szCs w:val="21"/>
                      <w:highlight w:val="none"/>
                      <w:lang w:val="en-US" w:eastAsia="zh-CN"/>
                    </w:rPr>
                    <w:t>4</w:t>
                  </w:r>
                </w:p>
              </w:tc>
              <w:tc>
                <w:tcPr>
                  <w:tcW w:w="1020" w:type="dxa"/>
                  <w:vAlign w:val="center"/>
                </w:tcPr>
                <w:p w14:paraId="31D8D414">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0.5</w:t>
                  </w:r>
                </w:p>
              </w:tc>
            </w:tr>
            <w:tr w14:paraId="060D0D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dxa"/>
                  <w:vMerge w:val="continue"/>
                  <w:tcBorders>
                    <w:bottom w:val="single" w:color="auto" w:sz="12" w:space="0"/>
                  </w:tcBorders>
                  <w:vAlign w:val="center"/>
                </w:tcPr>
                <w:p w14:paraId="32CD53A3">
                  <w:pPr>
                    <w:adjustRightInd w:val="0"/>
                    <w:snapToGrid w:val="0"/>
                    <w:spacing w:line="240" w:lineRule="auto"/>
                    <w:ind w:firstLine="0" w:firstLineChars="0"/>
                    <w:jc w:val="center"/>
                    <w:rPr>
                      <w:color w:val="auto"/>
                      <w:sz w:val="21"/>
                      <w:szCs w:val="21"/>
                      <w:highlight w:val="none"/>
                    </w:rPr>
                  </w:pPr>
                </w:p>
              </w:tc>
              <w:tc>
                <w:tcPr>
                  <w:tcW w:w="604" w:type="dxa"/>
                  <w:vMerge w:val="continue"/>
                  <w:tcBorders>
                    <w:bottom w:val="single" w:color="auto" w:sz="12" w:space="0"/>
                  </w:tcBorders>
                  <w:vAlign w:val="center"/>
                </w:tcPr>
                <w:p w14:paraId="31E3525C">
                  <w:pPr>
                    <w:adjustRightInd w:val="0"/>
                    <w:snapToGrid w:val="0"/>
                    <w:spacing w:line="240" w:lineRule="auto"/>
                    <w:ind w:firstLine="0" w:firstLineChars="0"/>
                    <w:jc w:val="center"/>
                    <w:rPr>
                      <w:color w:val="auto"/>
                      <w:sz w:val="21"/>
                      <w:szCs w:val="21"/>
                      <w:highlight w:val="none"/>
                    </w:rPr>
                  </w:pPr>
                </w:p>
              </w:tc>
              <w:tc>
                <w:tcPr>
                  <w:tcW w:w="915" w:type="dxa"/>
                  <w:tcBorders>
                    <w:bottom w:val="single" w:color="auto" w:sz="12" w:space="0"/>
                  </w:tcBorders>
                  <w:vAlign w:val="center"/>
                </w:tcPr>
                <w:p w14:paraId="1F402C25">
                  <w:pPr>
                    <w:pStyle w:val="62"/>
                    <w:spacing w:before="0"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TN</w:t>
                  </w:r>
                </w:p>
              </w:tc>
              <w:tc>
                <w:tcPr>
                  <w:tcW w:w="795" w:type="dxa"/>
                  <w:tcBorders>
                    <w:bottom w:val="single" w:color="auto" w:sz="12" w:space="0"/>
                  </w:tcBorders>
                  <w:vAlign w:val="center"/>
                </w:tcPr>
                <w:p w14:paraId="5060049D">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28.5</w:t>
                  </w:r>
                </w:p>
              </w:tc>
              <w:tc>
                <w:tcPr>
                  <w:tcW w:w="1095" w:type="dxa"/>
                  <w:tcBorders>
                    <w:bottom w:val="single" w:color="auto" w:sz="12" w:space="0"/>
                  </w:tcBorders>
                  <w:vAlign w:val="center"/>
                </w:tcPr>
                <w:p w14:paraId="0B144F91">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0.0239</w:t>
                  </w:r>
                </w:p>
              </w:tc>
              <w:tc>
                <w:tcPr>
                  <w:tcW w:w="915" w:type="dxa"/>
                  <w:tcBorders>
                    <w:bottom w:val="single" w:color="auto" w:sz="12" w:space="0"/>
                  </w:tcBorders>
                  <w:vAlign w:val="center"/>
                </w:tcPr>
                <w:p w14:paraId="2483B273">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70</w:t>
                  </w:r>
                </w:p>
              </w:tc>
              <w:tc>
                <w:tcPr>
                  <w:tcW w:w="915" w:type="dxa"/>
                  <w:tcBorders>
                    <w:bottom w:val="single" w:color="auto" w:sz="12" w:space="0"/>
                  </w:tcBorders>
                  <w:vAlign w:val="center"/>
                </w:tcPr>
                <w:p w14:paraId="24B30842">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15</w:t>
                  </w:r>
                </w:p>
              </w:tc>
              <w:tc>
                <w:tcPr>
                  <w:tcW w:w="1470" w:type="dxa"/>
                  <w:tcBorders>
                    <w:bottom w:val="single" w:color="auto" w:sz="12" w:space="0"/>
                  </w:tcBorders>
                  <w:vAlign w:val="center"/>
                </w:tcPr>
                <w:p w14:paraId="7D34B6CC">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rPr>
                    <w:t>0.0</w:t>
                  </w:r>
                  <w:r>
                    <w:rPr>
                      <w:rFonts w:hint="eastAsia"/>
                      <w:color w:val="auto"/>
                      <w:sz w:val="21"/>
                      <w:szCs w:val="21"/>
                      <w:highlight w:val="none"/>
                      <w:lang w:val="en-US" w:eastAsia="zh-CN"/>
                    </w:rPr>
                    <w:t>126</w:t>
                  </w:r>
                </w:p>
              </w:tc>
              <w:tc>
                <w:tcPr>
                  <w:tcW w:w="1020" w:type="dxa"/>
                  <w:tcBorders>
                    <w:bottom w:val="single" w:color="auto" w:sz="12" w:space="0"/>
                  </w:tcBorders>
                  <w:vAlign w:val="center"/>
                </w:tcPr>
                <w:p w14:paraId="28C05D60">
                  <w:pPr>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15</w:t>
                  </w:r>
                </w:p>
              </w:tc>
            </w:tr>
          </w:tbl>
          <w:p w14:paraId="538B27B3">
            <w:pPr>
              <w:pStyle w:val="15"/>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表4-</w:t>
            </w:r>
            <w:r>
              <w:rPr>
                <w:rFonts w:hint="eastAsia"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rPr>
              <w:t xml:space="preserve"> 废水类别、污染物及污染治理设施信息表</w:t>
            </w:r>
          </w:p>
          <w:tbl>
            <w:tblPr>
              <w:tblStyle w:val="3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67"/>
              <w:gridCol w:w="457"/>
              <w:gridCol w:w="859"/>
              <w:gridCol w:w="373"/>
              <w:gridCol w:w="371"/>
              <w:gridCol w:w="753"/>
              <w:gridCol w:w="698"/>
              <w:gridCol w:w="637"/>
              <w:gridCol w:w="472"/>
              <w:gridCol w:w="661"/>
              <w:gridCol w:w="463"/>
              <w:gridCol w:w="721"/>
              <w:gridCol w:w="559"/>
              <w:gridCol w:w="1122"/>
            </w:tblGrid>
            <w:tr w14:paraId="6EAD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157" w:type="pct"/>
                  <w:vMerge w:val="restart"/>
                  <w:tcBorders>
                    <w:top w:val="single" w:color="auto" w:sz="12" w:space="0"/>
                    <w:left w:val="nil"/>
                    <w:bottom w:val="single" w:color="auto" w:sz="4" w:space="0"/>
                    <w:right w:val="single" w:color="auto" w:sz="4" w:space="0"/>
                  </w:tcBorders>
                  <w:noWrap w:val="0"/>
                  <w:vAlign w:val="center"/>
                </w:tcPr>
                <w:p w14:paraId="3387E8D4">
                  <w:pPr>
                    <w:widowControl/>
                    <w:adjustRightInd w:val="0"/>
                    <w:snapToGrid w:val="0"/>
                    <w:spacing w:line="276" w:lineRule="auto"/>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序号</w:t>
                  </w:r>
                </w:p>
              </w:tc>
              <w:tc>
                <w:tcPr>
                  <w:tcW w:w="294" w:type="pct"/>
                  <w:vMerge w:val="restart"/>
                  <w:tcBorders>
                    <w:top w:val="single" w:color="auto" w:sz="12" w:space="0"/>
                    <w:left w:val="single" w:color="auto" w:sz="4" w:space="0"/>
                    <w:bottom w:val="single" w:color="auto" w:sz="4" w:space="0"/>
                    <w:right w:val="single" w:color="auto" w:sz="4" w:space="0"/>
                  </w:tcBorders>
                  <w:noWrap w:val="0"/>
                  <w:vAlign w:val="center"/>
                </w:tcPr>
                <w:p w14:paraId="64E3CCB6">
                  <w:pPr>
                    <w:widowControl/>
                    <w:adjustRightInd w:val="0"/>
                    <w:snapToGrid w:val="0"/>
                    <w:spacing w:line="276" w:lineRule="auto"/>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废水类别</w:t>
                  </w:r>
                </w:p>
              </w:tc>
              <w:tc>
                <w:tcPr>
                  <w:tcW w:w="384" w:type="pct"/>
                  <w:vMerge w:val="restart"/>
                  <w:tcBorders>
                    <w:top w:val="single" w:color="auto" w:sz="12" w:space="0"/>
                    <w:left w:val="single" w:color="auto" w:sz="4" w:space="0"/>
                    <w:bottom w:val="single" w:color="auto" w:sz="4" w:space="0"/>
                    <w:right w:val="single" w:color="auto" w:sz="4" w:space="0"/>
                  </w:tcBorders>
                  <w:noWrap w:val="0"/>
                  <w:vAlign w:val="center"/>
                </w:tcPr>
                <w:p w14:paraId="3521816A">
                  <w:pPr>
                    <w:widowControl/>
                    <w:adjustRightInd w:val="0"/>
                    <w:snapToGrid w:val="0"/>
                    <w:spacing w:line="276" w:lineRule="auto"/>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污染物种类</w:t>
                  </w:r>
                </w:p>
              </w:tc>
              <w:tc>
                <w:tcPr>
                  <w:tcW w:w="244" w:type="pct"/>
                  <w:vMerge w:val="restart"/>
                  <w:tcBorders>
                    <w:top w:val="single" w:color="auto" w:sz="12" w:space="0"/>
                    <w:left w:val="single" w:color="auto" w:sz="4" w:space="0"/>
                    <w:bottom w:val="single" w:color="auto" w:sz="4" w:space="0"/>
                    <w:right w:val="single" w:color="auto" w:sz="4" w:space="0"/>
                  </w:tcBorders>
                  <w:noWrap w:val="0"/>
                  <w:vAlign w:val="center"/>
                </w:tcPr>
                <w:p w14:paraId="1658909A">
                  <w:pPr>
                    <w:widowControl/>
                    <w:adjustRightInd w:val="0"/>
                    <w:snapToGrid w:val="0"/>
                    <w:spacing w:line="276" w:lineRule="auto"/>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排放方式</w:t>
                  </w:r>
                </w:p>
              </w:tc>
              <w:tc>
                <w:tcPr>
                  <w:tcW w:w="243" w:type="pct"/>
                  <w:vMerge w:val="restart"/>
                  <w:tcBorders>
                    <w:top w:val="single" w:color="auto" w:sz="12" w:space="0"/>
                    <w:left w:val="single" w:color="auto" w:sz="4" w:space="0"/>
                    <w:bottom w:val="single" w:color="auto" w:sz="4" w:space="0"/>
                    <w:right w:val="single" w:color="auto" w:sz="4" w:space="0"/>
                  </w:tcBorders>
                  <w:noWrap w:val="0"/>
                  <w:vAlign w:val="center"/>
                </w:tcPr>
                <w:p w14:paraId="24B45F1C">
                  <w:pPr>
                    <w:widowControl/>
                    <w:adjustRightInd w:val="0"/>
                    <w:snapToGrid w:val="0"/>
                    <w:spacing w:line="276" w:lineRule="auto"/>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排放去向</w:t>
                  </w:r>
                </w:p>
              </w:tc>
              <w:tc>
                <w:tcPr>
                  <w:tcW w:w="470" w:type="pct"/>
                  <w:vMerge w:val="restart"/>
                  <w:tcBorders>
                    <w:top w:val="single" w:color="auto" w:sz="12" w:space="0"/>
                    <w:left w:val="single" w:color="auto" w:sz="4" w:space="0"/>
                    <w:bottom w:val="single" w:color="auto" w:sz="4" w:space="0"/>
                    <w:right w:val="single" w:color="auto" w:sz="4" w:space="0"/>
                  </w:tcBorders>
                  <w:noWrap w:val="0"/>
                  <w:vAlign w:val="center"/>
                </w:tcPr>
                <w:p w14:paraId="6A10606A">
                  <w:pPr>
                    <w:widowControl/>
                    <w:adjustRightInd w:val="0"/>
                    <w:snapToGrid w:val="0"/>
                    <w:spacing w:line="276" w:lineRule="auto"/>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排放规律</w:t>
                  </w:r>
                </w:p>
              </w:tc>
              <w:tc>
                <w:tcPr>
                  <w:tcW w:w="1736" w:type="pct"/>
                  <w:gridSpan w:val="5"/>
                  <w:tcBorders>
                    <w:top w:val="single" w:color="auto" w:sz="12" w:space="0"/>
                    <w:left w:val="single" w:color="auto" w:sz="4" w:space="0"/>
                    <w:bottom w:val="single" w:color="auto" w:sz="4" w:space="0"/>
                    <w:right w:val="single" w:color="auto" w:sz="4" w:space="0"/>
                  </w:tcBorders>
                  <w:noWrap w:val="0"/>
                  <w:vAlign w:val="center"/>
                </w:tcPr>
                <w:p w14:paraId="7605FDFC">
                  <w:pPr>
                    <w:widowControl/>
                    <w:adjustRightInd w:val="0"/>
                    <w:snapToGrid w:val="0"/>
                    <w:spacing w:line="276" w:lineRule="auto"/>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污染治理设施</w:t>
                  </w:r>
                </w:p>
              </w:tc>
              <w:tc>
                <w:tcPr>
                  <w:tcW w:w="426" w:type="pct"/>
                  <w:vMerge w:val="restart"/>
                  <w:tcBorders>
                    <w:top w:val="single" w:color="auto" w:sz="12" w:space="0"/>
                    <w:left w:val="single" w:color="auto" w:sz="4" w:space="0"/>
                    <w:bottom w:val="single" w:color="auto" w:sz="4" w:space="0"/>
                    <w:right w:val="single" w:color="auto" w:sz="4" w:space="0"/>
                  </w:tcBorders>
                  <w:noWrap w:val="0"/>
                  <w:vAlign w:val="center"/>
                </w:tcPr>
                <w:p w14:paraId="7298914D">
                  <w:pPr>
                    <w:widowControl/>
                    <w:adjustRightInd w:val="0"/>
                    <w:snapToGrid w:val="0"/>
                    <w:spacing w:line="276" w:lineRule="auto"/>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排放口编号</w:t>
                  </w:r>
                </w:p>
              </w:tc>
              <w:tc>
                <w:tcPr>
                  <w:tcW w:w="354" w:type="pct"/>
                  <w:vMerge w:val="restart"/>
                  <w:tcBorders>
                    <w:top w:val="single" w:color="auto" w:sz="12" w:space="0"/>
                    <w:left w:val="single" w:color="auto" w:sz="4" w:space="0"/>
                    <w:bottom w:val="single" w:color="auto" w:sz="4" w:space="0"/>
                    <w:right w:val="single" w:color="auto" w:sz="4" w:space="0"/>
                  </w:tcBorders>
                  <w:noWrap w:val="0"/>
                  <w:vAlign w:val="center"/>
                </w:tcPr>
                <w:p w14:paraId="46E2EECB">
                  <w:pPr>
                    <w:widowControl/>
                    <w:adjustRightInd w:val="0"/>
                    <w:snapToGrid w:val="0"/>
                    <w:spacing w:line="276" w:lineRule="auto"/>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排放口设置是否符合要求</w:t>
                  </w:r>
                </w:p>
              </w:tc>
              <w:tc>
                <w:tcPr>
                  <w:tcW w:w="688" w:type="pct"/>
                  <w:vMerge w:val="restart"/>
                  <w:tcBorders>
                    <w:top w:val="single" w:color="auto" w:sz="12" w:space="0"/>
                    <w:left w:val="single" w:color="auto" w:sz="4" w:space="0"/>
                    <w:bottom w:val="single" w:color="auto" w:sz="4" w:space="0"/>
                    <w:right w:val="nil"/>
                  </w:tcBorders>
                  <w:noWrap w:val="0"/>
                  <w:vAlign w:val="center"/>
                </w:tcPr>
                <w:p w14:paraId="726158A9">
                  <w:pPr>
                    <w:widowControl/>
                    <w:adjustRightInd w:val="0"/>
                    <w:snapToGrid w:val="0"/>
                    <w:spacing w:line="276" w:lineRule="auto"/>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排放口类型</w:t>
                  </w:r>
                </w:p>
              </w:tc>
            </w:tr>
            <w:tr w14:paraId="54AF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8" w:hRule="atLeast"/>
              </w:trPr>
              <w:tc>
                <w:tcPr>
                  <w:tcW w:w="157" w:type="pct"/>
                  <w:vMerge w:val="continue"/>
                  <w:tcBorders>
                    <w:top w:val="single" w:color="auto" w:sz="12" w:space="0"/>
                    <w:left w:val="nil"/>
                    <w:bottom w:val="single" w:color="auto" w:sz="4" w:space="0"/>
                    <w:right w:val="single" w:color="auto" w:sz="4" w:space="0"/>
                  </w:tcBorders>
                  <w:noWrap w:val="0"/>
                  <w:vAlign w:val="center"/>
                </w:tcPr>
                <w:p w14:paraId="1254032C">
                  <w:pPr>
                    <w:widowControl/>
                    <w:jc w:val="left"/>
                    <w:rPr>
                      <w:b/>
                      <w:color w:val="auto"/>
                      <w:kern w:val="0"/>
                      <w:szCs w:val="21"/>
                      <w:highlight w:val="none"/>
                    </w:rPr>
                  </w:pPr>
                </w:p>
              </w:tc>
              <w:tc>
                <w:tcPr>
                  <w:tcW w:w="294" w:type="pct"/>
                  <w:vMerge w:val="continue"/>
                  <w:tcBorders>
                    <w:top w:val="single" w:color="auto" w:sz="12" w:space="0"/>
                    <w:left w:val="single" w:color="auto" w:sz="4" w:space="0"/>
                    <w:bottom w:val="single" w:color="auto" w:sz="4" w:space="0"/>
                    <w:right w:val="single" w:color="auto" w:sz="4" w:space="0"/>
                  </w:tcBorders>
                  <w:noWrap w:val="0"/>
                  <w:vAlign w:val="center"/>
                </w:tcPr>
                <w:p w14:paraId="345D4C79">
                  <w:pPr>
                    <w:widowControl/>
                    <w:jc w:val="left"/>
                    <w:rPr>
                      <w:b/>
                      <w:color w:val="auto"/>
                      <w:kern w:val="0"/>
                      <w:szCs w:val="21"/>
                      <w:highlight w:val="none"/>
                    </w:rPr>
                  </w:pPr>
                </w:p>
              </w:tc>
              <w:tc>
                <w:tcPr>
                  <w:tcW w:w="384" w:type="pct"/>
                  <w:vMerge w:val="continue"/>
                  <w:tcBorders>
                    <w:top w:val="single" w:color="auto" w:sz="12" w:space="0"/>
                    <w:left w:val="single" w:color="auto" w:sz="4" w:space="0"/>
                    <w:bottom w:val="single" w:color="auto" w:sz="4" w:space="0"/>
                    <w:right w:val="single" w:color="auto" w:sz="4" w:space="0"/>
                  </w:tcBorders>
                  <w:noWrap w:val="0"/>
                  <w:vAlign w:val="center"/>
                </w:tcPr>
                <w:p w14:paraId="56E686A5">
                  <w:pPr>
                    <w:widowControl/>
                    <w:jc w:val="left"/>
                    <w:rPr>
                      <w:b/>
                      <w:color w:val="auto"/>
                      <w:kern w:val="0"/>
                      <w:szCs w:val="21"/>
                      <w:highlight w:val="none"/>
                    </w:rPr>
                  </w:pPr>
                </w:p>
              </w:tc>
              <w:tc>
                <w:tcPr>
                  <w:tcW w:w="244" w:type="pct"/>
                  <w:vMerge w:val="continue"/>
                  <w:tcBorders>
                    <w:top w:val="single" w:color="auto" w:sz="12" w:space="0"/>
                    <w:left w:val="single" w:color="auto" w:sz="4" w:space="0"/>
                    <w:bottom w:val="single" w:color="auto" w:sz="4" w:space="0"/>
                    <w:right w:val="single" w:color="auto" w:sz="4" w:space="0"/>
                  </w:tcBorders>
                  <w:noWrap w:val="0"/>
                  <w:vAlign w:val="center"/>
                </w:tcPr>
                <w:p w14:paraId="703843AE">
                  <w:pPr>
                    <w:widowControl/>
                    <w:jc w:val="left"/>
                    <w:rPr>
                      <w:b/>
                      <w:color w:val="auto"/>
                      <w:kern w:val="0"/>
                      <w:szCs w:val="21"/>
                      <w:highlight w:val="none"/>
                    </w:rPr>
                  </w:pPr>
                </w:p>
              </w:tc>
              <w:tc>
                <w:tcPr>
                  <w:tcW w:w="243" w:type="pct"/>
                  <w:vMerge w:val="continue"/>
                  <w:tcBorders>
                    <w:top w:val="single" w:color="auto" w:sz="12" w:space="0"/>
                    <w:left w:val="single" w:color="auto" w:sz="4" w:space="0"/>
                    <w:bottom w:val="single" w:color="auto" w:sz="4" w:space="0"/>
                    <w:right w:val="single" w:color="auto" w:sz="4" w:space="0"/>
                  </w:tcBorders>
                  <w:noWrap w:val="0"/>
                  <w:vAlign w:val="center"/>
                </w:tcPr>
                <w:p w14:paraId="55B29FA4">
                  <w:pPr>
                    <w:widowControl/>
                    <w:jc w:val="left"/>
                    <w:rPr>
                      <w:b/>
                      <w:color w:val="auto"/>
                      <w:kern w:val="0"/>
                      <w:szCs w:val="21"/>
                      <w:highlight w:val="none"/>
                    </w:rPr>
                  </w:pPr>
                </w:p>
              </w:tc>
              <w:tc>
                <w:tcPr>
                  <w:tcW w:w="470" w:type="pct"/>
                  <w:vMerge w:val="continue"/>
                  <w:tcBorders>
                    <w:top w:val="single" w:color="auto" w:sz="12" w:space="0"/>
                    <w:left w:val="single" w:color="auto" w:sz="4" w:space="0"/>
                    <w:bottom w:val="single" w:color="auto" w:sz="4" w:space="0"/>
                    <w:right w:val="single" w:color="auto" w:sz="4" w:space="0"/>
                  </w:tcBorders>
                  <w:noWrap w:val="0"/>
                  <w:vAlign w:val="center"/>
                </w:tcPr>
                <w:p w14:paraId="6683CA90">
                  <w:pPr>
                    <w:widowControl/>
                    <w:jc w:val="left"/>
                    <w:rPr>
                      <w:b/>
                      <w:color w:val="auto"/>
                      <w:kern w:val="0"/>
                      <w:szCs w:val="21"/>
                      <w:highlight w:val="none"/>
                    </w:rPr>
                  </w:pPr>
                </w:p>
              </w:tc>
              <w:tc>
                <w:tcPr>
                  <w:tcW w:w="411" w:type="pct"/>
                  <w:tcBorders>
                    <w:top w:val="single" w:color="auto" w:sz="4" w:space="0"/>
                    <w:left w:val="single" w:color="auto" w:sz="4" w:space="0"/>
                    <w:bottom w:val="single" w:color="auto" w:sz="4" w:space="0"/>
                    <w:right w:val="single" w:color="auto" w:sz="4" w:space="0"/>
                  </w:tcBorders>
                  <w:noWrap w:val="0"/>
                  <w:vAlign w:val="center"/>
                </w:tcPr>
                <w:p w14:paraId="23A35855">
                  <w:pPr>
                    <w:widowControl/>
                    <w:adjustRightInd w:val="0"/>
                    <w:snapToGrid w:val="0"/>
                    <w:spacing w:line="276" w:lineRule="auto"/>
                    <w:jc w:val="center"/>
                    <w:rPr>
                      <w:b/>
                      <w:color w:val="auto"/>
                      <w:kern w:val="0"/>
                      <w:szCs w:val="21"/>
                      <w:highlight w:val="none"/>
                    </w:rPr>
                  </w:pPr>
                  <w:r>
                    <w:rPr>
                      <w:b/>
                      <w:color w:val="auto"/>
                      <w:kern w:val="0"/>
                      <w:szCs w:val="21"/>
                      <w:highlight w:val="none"/>
                    </w:rPr>
                    <w:t>污染治理设施编号</w:t>
                  </w:r>
                </w:p>
              </w:tc>
              <w:tc>
                <w:tcPr>
                  <w:tcW w:w="400" w:type="pct"/>
                  <w:tcBorders>
                    <w:top w:val="single" w:color="auto" w:sz="4" w:space="0"/>
                    <w:left w:val="single" w:color="auto" w:sz="4" w:space="0"/>
                    <w:bottom w:val="single" w:color="auto" w:sz="4" w:space="0"/>
                    <w:right w:val="single" w:color="auto" w:sz="4" w:space="0"/>
                  </w:tcBorders>
                  <w:noWrap w:val="0"/>
                  <w:vAlign w:val="center"/>
                </w:tcPr>
                <w:p w14:paraId="0EB54CBA">
                  <w:pPr>
                    <w:widowControl/>
                    <w:adjustRightInd w:val="0"/>
                    <w:snapToGrid w:val="0"/>
                    <w:spacing w:line="276" w:lineRule="auto"/>
                    <w:jc w:val="center"/>
                    <w:rPr>
                      <w:b/>
                      <w:color w:val="auto"/>
                      <w:kern w:val="0"/>
                      <w:szCs w:val="21"/>
                      <w:highlight w:val="none"/>
                    </w:rPr>
                  </w:pPr>
                  <w:r>
                    <w:rPr>
                      <w:b/>
                      <w:color w:val="auto"/>
                      <w:kern w:val="0"/>
                      <w:szCs w:val="21"/>
                      <w:highlight w:val="none"/>
                    </w:rPr>
                    <w:t>污染治理设施名称</w:t>
                  </w:r>
                </w:p>
              </w:tc>
              <w:tc>
                <w:tcPr>
                  <w:tcW w:w="302" w:type="pct"/>
                  <w:tcBorders>
                    <w:top w:val="single" w:color="auto" w:sz="4" w:space="0"/>
                    <w:left w:val="single" w:color="auto" w:sz="4" w:space="0"/>
                    <w:bottom w:val="single" w:color="auto" w:sz="4" w:space="0"/>
                    <w:right w:val="single" w:color="auto" w:sz="4" w:space="0"/>
                  </w:tcBorders>
                  <w:noWrap w:val="0"/>
                  <w:vAlign w:val="center"/>
                </w:tcPr>
                <w:p w14:paraId="4DBA16D9">
                  <w:pPr>
                    <w:widowControl/>
                    <w:adjustRightInd w:val="0"/>
                    <w:snapToGrid w:val="0"/>
                    <w:spacing w:line="276" w:lineRule="auto"/>
                    <w:jc w:val="center"/>
                    <w:rPr>
                      <w:b/>
                      <w:color w:val="auto"/>
                      <w:kern w:val="0"/>
                      <w:szCs w:val="21"/>
                      <w:highlight w:val="none"/>
                    </w:rPr>
                  </w:pPr>
                  <w:r>
                    <w:rPr>
                      <w:b/>
                      <w:color w:val="auto"/>
                      <w:kern w:val="0"/>
                      <w:szCs w:val="21"/>
                      <w:highlight w:val="none"/>
                    </w:rPr>
                    <w:t>污染治理设施工艺</w:t>
                  </w:r>
                </w:p>
              </w:tc>
              <w:tc>
                <w:tcPr>
                  <w:tcW w:w="326" w:type="pct"/>
                  <w:tcBorders>
                    <w:top w:val="single" w:color="auto" w:sz="4" w:space="0"/>
                    <w:left w:val="single" w:color="auto" w:sz="4" w:space="0"/>
                    <w:bottom w:val="single" w:color="auto" w:sz="4" w:space="0"/>
                    <w:right w:val="single" w:color="auto" w:sz="4" w:space="0"/>
                  </w:tcBorders>
                  <w:noWrap w:val="0"/>
                  <w:vAlign w:val="center"/>
                </w:tcPr>
                <w:p w14:paraId="64DD0484">
                  <w:pPr>
                    <w:widowControl/>
                    <w:adjustRightInd w:val="0"/>
                    <w:snapToGrid w:val="0"/>
                    <w:spacing w:line="276" w:lineRule="auto"/>
                    <w:jc w:val="center"/>
                    <w:rPr>
                      <w:b/>
                      <w:color w:val="auto"/>
                      <w:kern w:val="0"/>
                      <w:szCs w:val="21"/>
                      <w:highlight w:val="none"/>
                    </w:rPr>
                  </w:pPr>
                  <w:r>
                    <w:rPr>
                      <w:b/>
                      <w:color w:val="auto"/>
                      <w:szCs w:val="21"/>
                      <w:highlight w:val="none"/>
                    </w:rPr>
                    <w:t>处理 能力</w:t>
                  </w:r>
                </w:p>
              </w:tc>
              <w:tc>
                <w:tcPr>
                  <w:tcW w:w="294" w:type="pct"/>
                  <w:tcBorders>
                    <w:top w:val="single" w:color="auto" w:sz="4" w:space="0"/>
                    <w:left w:val="single" w:color="auto" w:sz="4" w:space="0"/>
                    <w:bottom w:val="single" w:color="auto" w:sz="4" w:space="0"/>
                    <w:right w:val="single" w:color="auto" w:sz="4" w:space="0"/>
                  </w:tcBorders>
                  <w:noWrap w:val="0"/>
                  <w:vAlign w:val="center"/>
                </w:tcPr>
                <w:p w14:paraId="7A14349D">
                  <w:pPr>
                    <w:widowControl/>
                    <w:adjustRightInd w:val="0"/>
                    <w:snapToGrid w:val="0"/>
                    <w:spacing w:line="276" w:lineRule="auto"/>
                    <w:jc w:val="center"/>
                    <w:rPr>
                      <w:b/>
                      <w:color w:val="auto"/>
                      <w:kern w:val="0"/>
                      <w:szCs w:val="21"/>
                      <w:highlight w:val="none"/>
                    </w:rPr>
                  </w:pPr>
                  <w:r>
                    <w:rPr>
                      <w:b/>
                      <w:color w:val="auto"/>
                      <w:kern w:val="0"/>
                      <w:szCs w:val="21"/>
                      <w:highlight w:val="none"/>
                    </w:rPr>
                    <w:t>是否为可行技术</w:t>
                  </w:r>
                </w:p>
              </w:tc>
              <w:tc>
                <w:tcPr>
                  <w:tcW w:w="426" w:type="pct"/>
                  <w:vMerge w:val="continue"/>
                  <w:tcBorders>
                    <w:top w:val="single" w:color="auto" w:sz="12" w:space="0"/>
                    <w:left w:val="single" w:color="auto" w:sz="4" w:space="0"/>
                    <w:bottom w:val="single" w:color="auto" w:sz="4" w:space="0"/>
                    <w:right w:val="single" w:color="auto" w:sz="4" w:space="0"/>
                  </w:tcBorders>
                  <w:noWrap w:val="0"/>
                  <w:vAlign w:val="center"/>
                </w:tcPr>
                <w:p w14:paraId="61097BE0">
                  <w:pPr>
                    <w:widowControl/>
                    <w:jc w:val="left"/>
                    <w:rPr>
                      <w:b/>
                      <w:color w:val="auto"/>
                      <w:kern w:val="0"/>
                      <w:szCs w:val="21"/>
                      <w:highlight w:val="none"/>
                    </w:rPr>
                  </w:pPr>
                </w:p>
              </w:tc>
              <w:tc>
                <w:tcPr>
                  <w:tcW w:w="354" w:type="pct"/>
                  <w:vMerge w:val="continue"/>
                  <w:tcBorders>
                    <w:top w:val="single" w:color="auto" w:sz="12" w:space="0"/>
                    <w:left w:val="single" w:color="auto" w:sz="4" w:space="0"/>
                    <w:bottom w:val="single" w:color="auto" w:sz="4" w:space="0"/>
                    <w:right w:val="single" w:color="auto" w:sz="4" w:space="0"/>
                  </w:tcBorders>
                  <w:noWrap w:val="0"/>
                  <w:vAlign w:val="center"/>
                </w:tcPr>
                <w:p w14:paraId="2F3B70B5">
                  <w:pPr>
                    <w:widowControl/>
                    <w:jc w:val="left"/>
                    <w:rPr>
                      <w:b/>
                      <w:color w:val="auto"/>
                      <w:kern w:val="0"/>
                      <w:szCs w:val="21"/>
                      <w:highlight w:val="none"/>
                    </w:rPr>
                  </w:pPr>
                </w:p>
              </w:tc>
              <w:tc>
                <w:tcPr>
                  <w:tcW w:w="688" w:type="pct"/>
                  <w:vMerge w:val="continue"/>
                  <w:tcBorders>
                    <w:top w:val="single" w:color="auto" w:sz="12" w:space="0"/>
                    <w:left w:val="single" w:color="auto" w:sz="4" w:space="0"/>
                    <w:bottom w:val="single" w:color="auto" w:sz="4" w:space="0"/>
                    <w:right w:val="nil"/>
                  </w:tcBorders>
                  <w:noWrap w:val="0"/>
                  <w:vAlign w:val="center"/>
                </w:tcPr>
                <w:p w14:paraId="42C56CE8">
                  <w:pPr>
                    <w:widowControl/>
                    <w:jc w:val="left"/>
                    <w:rPr>
                      <w:b/>
                      <w:color w:val="auto"/>
                      <w:kern w:val="0"/>
                      <w:szCs w:val="21"/>
                      <w:highlight w:val="none"/>
                    </w:rPr>
                  </w:pPr>
                </w:p>
              </w:tc>
            </w:tr>
            <w:tr w14:paraId="1854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35" w:hRule="atLeast"/>
              </w:trPr>
              <w:tc>
                <w:tcPr>
                  <w:tcW w:w="157" w:type="pct"/>
                  <w:tcBorders>
                    <w:top w:val="single" w:color="auto" w:sz="4" w:space="0"/>
                    <w:left w:val="nil"/>
                    <w:bottom w:val="single" w:color="auto" w:sz="4" w:space="0"/>
                    <w:right w:val="single" w:color="auto" w:sz="4" w:space="0"/>
                  </w:tcBorders>
                  <w:noWrap w:val="0"/>
                  <w:vAlign w:val="center"/>
                </w:tcPr>
                <w:p w14:paraId="0A1C604F">
                  <w:pPr>
                    <w:widowControl/>
                    <w:adjustRightInd w:val="0"/>
                    <w:snapToGrid w:val="0"/>
                    <w:spacing w:line="276" w:lineRule="auto"/>
                    <w:jc w:val="center"/>
                    <w:rPr>
                      <w:color w:val="auto"/>
                      <w:kern w:val="0"/>
                      <w:szCs w:val="21"/>
                      <w:highlight w:val="none"/>
                    </w:rPr>
                  </w:pPr>
                  <w:r>
                    <w:rPr>
                      <w:color w:val="auto"/>
                      <w:kern w:val="0"/>
                      <w:szCs w:val="21"/>
                      <w:highlight w:val="none"/>
                    </w:rPr>
                    <w:t>1</w:t>
                  </w:r>
                </w:p>
              </w:tc>
              <w:tc>
                <w:tcPr>
                  <w:tcW w:w="294" w:type="pct"/>
                  <w:tcBorders>
                    <w:top w:val="single" w:color="auto" w:sz="4" w:space="0"/>
                    <w:left w:val="single" w:color="auto" w:sz="4" w:space="0"/>
                    <w:bottom w:val="single" w:color="auto" w:sz="4" w:space="0"/>
                    <w:right w:val="single" w:color="auto" w:sz="4" w:space="0"/>
                  </w:tcBorders>
                  <w:noWrap w:val="0"/>
                  <w:vAlign w:val="center"/>
                </w:tcPr>
                <w:p w14:paraId="3A8CBD7F">
                  <w:pPr>
                    <w:widowControl/>
                    <w:adjustRightInd w:val="0"/>
                    <w:snapToGrid w:val="0"/>
                    <w:spacing w:line="276" w:lineRule="auto"/>
                    <w:jc w:val="center"/>
                    <w:rPr>
                      <w:color w:val="auto"/>
                      <w:kern w:val="0"/>
                      <w:szCs w:val="21"/>
                      <w:highlight w:val="none"/>
                    </w:rPr>
                  </w:pPr>
                  <w:r>
                    <w:rPr>
                      <w:rFonts w:hint="eastAsia"/>
                      <w:color w:val="auto"/>
                      <w:sz w:val="21"/>
                      <w:szCs w:val="21"/>
                      <w:highlight w:val="none"/>
                      <w:lang w:eastAsia="zh-CN"/>
                    </w:rPr>
                    <w:t>生活</w:t>
                  </w:r>
                  <w:r>
                    <w:rPr>
                      <w:rFonts w:hint="eastAsia"/>
                      <w:color w:val="auto"/>
                      <w:sz w:val="21"/>
                      <w:szCs w:val="21"/>
                      <w:highlight w:val="none"/>
                      <w:lang w:val="en-US" w:eastAsia="zh-CN"/>
                    </w:rPr>
                    <w:t>污水</w:t>
                  </w:r>
                </w:p>
              </w:tc>
              <w:tc>
                <w:tcPr>
                  <w:tcW w:w="384" w:type="pct"/>
                  <w:tcBorders>
                    <w:top w:val="single" w:color="auto" w:sz="4" w:space="0"/>
                    <w:left w:val="single" w:color="auto" w:sz="4" w:space="0"/>
                    <w:bottom w:val="single" w:color="auto" w:sz="4" w:space="0"/>
                    <w:right w:val="single" w:color="auto" w:sz="4" w:space="0"/>
                  </w:tcBorders>
                  <w:noWrap w:val="0"/>
                  <w:vAlign w:val="center"/>
                </w:tcPr>
                <w:p w14:paraId="7658DC51">
                  <w:pPr>
                    <w:widowControl/>
                    <w:adjustRightInd w:val="0"/>
                    <w:snapToGrid w:val="0"/>
                    <w:spacing w:line="276" w:lineRule="auto"/>
                    <w:jc w:val="center"/>
                    <w:rPr>
                      <w:color w:val="auto"/>
                      <w:kern w:val="0"/>
                      <w:szCs w:val="21"/>
                      <w:highlight w:val="none"/>
                    </w:rPr>
                  </w:pPr>
                  <w:r>
                    <w:rPr>
                      <w:color w:val="auto"/>
                      <w:kern w:val="0"/>
                      <w:szCs w:val="21"/>
                      <w:highlight w:val="none"/>
                    </w:rPr>
                    <w:t>COD、SS、NH</w:t>
                  </w:r>
                  <w:r>
                    <w:rPr>
                      <w:color w:val="auto"/>
                      <w:kern w:val="0"/>
                      <w:szCs w:val="21"/>
                      <w:highlight w:val="none"/>
                      <w:vertAlign w:val="subscript"/>
                    </w:rPr>
                    <w:t>3</w:t>
                  </w:r>
                  <w:r>
                    <w:rPr>
                      <w:color w:val="auto"/>
                      <w:kern w:val="0"/>
                      <w:szCs w:val="21"/>
                      <w:highlight w:val="none"/>
                    </w:rPr>
                    <w:t>-N、TP、TN</w:t>
                  </w:r>
                </w:p>
              </w:tc>
              <w:tc>
                <w:tcPr>
                  <w:tcW w:w="244" w:type="pct"/>
                  <w:vMerge w:val="restart"/>
                  <w:tcBorders>
                    <w:top w:val="single" w:color="auto" w:sz="4" w:space="0"/>
                    <w:left w:val="single" w:color="auto" w:sz="4" w:space="0"/>
                    <w:right w:val="single" w:color="auto" w:sz="4" w:space="0"/>
                  </w:tcBorders>
                  <w:noWrap w:val="0"/>
                  <w:vAlign w:val="center"/>
                </w:tcPr>
                <w:p w14:paraId="0352F794">
                  <w:pPr>
                    <w:widowControl/>
                    <w:adjustRightInd w:val="0"/>
                    <w:snapToGrid w:val="0"/>
                    <w:spacing w:line="276" w:lineRule="auto"/>
                    <w:jc w:val="center"/>
                    <w:rPr>
                      <w:color w:val="auto"/>
                      <w:kern w:val="0"/>
                      <w:szCs w:val="21"/>
                      <w:highlight w:val="none"/>
                    </w:rPr>
                  </w:pPr>
                  <w:r>
                    <w:rPr>
                      <w:color w:val="auto"/>
                      <w:kern w:val="0"/>
                      <w:szCs w:val="21"/>
                      <w:highlight w:val="none"/>
                    </w:rPr>
                    <w:t>间接排放</w:t>
                  </w:r>
                </w:p>
              </w:tc>
              <w:tc>
                <w:tcPr>
                  <w:tcW w:w="243" w:type="pct"/>
                  <w:vMerge w:val="restart"/>
                  <w:tcBorders>
                    <w:top w:val="single" w:color="auto" w:sz="4" w:space="0"/>
                    <w:left w:val="single" w:color="auto" w:sz="4" w:space="0"/>
                    <w:right w:val="single" w:color="auto" w:sz="4" w:space="0"/>
                  </w:tcBorders>
                  <w:noWrap w:val="0"/>
                  <w:vAlign w:val="center"/>
                </w:tcPr>
                <w:p w14:paraId="4BABD8B1">
                  <w:pPr>
                    <w:widowControl/>
                    <w:adjustRightInd w:val="0"/>
                    <w:snapToGrid w:val="0"/>
                    <w:spacing w:line="276" w:lineRule="auto"/>
                    <w:jc w:val="center"/>
                    <w:rPr>
                      <w:rFonts w:hint="default" w:ascii="Times New Roman" w:hAnsi="Times New Roman" w:eastAsia="宋体" w:cs="Times New Roman"/>
                      <w:color w:val="auto"/>
                      <w:kern w:val="0"/>
                      <w:sz w:val="21"/>
                      <w:szCs w:val="21"/>
                      <w:highlight w:val="none"/>
                    </w:rPr>
                  </w:pPr>
                  <w:r>
                    <w:rPr>
                      <w:rFonts w:hint="eastAsia" w:cs="Times New Roman"/>
                      <w:caps w:val="0"/>
                      <w:smallCaps w:val="0"/>
                      <w:color w:val="auto"/>
                      <w:spacing w:val="0"/>
                      <w:sz w:val="21"/>
                      <w:szCs w:val="21"/>
                      <w:highlight w:val="none"/>
                      <w:lang w:eastAsia="zh-CN"/>
                    </w:rPr>
                    <w:t>句容市郭庄污水处理有限公司集中处理</w:t>
                  </w:r>
                </w:p>
              </w:tc>
              <w:tc>
                <w:tcPr>
                  <w:tcW w:w="470" w:type="pct"/>
                  <w:vMerge w:val="restart"/>
                  <w:tcBorders>
                    <w:top w:val="single" w:color="auto" w:sz="4" w:space="0"/>
                    <w:left w:val="single" w:color="auto" w:sz="4" w:space="0"/>
                    <w:right w:val="single" w:color="auto" w:sz="4" w:space="0"/>
                  </w:tcBorders>
                  <w:noWrap w:val="0"/>
                  <w:vAlign w:val="center"/>
                </w:tcPr>
                <w:p w14:paraId="7F2A75A7">
                  <w:pPr>
                    <w:widowControl/>
                    <w:adjustRightInd w:val="0"/>
                    <w:snapToGrid w:val="0"/>
                    <w:spacing w:line="276"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间断排放，排放期间流量不稳定，但有规律，且不属于非周期性规律</w:t>
                  </w:r>
                </w:p>
              </w:tc>
              <w:tc>
                <w:tcPr>
                  <w:tcW w:w="411" w:type="pct"/>
                  <w:tcBorders>
                    <w:top w:val="single" w:color="auto" w:sz="4" w:space="0"/>
                    <w:left w:val="single" w:color="auto" w:sz="4" w:space="0"/>
                    <w:bottom w:val="single" w:color="auto" w:sz="4" w:space="0"/>
                    <w:right w:val="single" w:color="auto" w:sz="4" w:space="0"/>
                  </w:tcBorders>
                  <w:noWrap w:val="0"/>
                  <w:vAlign w:val="center"/>
                </w:tcPr>
                <w:p w14:paraId="0A788138">
                  <w:pPr>
                    <w:widowControl/>
                    <w:adjustRightInd w:val="0"/>
                    <w:snapToGrid w:val="0"/>
                    <w:spacing w:line="276" w:lineRule="auto"/>
                    <w:jc w:val="center"/>
                    <w:rPr>
                      <w:color w:val="auto"/>
                      <w:kern w:val="0"/>
                      <w:szCs w:val="21"/>
                      <w:highlight w:val="none"/>
                    </w:rPr>
                  </w:pPr>
                  <w:r>
                    <w:rPr>
                      <w:color w:val="auto"/>
                      <w:kern w:val="0"/>
                      <w:szCs w:val="21"/>
                      <w:highlight w:val="none"/>
                    </w:rPr>
                    <w:t>TW001</w:t>
                  </w:r>
                </w:p>
              </w:tc>
              <w:tc>
                <w:tcPr>
                  <w:tcW w:w="400" w:type="pct"/>
                  <w:tcBorders>
                    <w:top w:val="single" w:color="auto" w:sz="4" w:space="0"/>
                    <w:left w:val="single" w:color="auto" w:sz="4" w:space="0"/>
                    <w:bottom w:val="single" w:color="auto" w:sz="4" w:space="0"/>
                    <w:right w:val="single" w:color="auto" w:sz="4" w:space="0"/>
                  </w:tcBorders>
                  <w:noWrap w:val="0"/>
                  <w:vAlign w:val="center"/>
                </w:tcPr>
                <w:p w14:paraId="73F5E64A">
                  <w:pPr>
                    <w:widowControl/>
                    <w:adjustRightInd w:val="0"/>
                    <w:snapToGrid w:val="0"/>
                    <w:spacing w:line="276" w:lineRule="auto"/>
                    <w:jc w:val="center"/>
                    <w:rPr>
                      <w:color w:val="auto"/>
                      <w:szCs w:val="21"/>
                      <w:highlight w:val="none"/>
                    </w:rPr>
                  </w:pPr>
                  <w:r>
                    <w:rPr>
                      <w:color w:val="auto"/>
                      <w:szCs w:val="21"/>
                      <w:highlight w:val="none"/>
                    </w:rPr>
                    <w:t>化粪池</w:t>
                  </w:r>
                </w:p>
              </w:tc>
              <w:tc>
                <w:tcPr>
                  <w:tcW w:w="302" w:type="pct"/>
                  <w:vMerge w:val="restart"/>
                  <w:tcBorders>
                    <w:top w:val="single" w:color="auto" w:sz="4" w:space="0"/>
                    <w:left w:val="single" w:color="auto" w:sz="4" w:space="0"/>
                    <w:right w:val="single" w:color="auto" w:sz="4" w:space="0"/>
                  </w:tcBorders>
                  <w:noWrap w:val="0"/>
                  <w:vAlign w:val="center"/>
                </w:tcPr>
                <w:p w14:paraId="5882FBCB">
                  <w:pPr>
                    <w:widowControl/>
                    <w:adjustRightInd w:val="0"/>
                    <w:snapToGrid w:val="0"/>
                    <w:spacing w:line="276" w:lineRule="auto"/>
                    <w:jc w:val="center"/>
                    <w:rPr>
                      <w:color w:val="auto"/>
                      <w:szCs w:val="21"/>
                      <w:highlight w:val="none"/>
                    </w:rPr>
                  </w:pPr>
                  <w:r>
                    <w:rPr>
                      <w:color w:val="auto"/>
                      <w:sz w:val="21"/>
                      <w:szCs w:val="21"/>
                      <w:highlight w:val="none"/>
                    </w:rPr>
                    <w:t>沉淀与厌氧发酵</w:t>
                  </w:r>
                </w:p>
              </w:tc>
              <w:tc>
                <w:tcPr>
                  <w:tcW w:w="326" w:type="pct"/>
                  <w:tcBorders>
                    <w:top w:val="single" w:color="auto" w:sz="4" w:space="0"/>
                    <w:left w:val="single" w:color="auto" w:sz="4" w:space="0"/>
                    <w:bottom w:val="single" w:color="auto" w:sz="4" w:space="0"/>
                    <w:right w:val="single" w:color="auto" w:sz="4" w:space="0"/>
                  </w:tcBorders>
                  <w:noWrap w:val="0"/>
                  <w:vAlign w:val="center"/>
                </w:tcPr>
                <w:p w14:paraId="1B64AB43">
                  <w:pPr>
                    <w:widowControl/>
                    <w:adjustRightInd w:val="0"/>
                    <w:snapToGrid w:val="0"/>
                    <w:spacing w:line="276" w:lineRule="auto"/>
                    <w:jc w:val="center"/>
                    <w:rPr>
                      <w:color w:val="auto"/>
                      <w:szCs w:val="21"/>
                      <w:highlight w:val="none"/>
                    </w:rPr>
                  </w:pPr>
                  <w:r>
                    <w:rPr>
                      <w:rFonts w:hint="eastAsia"/>
                      <w:color w:val="auto"/>
                      <w:szCs w:val="21"/>
                      <w:highlight w:val="none"/>
                    </w:rPr>
                    <w:t>10</w:t>
                  </w:r>
                  <w:r>
                    <w:rPr>
                      <w:color w:val="auto"/>
                      <w:szCs w:val="21"/>
                      <w:highlight w:val="none"/>
                    </w:rPr>
                    <w:t>m</w:t>
                  </w:r>
                  <w:r>
                    <w:rPr>
                      <w:color w:val="auto"/>
                      <w:szCs w:val="21"/>
                      <w:highlight w:val="none"/>
                      <w:vertAlign w:val="superscript"/>
                    </w:rPr>
                    <w:t>3</w:t>
                  </w:r>
                  <w:r>
                    <w:rPr>
                      <w:color w:val="auto"/>
                      <w:szCs w:val="21"/>
                      <w:highlight w:val="none"/>
                    </w:rPr>
                    <w:t>/d</w:t>
                  </w:r>
                </w:p>
              </w:tc>
              <w:tc>
                <w:tcPr>
                  <w:tcW w:w="294" w:type="pct"/>
                  <w:tcBorders>
                    <w:top w:val="single" w:color="auto" w:sz="4" w:space="0"/>
                    <w:left w:val="single" w:color="auto" w:sz="4" w:space="0"/>
                    <w:bottom w:val="single" w:color="auto" w:sz="4" w:space="0"/>
                    <w:right w:val="single" w:color="auto" w:sz="4" w:space="0"/>
                  </w:tcBorders>
                  <w:noWrap w:val="0"/>
                  <w:vAlign w:val="center"/>
                </w:tcPr>
                <w:p w14:paraId="69B77EC3">
                  <w:pPr>
                    <w:widowControl/>
                    <w:adjustRightInd w:val="0"/>
                    <w:snapToGrid w:val="0"/>
                    <w:spacing w:line="276" w:lineRule="auto"/>
                    <w:jc w:val="center"/>
                    <w:rPr>
                      <w:color w:val="auto"/>
                      <w:szCs w:val="21"/>
                      <w:highlight w:val="none"/>
                    </w:rPr>
                  </w:pPr>
                  <w:r>
                    <w:rPr>
                      <w:color w:val="auto"/>
                      <w:szCs w:val="21"/>
                      <w:highlight w:val="none"/>
                    </w:rPr>
                    <w:t>是</w:t>
                  </w:r>
                </w:p>
              </w:tc>
              <w:tc>
                <w:tcPr>
                  <w:tcW w:w="426" w:type="pct"/>
                  <w:vMerge w:val="restart"/>
                  <w:tcBorders>
                    <w:top w:val="single" w:color="auto" w:sz="4" w:space="0"/>
                    <w:left w:val="single" w:color="auto" w:sz="4" w:space="0"/>
                    <w:right w:val="single" w:color="auto" w:sz="4" w:space="0"/>
                  </w:tcBorders>
                  <w:noWrap w:val="0"/>
                  <w:vAlign w:val="center"/>
                </w:tcPr>
                <w:p w14:paraId="39F7BDED">
                  <w:pPr>
                    <w:widowControl/>
                    <w:adjustRightInd w:val="0"/>
                    <w:snapToGrid w:val="0"/>
                    <w:spacing w:line="276" w:lineRule="auto"/>
                    <w:jc w:val="center"/>
                    <w:rPr>
                      <w:color w:val="auto"/>
                      <w:kern w:val="0"/>
                      <w:szCs w:val="21"/>
                      <w:highlight w:val="none"/>
                    </w:rPr>
                  </w:pPr>
                  <w:r>
                    <w:rPr>
                      <w:color w:val="auto"/>
                      <w:kern w:val="0"/>
                      <w:szCs w:val="21"/>
                      <w:highlight w:val="none"/>
                    </w:rPr>
                    <w:t>DW001</w:t>
                  </w:r>
                </w:p>
              </w:tc>
              <w:tc>
                <w:tcPr>
                  <w:tcW w:w="354" w:type="pct"/>
                  <w:vMerge w:val="restart"/>
                  <w:tcBorders>
                    <w:top w:val="single" w:color="auto" w:sz="4" w:space="0"/>
                    <w:left w:val="single" w:color="auto" w:sz="4" w:space="0"/>
                    <w:right w:val="single" w:color="auto" w:sz="4" w:space="0"/>
                  </w:tcBorders>
                  <w:noWrap w:val="0"/>
                  <w:vAlign w:val="center"/>
                </w:tcPr>
                <w:p w14:paraId="62C896E6">
                  <w:pPr>
                    <w:widowControl/>
                    <w:adjustRightInd w:val="0"/>
                    <w:snapToGrid w:val="0"/>
                    <w:spacing w:line="276" w:lineRule="auto"/>
                    <w:jc w:val="center"/>
                    <w:rPr>
                      <w:color w:val="auto"/>
                      <w:kern w:val="0"/>
                      <w:szCs w:val="21"/>
                      <w:highlight w:val="none"/>
                    </w:rPr>
                  </w:pPr>
                  <w:r>
                    <w:rPr>
                      <w:rFonts w:eastAsia="MS Gothic"/>
                      <w:color w:val="auto"/>
                      <w:spacing w:val="-7"/>
                      <w:kern w:val="0"/>
                      <w:szCs w:val="21"/>
                      <w:highlight w:val="none"/>
                    </w:rPr>
                    <w:t>☑</w:t>
                  </w:r>
                  <w:r>
                    <w:rPr>
                      <w:color w:val="auto"/>
                      <w:kern w:val="0"/>
                      <w:szCs w:val="21"/>
                      <w:highlight w:val="none"/>
                    </w:rPr>
                    <w:t>是</w:t>
                  </w:r>
                </w:p>
                <w:p w14:paraId="254080BD">
                  <w:pPr>
                    <w:widowControl/>
                    <w:adjustRightInd w:val="0"/>
                    <w:snapToGrid w:val="0"/>
                    <w:spacing w:line="276" w:lineRule="auto"/>
                    <w:jc w:val="center"/>
                    <w:rPr>
                      <w:color w:val="auto"/>
                      <w:kern w:val="0"/>
                      <w:szCs w:val="21"/>
                      <w:highlight w:val="none"/>
                    </w:rPr>
                  </w:pPr>
                  <w:r>
                    <w:rPr>
                      <w:color w:val="auto"/>
                      <w:kern w:val="0"/>
                      <w:szCs w:val="21"/>
                      <w:highlight w:val="none"/>
                    </w:rPr>
                    <w:t>□否</w:t>
                  </w:r>
                </w:p>
              </w:tc>
              <w:tc>
                <w:tcPr>
                  <w:tcW w:w="688" w:type="pct"/>
                  <w:vMerge w:val="restart"/>
                  <w:tcBorders>
                    <w:top w:val="single" w:color="auto" w:sz="4" w:space="0"/>
                    <w:left w:val="single" w:color="auto" w:sz="4" w:space="0"/>
                    <w:right w:val="nil"/>
                  </w:tcBorders>
                  <w:noWrap w:val="0"/>
                  <w:vAlign w:val="center"/>
                </w:tcPr>
                <w:p w14:paraId="2EAA3A8B">
                  <w:pPr>
                    <w:widowControl/>
                    <w:adjustRightInd w:val="0"/>
                    <w:snapToGrid w:val="0"/>
                    <w:spacing w:line="276" w:lineRule="auto"/>
                    <w:jc w:val="center"/>
                    <w:rPr>
                      <w:color w:val="auto"/>
                      <w:kern w:val="0"/>
                      <w:szCs w:val="21"/>
                      <w:highlight w:val="none"/>
                    </w:rPr>
                  </w:pPr>
                  <w:r>
                    <w:rPr>
                      <w:color w:val="auto"/>
                      <w:spacing w:val="-7"/>
                      <w:kern w:val="0"/>
                      <w:szCs w:val="21"/>
                      <w:highlight w:val="none"/>
                    </w:rPr>
                    <w:sym w:font="Wingdings 2" w:char="0052"/>
                  </w:r>
                  <w:r>
                    <w:rPr>
                      <w:color w:val="auto"/>
                      <w:kern w:val="0"/>
                      <w:szCs w:val="21"/>
                      <w:highlight w:val="none"/>
                    </w:rPr>
                    <w:t>企业总排</w:t>
                  </w:r>
                </w:p>
                <w:p w14:paraId="2F943779">
                  <w:pPr>
                    <w:widowControl/>
                    <w:adjustRightInd w:val="0"/>
                    <w:snapToGrid w:val="0"/>
                    <w:spacing w:line="276" w:lineRule="auto"/>
                    <w:jc w:val="center"/>
                    <w:rPr>
                      <w:color w:val="auto"/>
                      <w:kern w:val="0"/>
                      <w:szCs w:val="21"/>
                      <w:highlight w:val="none"/>
                    </w:rPr>
                  </w:pPr>
                  <w:r>
                    <w:rPr>
                      <w:color w:val="auto"/>
                      <w:kern w:val="0"/>
                      <w:szCs w:val="21"/>
                      <w:highlight w:val="none"/>
                    </w:rPr>
                    <w:t>□雨水排放</w:t>
                  </w:r>
                </w:p>
                <w:p w14:paraId="2E242A36">
                  <w:pPr>
                    <w:widowControl/>
                    <w:adjustRightInd w:val="0"/>
                    <w:snapToGrid w:val="0"/>
                    <w:spacing w:line="276" w:lineRule="auto"/>
                    <w:jc w:val="center"/>
                    <w:rPr>
                      <w:color w:val="auto"/>
                      <w:kern w:val="0"/>
                      <w:szCs w:val="21"/>
                      <w:highlight w:val="none"/>
                    </w:rPr>
                  </w:pPr>
                  <w:r>
                    <w:rPr>
                      <w:color w:val="auto"/>
                      <w:kern w:val="0"/>
                      <w:szCs w:val="21"/>
                      <w:highlight w:val="none"/>
                    </w:rPr>
                    <w:t>□清净下水排放</w:t>
                  </w:r>
                </w:p>
                <w:p w14:paraId="2B4BAC0F">
                  <w:pPr>
                    <w:widowControl/>
                    <w:adjustRightInd w:val="0"/>
                    <w:snapToGrid w:val="0"/>
                    <w:spacing w:line="276" w:lineRule="auto"/>
                    <w:jc w:val="center"/>
                    <w:rPr>
                      <w:color w:val="auto"/>
                      <w:kern w:val="0"/>
                      <w:szCs w:val="21"/>
                      <w:highlight w:val="none"/>
                    </w:rPr>
                  </w:pPr>
                  <w:r>
                    <w:rPr>
                      <w:color w:val="auto"/>
                      <w:kern w:val="0"/>
                      <w:szCs w:val="21"/>
                      <w:highlight w:val="none"/>
                    </w:rPr>
                    <w:t>□温排水排放</w:t>
                  </w:r>
                </w:p>
                <w:p w14:paraId="5159E82D">
                  <w:pPr>
                    <w:widowControl/>
                    <w:adjustRightInd w:val="0"/>
                    <w:snapToGrid w:val="0"/>
                    <w:spacing w:line="276" w:lineRule="auto"/>
                    <w:jc w:val="center"/>
                    <w:rPr>
                      <w:color w:val="auto"/>
                      <w:kern w:val="0"/>
                      <w:szCs w:val="21"/>
                      <w:highlight w:val="none"/>
                    </w:rPr>
                  </w:pPr>
                  <w:r>
                    <w:rPr>
                      <w:color w:val="auto"/>
                      <w:kern w:val="0"/>
                      <w:szCs w:val="21"/>
                      <w:highlight w:val="none"/>
                    </w:rPr>
                    <w:t>□厂房或厂房处理设施排放口</w:t>
                  </w:r>
                </w:p>
              </w:tc>
            </w:tr>
            <w:tr w14:paraId="2355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9" w:hRule="atLeast"/>
              </w:trPr>
              <w:tc>
                <w:tcPr>
                  <w:tcW w:w="157" w:type="pct"/>
                  <w:tcBorders>
                    <w:top w:val="single" w:color="auto" w:sz="4" w:space="0"/>
                    <w:left w:val="nil"/>
                    <w:bottom w:val="single" w:color="auto" w:sz="4" w:space="0"/>
                    <w:right w:val="single" w:color="auto" w:sz="4" w:space="0"/>
                  </w:tcBorders>
                  <w:noWrap w:val="0"/>
                  <w:vAlign w:val="center"/>
                </w:tcPr>
                <w:p w14:paraId="360702C8">
                  <w:pPr>
                    <w:widowControl/>
                    <w:adjustRightInd w:val="0"/>
                    <w:snapToGrid w:val="0"/>
                    <w:spacing w:line="276" w:lineRule="auto"/>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2</w:t>
                  </w:r>
                </w:p>
              </w:tc>
              <w:tc>
                <w:tcPr>
                  <w:tcW w:w="294" w:type="pct"/>
                  <w:tcBorders>
                    <w:top w:val="single" w:color="auto" w:sz="4" w:space="0"/>
                    <w:left w:val="single" w:color="auto" w:sz="4" w:space="0"/>
                    <w:bottom w:val="single" w:color="auto" w:sz="4" w:space="0"/>
                    <w:right w:val="single" w:color="auto" w:sz="4" w:space="0"/>
                  </w:tcBorders>
                  <w:noWrap w:val="0"/>
                  <w:vAlign w:val="center"/>
                </w:tcPr>
                <w:p w14:paraId="1ED45345">
                  <w:pPr>
                    <w:widowControl/>
                    <w:adjustRightInd w:val="0"/>
                    <w:snapToGrid w:val="0"/>
                    <w:spacing w:line="276" w:lineRule="auto"/>
                    <w:jc w:val="center"/>
                    <w:rPr>
                      <w:rFonts w:hint="eastAsia"/>
                      <w:color w:val="auto"/>
                      <w:sz w:val="21"/>
                      <w:szCs w:val="21"/>
                      <w:highlight w:val="none"/>
                      <w:lang w:eastAsia="zh-CN"/>
                    </w:rPr>
                  </w:pPr>
                  <w:r>
                    <w:rPr>
                      <w:rFonts w:hint="eastAsia"/>
                      <w:color w:val="auto"/>
                      <w:sz w:val="21"/>
                      <w:szCs w:val="21"/>
                      <w:highlight w:val="none"/>
                      <w:lang w:val="en-US" w:eastAsia="zh-CN"/>
                    </w:rPr>
                    <w:t>清洗废水</w:t>
                  </w:r>
                </w:p>
              </w:tc>
              <w:tc>
                <w:tcPr>
                  <w:tcW w:w="384" w:type="pct"/>
                  <w:tcBorders>
                    <w:top w:val="single" w:color="auto" w:sz="4" w:space="0"/>
                    <w:left w:val="single" w:color="auto" w:sz="4" w:space="0"/>
                    <w:bottom w:val="single" w:color="auto" w:sz="4" w:space="0"/>
                    <w:right w:val="single" w:color="auto" w:sz="4" w:space="0"/>
                  </w:tcBorders>
                  <w:noWrap w:val="0"/>
                  <w:vAlign w:val="center"/>
                </w:tcPr>
                <w:p w14:paraId="7163FDAF">
                  <w:pPr>
                    <w:widowControl/>
                    <w:adjustRightInd w:val="0"/>
                    <w:snapToGrid w:val="0"/>
                    <w:spacing w:line="276" w:lineRule="auto"/>
                    <w:jc w:val="center"/>
                    <w:rPr>
                      <w:color w:val="auto"/>
                      <w:kern w:val="0"/>
                      <w:szCs w:val="21"/>
                      <w:highlight w:val="none"/>
                    </w:rPr>
                  </w:pPr>
                  <w:r>
                    <w:rPr>
                      <w:color w:val="auto"/>
                      <w:kern w:val="0"/>
                      <w:szCs w:val="21"/>
                      <w:highlight w:val="none"/>
                    </w:rPr>
                    <w:t>COD、SS、NH</w:t>
                  </w:r>
                  <w:r>
                    <w:rPr>
                      <w:color w:val="auto"/>
                      <w:kern w:val="0"/>
                      <w:szCs w:val="21"/>
                      <w:highlight w:val="none"/>
                      <w:vertAlign w:val="subscript"/>
                    </w:rPr>
                    <w:t>3</w:t>
                  </w:r>
                  <w:r>
                    <w:rPr>
                      <w:color w:val="auto"/>
                      <w:kern w:val="0"/>
                      <w:szCs w:val="21"/>
                      <w:highlight w:val="none"/>
                    </w:rPr>
                    <w:t>-N、TP、TN</w:t>
                  </w:r>
                </w:p>
              </w:tc>
              <w:tc>
                <w:tcPr>
                  <w:tcW w:w="244" w:type="pct"/>
                  <w:vMerge w:val="continue"/>
                  <w:tcBorders>
                    <w:left w:val="single" w:color="auto" w:sz="4" w:space="0"/>
                    <w:bottom w:val="single" w:color="auto" w:sz="4" w:space="0"/>
                    <w:right w:val="single" w:color="auto" w:sz="4" w:space="0"/>
                  </w:tcBorders>
                  <w:noWrap w:val="0"/>
                  <w:vAlign w:val="center"/>
                </w:tcPr>
                <w:p w14:paraId="7159C3E3">
                  <w:pPr>
                    <w:widowControl/>
                    <w:adjustRightInd w:val="0"/>
                    <w:snapToGrid w:val="0"/>
                    <w:spacing w:line="276" w:lineRule="auto"/>
                    <w:jc w:val="center"/>
                    <w:rPr>
                      <w:color w:val="auto"/>
                      <w:kern w:val="0"/>
                      <w:szCs w:val="21"/>
                      <w:highlight w:val="none"/>
                    </w:rPr>
                  </w:pPr>
                </w:p>
              </w:tc>
              <w:tc>
                <w:tcPr>
                  <w:tcW w:w="243" w:type="pct"/>
                  <w:vMerge w:val="continue"/>
                  <w:tcBorders>
                    <w:left w:val="single" w:color="auto" w:sz="4" w:space="0"/>
                    <w:bottom w:val="single" w:color="auto" w:sz="4" w:space="0"/>
                    <w:right w:val="single" w:color="auto" w:sz="4" w:space="0"/>
                  </w:tcBorders>
                  <w:noWrap w:val="0"/>
                  <w:vAlign w:val="center"/>
                </w:tcPr>
                <w:p w14:paraId="2CF8B5E9">
                  <w:pPr>
                    <w:widowControl/>
                    <w:adjustRightInd w:val="0"/>
                    <w:snapToGrid w:val="0"/>
                    <w:spacing w:line="276" w:lineRule="auto"/>
                    <w:jc w:val="center"/>
                    <w:rPr>
                      <w:rFonts w:hint="eastAsia" w:cs="Times New Roman"/>
                      <w:caps w:val="0"/>
                      <w:smallCaps w:val="0"/>
                      <w:color w:val="auto"/>
                      <w:spacing w:val="0"/>
                      <w:sz w:val="21"/>
                      <w:szCs w:val="21"/>
                      <w:highlight w:val="none"/>
                      <w:lang w:eastAsia="zh-CN"/>
                    </w:rPr>
                  </w:pPr>
                </w:p>
              </w:tc>
              <w:tc>
                <w:tcPr>
                  <w:tcW w:w="470" w:type="pct"/>
                  <w:vMerge w:val="continue"/>
                  <w:tcBorders>
                    <w:left w:val="single" w:color="auto" w:sz="4" w:space="0"/>
                    <w:bottom w:val="single" w:color="auto" w:sz="4" w:space="0"/>
                    <w:right w:val="single" w:color="auto" w:sz="4" w:space="0"/>
                  </w:tcBorders>
                  <w:noWrap w:val="0"/>
                  <w:vAlign w:val="center"/>
                </w:tcPr>
                <w:p w14:paraId="121C2612">
                  <w:pPr>
                    <w:widowControl/>
                    <w:adjustRightInd w:val="0"/>
                    <w:snapToGrid w:val="0"/>
                    <w:spacing w:line="276" w:lineRule="auto"/>
                    <w:jc w:val="center"/>
                    <w:rPr>
                      <w:rFonts w:hint="default" w:ascii="Times New Roman" w:hAnsi="Times New Roman" w:eastAsia="宋体" w:cs="Times New Roman"/>
                      <w:color w:val="auto"/>
                      <w:kern w:val="0"/>
                      <w:sz w:val="21"/>
                      <w:szCs w:val="21"/>
                      <w:highlight w:val="none"/>
                    </w:rPr>
                  </w:pPr>
                </w:p>
              </w:tc>
              <w:tc>
                <w:tcPr>
                  <w:tcW w:w="411" w:type="pct"/>
                  <w:tcBorders>
                    <w:top w:val="single" w:color="auto" w:sz="4" w:space="0"/>
                    <w:left w:val="single" w:color="auto" w:sz="4" w:space="0"/>
                    <w:bottom w:val="single" w:color="auto" w:sz="4" w:space="0"/>
                    <w:right w:val="single" w:color="auto" w:sz="4" w:space="0"/>
                  </w:tcBorders>
                  <w:noWrap w:val="0"/>
                  <w:vAlign w:val="center"/>
                </w:tcPr>
                <w:p w14:paraId="11A15622">
                  <w:pPr>
                    <w:widowControl/>
                    <w:adjustRightInd w:val="0"/>
                    <w:snapToGrid w:val="0"/>
                    <w:spacing w:line="276" w:lineRule="auto"/>
                    <w:jc w:val="center"/>
                    <w:rPr>
                      <w:rFonts w:hint="eastAsia" w:eastAsia="宋体"/>
                      <w:color w:val="auto"/>
                      <w:kern w:val="0"/>
                      <w:szCs w:val="21"/>
                      <w:highlight w:val="none"/>
                      <w:lang w:eastAsia="zh-CN"/>
                    </w:rPr>
                  </w:pPr>
                  <w:r>
                    <w:rPr>
                      <w:color w:val="auto"/>
                      <w:kern w:val="0"/>
                      <w:szCs w:val="21"/>
                      <w:highlight w:val="none"/>
                    </w:rPr>
                    <w:t>TW00</w:t>
                  </w:r>
                  <w:r>
                    <w:rPr>
                      <w:rFonts w:hint="eastAsia"/>
                      <w:color w:val="auto"/>
                      <w:kern w:val="0"/>
                      <w:szCs w:val="21"/>
                      <w:highlight w:val="none"/>
                      <w:lang w:val="en-US" w:eastAsia="zh-CN"/>
                    </w:rPr>
                    <w:t>2</w:t>
                  </w:r>
                </w:p>
              </w:tc>
              <w:tc>
                <w:tcPr>
                  <w:tcW w:w="400" w:type="pct"/>
                  <w:tcBorders>
                    <w:top w:val="single" w:color="auto" w:sz="4" w:space="0"/>
                    <w:left w:val="single" w:color="auto" w:sz="4" w:space="0"/>
                    <w:bottom w:val="single" w:color="auto" w:sz="4" w:space="0"/>
                    <w:right w:val="single" w:color="auto" w:sz="4" w:space="0"/>
                  </w:tcBorders>
                  <w:noWrap w:val="0"/>
                  <w:vAlign w:val="center"/>
                </w:tcPr>
                <w:p w14:paraId="62DD2A56">
                  <w:pPr>
                    <w:widowControl/>
                    <w:adjustRightInd w:val="0"/>
                    <w:snapToGrid w:val="0"/>
                    <w:spacing w:line="276" w:lineRule="auto"/>
                    <w:jc w:val="center"/>
                    <w:rPr>
                      <w:color w:val="auto"/>
                      <w:szCs w:val="21"/>
                      <w:highlight w:val="none"/>
                    </w:rPr>
                  </w:pPr>
                  <w:r>
                    <w:rPr>
                      <w:rFonts w:hint="eastAsia"/>
                      <w:color w:val="auto"/>
                      <w:szCs w:val="21"/>
                      <w:highlight w:val="none"/>
                      <w:lang w:val="en-US" w:eastAsia="zh-CN"/>
                    </w:rPr>
                    <w:t>沉淀</w:t>
                  </w:r>
                  <w:r>
                    <w:rPr>
                      <w:color w:val="auto"/>
                      <w:szCs w:val="21"/>
                      <w:highlight w:val="none"/>
                    </w:rPr>
                    <w:t>池</w:t>
                  </w:r>
                </w:p>
              </w:tc>
              <w:tc>
                <w:tcPr>
                  <w:tcW w:w="302" w:type="pct"/>
                  <w:vMerge w:val="continue"/>
                  <w:tcBorders>
                    <w:left w:val="single" w:color="auto" w:sz="4" w:space="0"/>
                    <w:bottom w:val="single" w:color="auto" w:sz="4" w:space="0"/>
                    <w:right w:val="single" w:color="auto" w:sz="4" w:space="0"/>
                  </w:tcBorders>
                  <w:noWrap w:val="0"/>
                  <w:vAlign w:val="center"/>
                </w:tcPr>
                <w:p w14:paraId="2B6AA251">
                  <w:pPr>
                    <w:widowControl/>
                    <w:adjustRightInd w:val="0"/>
                    <w:snapToGrid w:val="0"/>
                    <w:spacing w:line="276" w:lineRule="auto"/>
                    <w:jc w:val="center"/>
                    <w:rPr>
                      <w:color w:val="auto"/>
                      <w:sz w:val="21"/>
                      <w:szCs w:val="21"/>
                      <w:highlight w:val="none"/>
                    </w:rPr>
                  </w:pPr>
                </w:p>
              </w:tc>
              <w:tc>
                <w:tcPr>
                  <w:tcW w:w="326" w:type="pct"/>
                  <w:tcBorders>
                    <w:top w:val="single" w:color="auto" w:sz="4" w:space="0"/>
                    <w:left w:val="single" w:color="auto" w:sz="4" w:space="0"/>
                    <w:bottom w:val="single" w:color="auto" w:sz="4" w:space="0"/>
                    <w:right w:val="single" w:color="auto" w:sz="4" w:space="0"/>
                  </w:tcBorders>
                  <w:noWrap w:val="0"/>
                  <w:vAlign w:val="center"/>
                </w:tcPr>
                <w:p w14:paraId="4ED52584">
                  <w:pPr>
                    <w:widowControl/>
                    <w:adjustRightInd w:val="0"/>
                    <w:snapToGrid w:val="0"/>
                    <w:spacing w:line="276" w:lineRule="auto"/>
                    <w:jc w:val="center"/>
                    <w:rPr>
                      <w:rFonts w:hint="eastAsia"/>
                      <w:color w:val="auto"/>
                      <w:szCs w:val="21"/>
                      <w:highlight w:val="none"/>
                    </w:rPr>
                  </w:pPr>
                  <w:r>
                    <w:rPr>
                      <w:rFonts w:hint="eastAsia"/>
                      <w:color w:val="auto"/>
                      <w:szCs w:val="21"/>
                      <w:highlight w:val="none"/>
                      <w:lang w:val="en-US" w:eastAsia="zh-CN"/>
                    </w:rPr>
                    <w:t>2</w:t>
                  </w:r>
                  <w:r>
                    <w:rPr>
                      <w:color w:val="auto"/>
                      <w:szCs w:val="21"/>
                      <w:highlight w:val="none"/>
                    </w:rPr>
                    <w:t>m</w:t>
                  </w:r>
                  <w:r>
                    <w:rPr>
                      <w:color w:val="auto"/>
                      <w:szCs w:val="21"/>
                      <w:highlight w:val="none"/>
                      <w:vertAlign w:val="superscript"/>
                    </w:rPr>
                    <w:t>3</w:t>
                  </w:r>
                  <w:r>
                    <w:rPr>
                      <w:color w:val="auto"/>
                      <w:szCs w:val="21"/>
                      <w:highlight w:val="none"/>
                    </w:rPr>
                    <w:t>/d</w:t>
                  </w:r>
                </w:p>
              </w:tc>
              <w:tc>
                <w:tcPr>
                  <w:tcW w:w="294" w:type="pct"/>
                  <w:tcBorders>
                    <w:top w:val="single" w:color="auto" w:sz="4" w:space="0"/>
                    <w:left w:val="single" w:color="auto" w:sz="4" w:space="0"/>
                    <w:bottom w:val="single" w:color="auto" w:sz="4" w:space="0"/>
                    <w:right w:val="single" w:color="auto" w:sz="4" w:space="0"/>
                  </w:tcBorders>
                  <w:noWrap w:val="0"/>
                  <w:vAlign w:val="center"/>
                </w:tcPr>
                <w:p w14:paraId="524E13C6">
                  <w:pPr>
                    <w:widowControl/>
                    <w:adjustRightInd w:val="0"/>
                    <w:snapToGrid w:val="0"/>
                    <w:spacing w:line="276" w:lineRule="auto"/>
                    <w:jc w:val="center"/>
                    <w:rPr>
                      <w:color w:val="auto"/>
                      <w:szCs w:val="21"/>
                      <w:highlight w:val="none"/>
                    </w:rPr>
                  </w:pPr>
                  <w:r>
                    <w:rPr>
                      <w:color w:val="auto"/>
                      <w:szCs w:val="21"/>
                      <w:highlight w:val="none"/>
                    </w:rPr>
                    <w:t>是</w:t>
                  </w:r>
                </w:p>
              </w:tc>
              <w:tc>
                <w:tcPr>
                  <w:tcW w:w="426" w:type="pct"/>
                  <w:vMerge w:val="continue"/>
                  <w:tcBorders>
                    <w:left w:val="single" w:color="auto" w:sz="4" w:space="0"/>
                    <w:bottom w:val="single" w:color="auto" w:sz="4" w:space="0"/>
                    <w:right w:val="single" w:color="auto" w:sz="4" w:space="0"/>
                  </w:tcBorders>
                  <w:noWrap w:val="0"/>
                  <w:vAlign w:val="center"/>
                </w:tcPr>
                <w:p w14:paraId="5D86E2C7">
                  <w:pPr>
                    <w:widowControl/>
                    <w:adjustRightInd w:val="0"/>
                    <w:snapToGrid w:val="0"/>
                    <w:spacing w:line="276" w:lineRule="auto"/>
                    <w:jc w:val="center"/>
                    <w:rPr>
                      <w:color w:val="auto"/>
                      <w:kern w:val="0"/>
                      <w:szCs w:val="21"/>
                      <w:highlight w:val="none"/>
                    </w:rPr>
                  </w:pPr>
                </w:p>
              </w:tc>
              <w:tc>
                <w:tcPr>
                  <w:tcW w:w="354" w:type="pct"/>
                  <w:vMerge w:val="continue"/>
                  <w:tcBorders>
                    <w:left w:val="single" w:color="auto" w:sz="4" w:space="0"/>
                    <w:bottom w:val="single" w:color="auto" w:sz="4" w:space="0"/>
                    <w:right w:val="single" w:color="auto" w:sz="4" w:space="0"/>
                  </w:tcBorders>
                  <w:noWrap w:val="0"/>
                  <w:vAlign w:val="center"/>
                </w:tcPr>
                <w:p w14:paraId="0D43F001">
                  <w:pPr>
                    <w:widowControl/>
                    <w:adjustRightInd w:val="0"/>
                    <w:snapToGrid w:val="0"/>
                    <w:spacing w:line="276" w:lineRule="auto"/>
                    <w:jc w:val="center"/>
                    <w:rPr>
                      <w:color w:val="auto"/>
                      <w:kern w:val="0"/>
                      <w:szCs w:val="21"/>
                      <w:highlight w:val="none"/>
                    </w:rPr>
                  </w:pPr>
                </w:p>
              </w:tc>
              <w:tc>
                <w:tcPr>
                  <w:tcW w:w="688" w:type="pct"/>
                  <w:vMerge w:val="continue"/>
                  <w:tcBorders>
                    <w:left w:val="single" w:color="auto" w:sz="4" w:space="0"/>
                    <w:bottom w:val="single" w:color="auto" w:sz="4" w:space="0"/>
                    <w:right w:val="nil"/>
                  </w:tcBorders>
                  <w:noWrap w:val="0"/>
                  <w:vAlign w:val="center"/>
                </w:tcPr>
                <w:p w14:paraId="7305BDD6">
                  <w:pPr>
                    <w:widowControl/>
                    <w:adjustRightInd w:val="0"/>
                    <w:snapToGrid w:val="0"/>
                    <w:spacing w:line="276" w:lineRule="auto"/>
                    <w:jc w:val="center"/>
                    <w:rPr>
                      <w:color w:val="auto"/>
                      <w:kern w:val="0"/>
                      <w:szCs w:val="21"/>
                      <w:highlight w:val="none"/>
                    </w:rPr>
                  </w:pPr>
                </w:p>
              </w:tc>
            </w:tr>
          </w:tbl>
          <w:p w14:paraId="6F8CF355">
            <w:pPr>
              <w:widowControl/>
              <w:adjustRightInd w:val="0"/>
              <w:snapToGrid w:val="0"/>
              <w:spacing w:before="120" w:beforeLines="50"/>
              <w:ind w:firstLine="1205" w:firstLineChars="500"/>
              <w:jc w:val="both"/>
              <w:rPr>
                <w:b/>
                <w:color w:val="auto"/>
                <w:kern w:val="0"/>
                <w:sz w:val="24"/>
                <w:highlight w:val="none"/>
              </w:rPr>
            </w:pPr>
            <w:r>
              <w:rPr>
                <w:b/>
                <w:color w:val="auto"/>
                <w:kern w:val="0"/>
                <w:sz w:val="24"/>
                <w:highlight w:val="none"/>
              </w:rPr>
              <w:t>表4-</w:t>
            </w:r>
            <w:r>
              <w:rPr>
                <w:rFonts w:hint="eastAsia"/>
                <w:b/>
                <w:color w:val="auto"/>
                <w:kern w:val="0"/>
                <w:sz w:val="24"/>
                <w:highlight w:val="none"/>
                <w:lang w:val="en-US" w:eastAsia="zh-CN"/>
              </w:rPr>
              <w:t>10</w:t>
            </w:r>
            <w:r>
              <w:rPr>
                <w:b/>
                <w:color w:val="auto"/>
                <w:kern w:val="0"/>
                <w:sz w:val="24"/>
                <w:highlight w:val="none"/>
              </w:rPr>
              <w:t xml:space="preserve"> 废水间接排放口基本情况表</w:t>
            </w:r>
          </w:p>
          <w:tbl>
            <w:tblPr>
              <w:tblStyle w:val="3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7"/>
              <w:gridCol w:w="774"/>
              <w:gridCol w:w="1343"/>
              <w:gridCol w:w="1271"/>
              <w:gridCol w:w="711"/>
              <w:gridCol w:w="452"/>
              <w:gridCol w:w="941"/>
              <w:gridCol w:w="442"/>
              <w:gridCol w:w="442"/>
              <w:gridCol w:w="649"/>
              <w:gridCol w:w="1138"/>
            </w:tblGrid>
            <w:tr w14:paraId="7A534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156" w:type="pct"/>
                  <w:vMerge w:val="restart"/>
                  <w:noWrap w:val="0"/>
                  <w:vAlign w:val="center"/>
                </w:tcPr>
                <w:p w14:paraId="792047EC">
                  <w:pPr>
                    <w:widowControl/>
                    <w:adjustRightInd w:val="0"/>
                    <w:snapToGrid w:val="0"/>
                    <w:jc w:val="center"/>
                    <w:rPr>
                      <w:b/>
                      <w:color w:val="auto"/>
                      <w:kern w:val="0"/>
                      <w:szCs w:val="21"/>
                      <w:highlight w:val="none"/>
                    </w:rPr>
                  </w:pPr>
                  <w:r>
                    <w:rPr>
                      <w:b/>
                      <w:color w:val="auto"/>
                      <w:kern w:val="0"/>
                      <w:szCs w:val="21"/>
                      <w:highlight w:val="none"/>
                    </w:rPr>
                    <w:t>序号</w:t>
                  </w:r>
                </w:p>
              </w:tc>
              <w:tc>
                <w:tcPr>
                  <w:tcW w:w="471" w:type="pct"/>
                  <w:vMerge w:val="restart"/>
                  <w:noWrap w:val="0"/>
                  <w:vAlign w:val="center"/>
                </w:tcPr>
                <w:p w14:paraId="038ED730">
                  <w:pPr>
                    <w:widowControl/>
                    <w:adjustRightInd w:val="0"/>
                    <w:snapToGrid w:val="0"/>
                    <w:jc w:val="center"/>
                    <w:rPr>
                      <w:b/>
                      <w:color w:val="auto"/>
                      <w:kern w:val="0"/>
                      <w:szCs w:val="21"/>
                      <w:highlight w:val="none"/>
                    </w:rPr>
                  </w:pPr>
                  <w:r>
                    <w:rPr>
                      <w:b/>
                      <w:color w:val="auto"/>
                      <w:kern w:val="0"/>
                      <w:szCs w:val="21"/>
                      <w:highlight w:val="none"/>
                    </w:rPr>
                    <w:t>排放口编号</w:t>
                  </w:r>
                </w:p>
              </w:tc>
              <w:tc>
                <w:tcPr>
                  <w:tcW w:w="1530" w:type="pct"/>
                  <w:gridSpan w:val="2"/>
                  <w:noWrap w:val="0"/>
                  <w:vAlign w:val="center"/>
                </w:tcPr>
                <w:p w14:paraId="73B26BE1">
                  <w:pPr>
                    <w:widowControl/>
                    <w:adjustRightInd w:val="0"/>
                    <w:snapToGrid w:val="0"/>
                    <w:jc w:val="center"/>
                    <w:rPr>
                      <w:b/>
                      <w:color w:val="auto"/>
                      <w:kern w:val="0"/>
                      <w:szCs w:val="21"/>
                      <w:highlight w:val="none"/>
                    </w:rPr>
                  </w:pPr>
                  <w:r>
                    <w:rPr>
                      <w:b/>
                      <w:color w:val="auto"/>
                      <w:kern w:val="0"/>
                      <w:szCs w:val="21"/>
                      <w:highlight w:val="none"/>
                    </w:rPr>
                    <w:t>排放口地理坐标</w:t>
                  </w:r>
                </w:p>
                <w:p w14:paraId="55297D99">
                  <w:pPr>
                    <w:widowControl/>
                    <w:adjustRightInd w:val="0"/>
                    <w:snapToGrid w:val="0"/>
                    <w:jc w:val="center"/>
                    <w:rPr>
                      <w:b/>
                      <w:color w:val="auto"/>
                      <w:kern w:val="0"/>
                      <w:szCs w:val="21"/>
                      <w:highlight w:val="none"/>
                    </w:rPr>
                  </w:pPr>
                  <w:r>
                    <w:rPr>
                      <w:b/>
                      <w:color w:val="auto"/>
                      <w:kern w:val="0"/>
                      <w:szCs w:val="21"/>
                      <w:highlight w:val="none"/>
                    </w:rPr>
                    <w:t>（UTM坐标）</w:t>
                  </w:r>
                </w:p>
              </w:tc>
              <w:tc>
                <w:tcPr>
                  <w:tcW w:w="377" w:type="pct"/>
                  <w:vMerge w:val="restart"/>
                  <w:noWrap w:val="0"/>
                  <w:vAlign w:val="center"/>
                </w:tcPr>
                <w:p w14:paraId="5D05A1AB">
                  <w:pPr>
                    <w:widowControl/>
                    <w:adjustRightInd w:val="0"/>
                    <w:snapToGrid w:val="0"/>
                    <w:jc w:val="center"/>
                    <w:rPr>
                      <w:b/>
                      <w:color w:val="auto"/>
                      <w:kern w:val="0"/>
                      <w:szCs w:val="21"/>
                      <w:highlight w:val="none"/>
                    </w:rPr>
                  </w:pPr>
                  <w:r>
                    <w:rPr>
                      <w:b/>
                      <w:color w:val="auto"/>
                      <w:kern w:val="0"/>
                      <w:szCs w:val="21"/>
                      <w:highlight w:val="none"/>
                    </w:rPr>
                    <w:t>废水排放量（t/a）</w:t>
                  </w:r>
                </w:p>
              </w:tc>
              <w:tc>
                <w:tcPr>
                  <w:tcW w:w="280" w:type="pct"/>
                  <w:vMerge w:val="restart"/>
                  <w:noWrap w:val="0"/>
                  <w:vAlign w:val="center"/>
                </w:tcPr>
                <w:p w14:paraId="52850453">
                  <w:pPr>
                    <w:widowControl/>
                    <w:adjustRightInd w:val="0"/>
                    <w:snapToGrid w:val="0"/>
                    <w:jc w:val="center"/>
                    <w:rPr>
                      <w:b/>
                      <w:color w:val="auto"/>
                      <w:kern w:val="0"/>
                      <w:szCs w:val="21"/>
                      <w:highlight w:val="none"/>
                    </w:rPr>
                  </w:pPr>
                  <w:r>
                    <w:rPr>
                      <w:b/>
                      <w:color w:val="auto"/>
                      <w:kern w:val="0"/>
                      <w:szCs w:val="21"/>
                      <w:highlight w:val="none"/>
                    </w:rPr>
                    <w:t>排放去向</w:t>
                  </w:r>
                </w:p>
              </w:tc>
              <w:tc>
                <w:tcPr>
                  <w:tcW w:w="570" w:type="pct"/>
                  <w:vMerge w:val="restart"/>
                  <w:noWrap w:val="0"/>
                  <w:vAlign w:val="center"/>
                </w:tcPr>
                <w:p w14:paraId="36B2BBC0">
                  <w:pPr>
                    <w:widowControl/>
                    <w:adjustRightInd w:val="0"/>
                    <w:snapToGrid w:val="0"/>
                    <w:jc w:val="center"/>
                    <w:rPr>
                      <w:b/>
                      <w:color w:val="auto"/>
                      <w:kern w:val="0"/>
                      <w:szCs w:val="21"/>
                      <w:highlight w:val="none"/>
                    </w:rPr>
                  </w:pPr>
                  <w:r>
                    <w:rPr>
                      <w:b/>
                      <w:color w:val="auto"/>
                      <w:kern w:val="0"/>
                      <w:szCs w:val="21"/>
                      <w:highlight w:val="none"/>
                    </w:rPr>
                    <w:t>排放规律</w:t>
                  </w:r>
                </w:p>
              </w:tc>
              <w:tc>
                <w:tcPr>
                  <w:tcW w:w="274" w:type="pct"/>
                  <w:vMerge w:val="restart"/>
                  <w:noWrap w:val="0"/>
                  <w:vAlign w:val="center"/>
                </w:tcPr>
                <w:p w14:paraId="36BA89F8">
                  <w:pPr>
                    <w:widowControl/>
                    <w:adjustRightInd w:val="0"/>
                    <w:snapToGrid w:val="0"/>
                    <w:jc w:val="center"/>
                    <w:rPr>
                      <w:b/>
                      <w:color w:val="auto"/>
                      <w:kern w:val="0"/>
                      <w:szCs w:val="21"/>
                      <w:highlight w:val="none"/>
                    </w:rPr>
                  </w:pPr>
                  <w:r>
                    <w:rPr>
                      <w:b/>
                      <w:color w:val="auto"/>
                      <w:kern w:val="0"/>
                      <w:szCs w:val="21"/>
                      <w:highlight w:val="none"/>
                    </w:rPr>
                    <w:t>间歇排放时段</w:t>
                  </w:r>
                </w:p>
              </w:tc>
              <w:tc>
                <w:tcPr>
                  <w:tcW w:w="1340" w:type="pct"/>
                  <w:gridSpan w:val="3"/>
                  <w:noWrap w:val="0"/>
                  <w:vAlign w:val="center"/>
                </w:tcPr>
                <w:p w14:paraId="1E88CA74">
                  <w:pPr>
                    <w:widowControl/>
                    <w:adjustRightInd w:val="0"/>
                    <w:snapToGrid w:val="0"/>
                    <w:jc w:val="center"/>
                    <w:rPr>
                      <w:b/>
                      <w:color w:val="auto"/>
                      <w:kern w:val="0"/>
                      <w:szCs w:val="21"/>
                      <w:highlight w:val="none"/>
                    </w:rPr>
                  </w:pPr>
                  <w:r>
                    <w:rPr>
                      <w:b/>
                      <w:color w:val="auto"/>
                      <w:kern w:val="0"/>
                      <w:szCs w:val="21"/>
                      <w:highlight w:val="none"/>
                    </w:rPr>
                    <w:t>受纳污水处理厂信息</w:t>
                  </w:r>
                </w:p>
              </w:tc>
            </w:tr>
            <w:tr w14:paraId="6569E4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156" w:type="pct"/>
                  <w:vMerge w:val="continue"/>
                  <w:noWrap w:val="0"/>
                  <w:vAlign w:val="center"/>
                </w:tcPr>
                <w:p w14:paraId="04392E2A">
                  <w:pPr>
                    <w:widowControl/>
                    <w:adjustRightInd w:val="0"/>
                    <w:snapToGrid w:val="0"/>
                    <w:jc w:val="center"/>
                    <w:rPr>
                      <w:color w:val="auto"/>
                      <w:kern w:val="0"/>
                      <w:szCs w:val="21"/>
                      <w:highlight w:val="none"/>
                    </w:rPr>
                  </w:pPr>
                </w:p>
              </w:tc>
              <w:tc>
                <w:tcPr>
                  <w:tcW w:w="471" w:type="pct"/>
                  <w:vMerge w:val="continue"/>
                  <w:noWrap w:val="0"/>
                  <w:vAlign w:val="center"/>
                </w:tcPr>
                <w:p w14:paraId="1FAD29D2">
                  <w:pPr>
                    <w:widowControl/>
                    <w:adjustRightInd w:val="0"/>
                    <w:snapToGrid w:val="0"/>
                    <w:jc w:val="center"/>
                    <w:rPr>
                      <w:color w:val="auto"/>
                      <w:kern w:val="0"/>
                      <w:szCs w:val="21"/>
                      <w:highlight w:val="none"/>
                    </w:rPr>
                  </w:pPr>
                </w:p>
              </w:tc>
              <w:tc>
                <w:tcPr>
                  <w:tcW w:w="808" w:type="pct"/>
                  <w:noWrap w:val="0"/>
                  <w:vAlign w:val="center"/>
                </w:tcPr>
                <w:p w14:paraId="70744366">
                  <w:pPr>
                    <w:widowControl/>
                    <w:adjustRightInd w:val="0"/>
                    <w:snapToGrid w:val="0"/>
                    <w:jc w:val="center"/>
                    <w:rPr>
                      <w:b/>
                      <w:color w:val="auto"/>
                      <w:kern w:val="0"/>
                      <w:szCs w:val="21"/>
                      <w:highlight w:val="none"/>
                    </w:rPr>
                  </w:pPr>
                  <w:r>
                    <w:rPr>
                      <w:b/>
                      <w:color w:val="auto"/>
                      <w:kern w:val="0"/>
                      <w:szCs w:val="21"/>
                      <w:highlight w:val="none"/>
                    </w:rPr>
                    <w:t>经度</w:t>
                  </w:r>
                </w:p>
              </w:tc>
              <w:tc>
                <w:tcPr>
                  <w:tcW w:w="721" w:type="pct"/>
                  <w:noWrap w:val="0"/>
                  <w:vAlign w:val="center"/>
                </w:tcPr>
                <w:p w14:paraId="4F85AB1E">
                  <w:pPr>
                    <w:widowControl/>
                    <w:adjustRightInd w:val="0"/>
                    <w:snapToGrid w:val="0"/>
                    <w:jc w:val="center"/>
                    <w:rPr>
                      <w:b/>
                      <w:color w:val="auto"/>
                      <w:kern w:val="0"/>
                      <w:szCs w:val="21"/>
                      <w:highlight w:val="none"/>
                    </w:rPr>
                  </w:pPr>
                  <w:r>
                    <w:rPr>
                      <w:b/>
                      <w:color w:val="auto"/>
                      <w:kern w:val="0"/>
                      <w:szCs w:val="21"/>
                      <w:highlight w:val="none"/>
                    </w:rPr>
                    <w:t>纬度</w:t>
                  </w:r>
                </w:p>
              </w:tc>
              <w:tc>
                <w:tcPr>
                  <w:tcW w:w="377" w:type="pct"/>
                  <w:vMerge w:val="continue"/>
                  <w:noWrap w:val="0"/>
                  <w:vAlign w:val="center"/>
                </w:tcPr>
                <w:p w14:paraId="57094859">
                  <w:pPr>
                    <w:widowControl/>
                    <w:adjustRightInd w:val="0"/>
                    <w:snapToGrid w:val="0"/>
                    <w:jc w:val="center"/>
                    <w:rPr>
                      <w:b/>
                      <w:color w:val="auto"/>
                      <w:kern w:val="0"/>
                      <w:szCs w:val="21"/>
                      <w:highlight w:val="none"/>
                    </w:rPr>
                  </w:pPr>
                </w:p>
              </w:tc>
              <w:tc>
                <w:tcPr>
                  <w:tcW w:w="280" w:type="pct"/>
                  <w:vMerge w:val="continue"/>
                  <w:noWrap w:val="0"/>
                  <w:vAlign w:val="center"/>
                </w:tcPr>
                <w:p w14:paraId="7CC0499C">
                  <w:pPr>
                    <w:widowControl/>
                    <w:adjustRightInd w:val="0"/>
                    <w:snapToGrid w:val="0"/>
                    <w:jc w:val="center"/>
                    <w:rPr>
                      <w:b/>
                      <w:color w:val="auto"/>
                      <w:kern w:val="0"/>
                      <w:szCs w:val="21"/>
                      <w:highlight w:val="none"/>
                    </w:rPr>
                  </w:pPr>
                </w:p>
              </w:tc>
              <w:tc>
                <w:tcPr>
                  <w:tcW w:w="570" w:type="pct"/>
                  <w:vMerge w:val="continue"/>
                  <w:noWrap w:val="0"/>
                  <w:vAlign w:val="center"/>
                </w:tcPr>
                <w:p w14:paraId="703E6E2A">
                  <w:pPr>
                    <w:widowControl/>
                    <w:adjustRightInd w:val="0"/>
                    <w:snapToGrid w:val="0"/>
                    <w:jc w:val="center"/>
                    <w:rPr>
                      <w:b/>
                      <w:color w:val="auto"/>
                      <w:kern w:val="0"/>
                      <w:szCs w:val="21"/>
                      <w:highlight w:val="none"/>
                    </w:rPr>
                  </w:pPr>
                </w:p>
              </w:tc>
              <w:tc>
                <w:tcPr>
                  <w:tcW w:w="274" w:type="pct"/>
                  <w:vMerge w:val="continue"/>
                  <w:noWrap w:val="0"/>
                  <w:vAlign w:val="center"/>
                </w:tcPr>
                <w:p w14:paraId="794EFB16">
                  <w:pPr>
                    <w:widowControl/>
                    <w:adjustRightInd w:val="0"/>
                    <w:snapToGrid w:val="0"/>
                    <w:jc w:val="center"/>
                    <w:rPr>
                      <w:b/>
                      <w:color w:val="auto"/>
                      <w:kern w:val="0"/>
                      <w:szCs w:val="21"/>
                      <w:highlight w:val="none"/>
                    </w:rPr>
                  </w:pPr>
                </w:p>
              </w:tc>
              <w:tc>
                <w:tcPr>
                  <w:tcW w:w="274" w:type="pct"/>
                  <w:noWrap w:val="0"/>
                  <w:vAlign w:val="center"/>
                </w:tcPr>
                <w:p w14:paraId="7A0AA145">
                  <w:pPr>
                    <w:widowControl/>
                    <w:adjustRightInd w:val="0"/>
                    <w:snapToGrid w:val="0"/>
                    <w:jc w:val="center"/>
                    <w:rPr>
                      <w:b/>
                      <w:color w:val="auto"/>
                      <w:kern w:val="0"/>
                      <w:szCs w:val="21"/>
                      <w:highlight w:val="none"/>
                    </w:rPr>
                  </w:pPr>
                  <w:r>
                    <w:rPr>
                      <w:b/>
                      <w:color w:val="auto"/>
                      <w:kern w:val="0"/>
                      <w:szCs w:val="21"/>
                      <w:highlight w:val="none"/>
                    </w:rPr>
                    <w:t>名称</w:t>
                  </w:r>
                </w:p>
              </w:tc>
              <w:tc>
                <w:tcPr>
                  <w:tcW w:w="380" w:type="pct"/>
                  <w:noWrap w:val="0"/>
                  <w:vAlign w:val="center"/>
                </w:tcPr>
                <w:p w14:paraId="702E9926">
                  <w:pPr>
                    <w:widowControl/>
                    <w:adjustRightInd w:val="0"/>
                    <w:snapToGrid w:val="0"/>
                    <w:jc w:val="center"/>
                    <w:rPr>
                      <w:b/>
                      <w:color w:val="auto"/>
                      <w:kern w:val="0"/>
                      <w:szCs w:val="21"/>
                      <w:highlight w:val="none"/>
                    </w:rPr>
                  </w:pPr>
                  <w:r>
                    <w:rPr>
                      <w:b/>
                      <w:color w:val="auto"/>
                      <w:kern w:val="0"/>
                      <w:szCs w:val="21"/>
                      <w:highlight w:val="none"/>
                    </w:rPr>
                    <w:t>污染物种类</w:t>
                  </w:r>
                </w:p>
              </w:tc>
              <w:tc>
                <w:tcPr>
                  <w:tcW w:w="686" w:type="pct"/>
                  <w:noWrap w:val="0"/>
                  <w:vAlign w:val="center"/>
                </w:tcPr>
                <w:p w14:paraId="323A9452">
                  <w:pPr>
                    <w:widowControl/>
                    <w:adjustRightInd w:val="0"/>
                    <w:snapToGrid w:val="0"/>
                    <w:jc w:val="center"/>
                    <w:rPr>
                      <w:b/>
                      <w:color w:val="auto"/>
                      <w:kern w:val="0"/>
                      <w:szCs w:val="21"/>
                      <w:highlight w:val="none"/>
                    </w:rPr>
                  </w:pPr>
                  <w:r>
                    <w:rPr>
                      <w:b/>
                      <w:color w:val="auto"/>
                      <w:kern w:val="0"/>
                      <w:szCs w:val="21"/>
                      <w:highlight w:val="none"/>
                    </w:rPr>
                    <w:t>国家或地方污染物排放标准浓度限值/(mg/L)</w:t>
                  </w:r>
                </w:p>
              </w:tc>
            </w:tr>
            <w:tr w14:paraId="307CD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156" w:type="pct"/>
                  <w:vMerge w:val="restart"/>
                  <w:noWrap w:val="0"/>
                  <w:vAlign w:val="center"/>
                </w:tcPr>
                <w:p w14:paraId="0E1838EC">
                  <w:pPr>
                    <w:widowControl/>
                    <w:adjustRightInd w:val="0"/>
                    <w:snapToGrid w:val="0"/>
                    <w:jc w:val="center"/>
                    <w:rPr>
                      <w:color w:val="auto"/>
                      <w:kern w:val="0"/>
                      <w:szCs w:val="21"/>
                      <w:highlight w:val="none"/>
                    </w:rPr>
                  </w:pPr>
                  <w:r>
                    <w:rPr>
                      <w:color w:val="auto"/>
                      <w:kern w:val="0"/>
                      <w:szCs w:val="21"/>
                      <w:highlight w:val="none"/>
                    </w:rPr>
                    <w:t>1</w:t>
                  </w:r>
                </w:p>
              </w:tc>
              <w:tc>
                <w:tcPr>
                  <w:tcW w:w="471" w:type="pct"/>
                  <w:vMerge w:val="restart"/>
                  <w:noWrap w:val="0"/>
                  <w:vAlign w:val="center"/>
                </w:tcPr>
                <w:p w14:paraId="44126482">
                  <w:pPr>
                    <w:widowControl/>
                    <w:adjustRightInd w:val="0"/>
                    <w:snapToGrid w:val="0"/>
                    <w:jc w:val="center"/>
                    <w:rPr>
                      <w:color w:val="auto"/>
                      <w:kern w:val="0"/>
                      <w:szCs w:val="21"/>
                      <w:highlight w:val="none"/>
                    </w:rPr>
                  </w:pPr>
                  <w:r>
                    <w:rPr>
                      <w:color w:val="auto"/>
                      <w:kern w:val="0"/>
                      <w:szCs w:val="21"/>
                      <w:highlight w:val="none"/>
                    </w:rPr>
                    <w:t>DW001</w:t>
                  </w:r>
                </w:p>
              </w:tc>
              <w:tc>
                <w:tcPr>
                  <w:tcW w:w="1364" w:type="dxa"/>
                  <w:vMerge w:val="restart"/>
                  <w:noWrap w:val="0"/>
                  <w:vAlign w:val="center"/>
                </w:tcPr>
                <w:p w14:paraId="7A487EB0">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color w:val="auto"/>
                      <w:sz w:val="21"/>
                      <w:szCs w:val="21"/>
                      <w:highlight w:val="none"/>
                    </w:rPr>
                    <w:t>11</w:t>
                  </w:r>
                  <w:r>
                    <w:rPr>
                      <w:rFonts w:hint="eastAsia"/>
                      <w:color w:val="auto"/>
                      <w:sz w:val="21"/>
                      <w:szCs w:val="21"/>
                      <w:highlight w:val="none"/>
                    </w:rPr>
                    <w:t>9</w:t>
                  </w:r>
                  <w:r>
                    <w:rPr>
                      <w:color w:val="auto"/>
                      <w:sz w:val="21"/>
                      <w:szCs w:val="21"/>
                      <w:highlight w:val="none"/>
                    </w:rPr>
                    <w:t>°</w:t>
                  </w:r>
                  <w:r>
                    <w:rPr>
                      <w:rFonts w:hint="eastAsia"/>
                      <w:color w:val="auto"/>
                      <w:sz w:val="21"/>
                      <w:szCs w:val="21"/>
                      <w:highlight w:val="none"/>
                    </w:rPr>
                    <w:t>7</w:t>
                  </w:r>
                  <w:r>
                    <w:rPr>
                      <w:color w:val="auto"/>
                      <w:sz w:val="21"/>
                      <w:szCs w:val="21"/>
                      <w:highlight w:val="none"/>
                    </w:rPr>
                    <w:t>′</w:t>
                  </w:r>
                  <w:r>
                    <w:rPr>
                      <w:rFonts w:hint="eastAsia"/>
                      <w:color w:val="auto"/>
                      <w:sz w:val="21"/>
                      <w:szCs w:val="21"/>
                      <w:highlight w:val="none"/>
                    </w:rPr>
                    <w:t>11.646</w:t>
                  </w:r>
                  <w:r>
                    <w:rPr>
                      <w:color w:val="auto"/>
                      <w:sz w:val="21"/>
                      <w:szCs w:val="21"/>
                      <w:highlight w:val="none"/>
                    </w:rPr>
                    <w:t>″</w:t>
                  </w:r>
                </w:p>
              </w:tc>
              <w:tc>
                <w:tcPr>
                  <w:tcW w:w="1219" w:type="dxa"/>
                  <w:vMerge w:val="restart"/>
                  <w:noWrap w:val="0"/>
                  <w:vAlign w:val="center"/>
                </w:tcPr>
                <w:p w14:paraId="1A1DFAD2">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color w:val="auto"/>
                      <w:sz w:val="21"/>
                      <w:szCs w:val="21"/>
                      <w:highlight w:val="none"/>
                    </w:rPr>
                    <w:t>3</w:t>
                  </w:r>
                  <w:r>
                    <w:rPr>
                      <w:rFonts w:hint="eastAsia"/>
                      <w:color w:val="auto"/>
                      <w:sz w:val="21"/>
                      <w:szCs w:val="21"/>
                      <w:highlight w:val="none"/>
                    </w:rPr>
                    <w:t>1</w:t>
                  </w:r>
                  <w:r>
                    <w:rPr>
                      <w:color w:val="auto"/>
                      <w:sz w:val="21"/>
                      <w:szCs w:val="21"/>
                      <w:highlight w:val="none"/>
                    </w:rPr>
                    <w:t>°</w:t>
                  </w:r>
                  <w:r>
                    <w:rPr>
                      <w:rFonts w:hint="eastAsia"/>
                      <w:color w:val="auto"/>
                      <w:sz w:val="21"/>
                      <w:szCs w:val="21"/>
                      <w:highlight w:val="none"/>
                    </w:rPr>
                    <w:t>58</w:t>
                  </w:r>
                  <w:r>
                    <w:rPr>
                      <w:color w:val="auto"/>
                      <w:sz w:val="21"/>
                      <w:szCs w:val="21"/>
                      <w:highlight w:val="none"/>
                    </w:rPr>
                    <w:t>′</w:t>
                  </w:r>
                  <w:r>
                    <w:rPr>
                      <w:rFonts w:hint="eastAsia"/>
                      <w:color w:val="auto"/>
                      <w:sz w:val="21"/>
                      <w:szCs w:val="21"/>
                      <w:highlight w:val="none"/>
                    </w:rPr>
                    <w:t>18.245</w:t>
                  </w:r>
                  <w:r>
                    <w:rPr>
                      <w:color w:val="auto"/>
                      <w:sz w:val="21"/>
                      <w:szCs w:val="21"/>
                      <w:highlight w:val="none"/>
                    </w:rPr>
                    <w:t>″</w:t>
                  </w:r>
                </w:p>
              </w:tc>
              <w:tc>
                <w:tcPr>
                  <w:tcW w:w="377" w:type="pct"/>
                  <w:vMerge w:val="restart"/>
                  <w:noWrap w:val="0"/>
                  <w:vAlign w:val="center"/>
                </w:tcPr>
                <w:p w14:paraId="2B873E3D">
                  <w:pPr>
                    <w:widowControl/>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840</w:t>
                  </w:r>
                </w:p>
              </w:tc>
              <w:tc>
                <w:tcPr>
                  <w:tcW w:w="280" w:type="pct"/>
                  <w:vMerge w:val="restart"/>
                  <w:noWrap w:val="0"/>
                  <w:vAlign w:val="center"/>
                </w:tcPr>
                <w:p w14:paraId="3209D03F">
                  <w:pPr>
                    <w:widowControl/>
                    <w:adjustRightInd w:val="0"/>
                    <w:snapToGrid w:val="0"/>
                    <w:jc w:val="center"/>
                    <w:rPr>
                      <w:color w:val="auto"/>
                      <w:kern w:val="0"/>
                      <w:szCs w:val="21"/>
                      <w:highlight w:val="none"/>
                    </w:rPr>
                  </w:pPr>
                  <w:r>
                    <w:rPr>
                      <w:rFonts w:hint="eastAsia" w:cs="Times New Roman"/>
                      <w:caps w:val="0"/>
                      <w:smallCaps w:val="0"/>
                      <w:color w:val="auto"/>
                      <w:spacing w:val="0"/>
                      <w:sz w:val="21"/>
                      <w:szCs w:val="21"/>
                      <w:highlight w:val="none"/>
                      <w:lang w:eastAsia="zh-CN"/>
                    </w:rPr>
                    <w:t>句容市郭庄污水处理有限公司</w:t>
                  </w:r>
                </w:p>
              </w:tc>
              <w:tc>
                <w:tcPr>
                  <w:tcW w:w="570" w:type="pct"/>
                  <w:vMerge w:val="restart"/>
                  <w:noWrap w:val="0"/>
                  <w:vAlign w:val="center"/>
                </w:tcPr>
                <w:p w14:paraId="37347F66">
                  <w:pPr>
                    <w:widowControl/>
                    <w:adjustRightInd w:val="0"/>
                    <w:snapToGrid w:val="0"/>
                    <w:jc w:val="center"/>
                    <w:rPr>
                      <w:color w:val="auto"/>
                      <w:kern w:val="0"/>
                      <w:szCs w:val="21"/>
                      <w:highlight w:val="none"/>
                    </w:rPr>
                  </w:pPr>
                  <w:r>
                    <w:rPr>
                      <w:color w:val="auto"/>
                      <w:kern w:val="0"/>
                      <w:szCs w:val="21"/>
                      <w:highlight w:val="none"/>
                    </w:rPr>
                    <w:t>间断排放，排放期间流量不稳定，但有规律，且不属于非周期性规律</w:t>
                  </w:r>
                </w:p>
              </w:tc>
              <w:tc>
                <w:tcPr>
                  <w:tcW w:w="274" w:type="pct"/>
                  <w:vMerge w:val="restart"/>
                  <w:noWrap w:val="0"/>
                  <w:vAlign w:val="center"/>
                </w:tcPr>
                <w:p w14:paraId="66BCD461">
                  <w:pPr>
                    <w:widowControl/>
                    <w:adjustRightInd w:val="0"/>
                    <w:snapToGrid w:val="0"/>
                    <w:jc w:val="center"/>
                    <w:rPr>
                      <w:rFonts w:hint="eastAsia" w:eastAsia="宋体"/>
                      <w:color w:val="auto"/>
                      <w:kern w:val="0"/>
                      <w:szCs w:val="21"/>
                      <w:highlight w:val="none"/>
                      <w:lang w:eastAsia="zh-CN"/>
                    </w:rPr>
                  </w:pPr>
                  <w:r>
                    <w:rPr>
                      <w:rFonts w:hint="eastAsia"/>
                      <w:color w:val="auto"/>
                      <w:kern w:val="0"/>
                      <w:szCs w:val="21"/>
                      <w:highlight w:val="none"/>
                      <w:lang w:val="en-US" w:eastAsia="zh-CN"/>
                    </w:rPr>
                    <w:t>/</w:t>
                  </w:r>
                </w:p>
              </w:tc>
              <w:tc>
                <w:tcPr>
                  <w:tcW w:w="274" w:type="pct"/>
                  <w:vMerge w:val="restart"/>
                  <w:noWrap w:val="0"/>
                  <w:vAlign w:val="center"/>
                </w:tcPr>
                <w:p w14:paraId="2E2E4946">
                  <w:pPr>
                    <w:widowControl/>
                    <w:adjustRightInd w:val="0"/>
                    <w:snapToGrid w:val="0"/>
                    <w:jc w:val="center"/>
                    <w:rPr>
                      <w:color w:val="auto"/>
                      <w:kern w:val="0"/>
                      <w:szCs w:val="21"/>
                      <w:highlight w:val="none"/>
                    </w:rPr>
                  </w:pPr>
                  <w:r>
                    <w:rPr>
                      <w:rFonts w:hint="eastAsia" w:cs="Times New Roman"/>
                      <w:caps w:val="0"/>
                      <w:smallCaps w:val="0"/>
                      <w:color w:val="auto"/>
                      <w:spacing w:val="0"/>
                      <w:sz w:val="21"/>
                      <w:szCs w:val="21"/>
                      <w:highlight w:val="none"/>
                      <w:lang w:eastAsia="zh-CN"/>
                    </w:rPr>
                    <w:t>句容市郭庄污水处理有限公司</w:t>
                  </w:r>
                </w:p>
              </w:tc>
              <w:tc>
                <w:tcPr>
                  <w:tcW w:w="380" w:type="pct"/>
                  <w:noWrap w:val="0"/>
                  <w:vAlign w:val="center"/>
                </w:tcPr>
                <w:p w14:paraId="55A63C32">
                  <w:pPr>
                    <w:widowControl/>
                    <w:adjustRightInd w:val="0"/>
                    <w:snapToGrid w:val="0"/>
                    <w:jc w:val="center"/>
                    <w:rPr>
                      <w:color w:val="auto"/>
                      <w:kern w:val="0"/>
                      <w:szCs w:val="21"/>
                      <w:highlight w:val="none"/>
                    </w:rPr>
                  </w:pPr>
                  <w:r>
                    <w:rPr>
                      <w:color w:val="auto"/>
                      <w:kern w:val="0"/>
                      <w:szCs w:val="21"/>
                      <w:highlight w:val="none"/>
                    </w:rPr>
                    <w:t>COD</w:t>
                  </w:r>
                </w:p>
              </w:tc>
              <w:tc>
                <w:tcPr>
                  <w:tcW w:w="1108" w:type="dxa"/>
                  <w:noWrap w:val="0"/>
                  <w:vAlign w:val="center"/>
                </w:tcPr>
                <w:p w14:paraId="6F153AFF">
                  <w:pPr>
                    <w:adjustRightInd w:val="0"/>
                    <w:snapToGrid w:val="0"/>
                    <w:spacing w:line="240" w:lineRule="auto"/>
                    <w:ind w:firstLine="0" w:firstLineChars="0"/>
                    <w:jc w:val="center"/>
                    <w:rPr>
                      <w:color w:val="auto"/>
                      <w:kern w:val="0"/>
                      <w:szCs w:val="21"/>
                      <w:highlight w:val="none"/>
                    </w:rPr>
                  </w:pPr>
                  <w:r>
                    <w:rPr>
                      <w:rFonts w:hint="eastAsia"/>
                      <w:color w:val="auto"/>
                      <w:sz w:val="21"/>
                      <w:szCs w:val="21"/>
                      <w:highlight w:val="none"/>
                    </w:rPr>
                    <w:t>50</w:t>
                  </w:r>
                </w:p>
              </w:tc>
            </w:tr>
            <w:tr w14:paraId="24F6D7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156" w:type="pct"/>
                  <w:vMerge w:val="continue"/>
                  <w:noWrap w:val="0"/>
                  <w:vAlign w:val="center"/>
                </w:tcPr>
                <w:p w14:paraId="36A8CF8E">
                  <w:pPr>
                    <w:widowControl/>
                    <w:adjustRightInd w:val="0"/>
                    <w:snapToGrid w:val="0"/>
                    <w:jc w:val="center"/>
                    <w:rPr>
                      <w:color w:val="auto"/>
                      <w:kern w:val="0"/>
                      <w:szCs w:val="21"/>
                      <w:highlight w:val="none"/>
                    </w:rPr>
                  </w:pPr>
                </w:p>
              </w:tc>
              <w:tc>
                <w:tcPr>
                  <w:tcW w:w="471" w:type="pct"/>
                  <w:vMerge w:val="continue"/>
                  <w:noWrap w:val="0"/>
                  <w:vAlign w:val="center"/>
                </w:tcPr>
                <w:p w14:paraId="684EB971">
                  <w:pPr>
                    <w:widowControl/>
                    <w:adjustRightInd w:val="0"/>
                    <w:snapToGrid w:val="0"/>
                    <w:jc w:val="center"/>
                    <w:rPr>
                      <w:color w:val="auto"/>
                      <w:kern w:val="0"/>
                      <w:szCs w:val="21"/>
                      <w:highlight w:val="none"/>
                    </w:rPr>
                  </w:pPr>
                </w:p>
              </w:tc>
              <w:tc>
                <w:tcPr>
                  <w:tcW w:w="808" w:type="pct"/>
                  <w:vMerge w:val="continue"/>
                  <w:noWrap w:val="0"/>
                  <w:vAlign w:val="center"/>
                </w:tcPr>
                <w:p w14:paraId="7AB0AB84">
                  <w:pPr>
                    <w:widowControl/>
                    <w:adjustRightInd w:val="0"/>
                    <w:snapToGrid w:val="0"/>
                    <w:jc w:val="center"/>
                    <w:rPr>
                      <w:color w:val="auto"/>
                      <w:szCs w:val="21"/>
                      <w:highlight w:val="none"/>
                    </w:rPr>
                  </w:pPr>
                </w:p>
              </w:tc>
              <w:tc>
                <w:tcPr>
                  <w:tcW w:w="721" w:type="pct"/>
                  <w:vMerge w:val="continue"/>
                  <w:noWrap w:val="0"/>
                  <w:vAlign w:val="center"/>
                </w:tcPr>
                <w:p w14:paraId="157AC9F4">
                  <w:pPr>
                    <w:widowControl/>
                    <w:adjustRightInd w:val="0"/>
                    <w:snapToGrid w:val="0"/>
                    <w:jc w:val="center"/>
                    <w:rPr>
                      <w:color w:val="auto"/>
                      <w:szCs w:val="21"/>
                      <w:highlight w:val="none"/>
                    </w:rPr>
                  </w:pPr>
                </w:p>
              </w:tc>
              <w:tc>
                <w:tcPr>
                  <w:tcW w:w="377" w:type="pct"/>
                  <w:vMerge w:val="continue"/>
                  <w:noWrap w:val="0"/>
                  <w:vAlign w:val="center"/>
                </w:tcPr>
                <w:p w14:paraId="2852388F">
                  <w:pPr>
                    <w:widowControl/>
                    <w:adjustRightInd w:val="0"/>
                    <w:snapToGrid w:val="0"/>
                    <w:jc w:val="center"/>
                    <w:rPr>
                      <w:color w:val="auto"/>
                      <w:szCs w:val="21"/>
                      <w:highlight w:val="none"/>
                    </w:rPr>
                  </w:pPr>
                </w:p>
              </w:tc>
              <w:tc>
                <w:tcPr>
                  <w:tcW w:w="280" w:type="pct"/>
                  <w:vMerge w:val="continue"/>
                  <w:noWrap w:val="0"/>
                  <w:vAlign w:val="center"/>
                </w:tcPr>
                <w:p w14:paraId="543E418B">
                  <w:pPr>
                    <w:widowControl/>
                    <w:adjustRightInd w:val="0"/>
                    <w:snapToGrid w:val="0"/>
                    <w:jc w:val="center"/>
                    <w:rPr>
                      <w:color w:val="auto"/>
                      <w:kern w:val="0"/>
                      <w:szCs w:val="21"/>
                      <w:highlight w:val="none"/>
                    </w:rPr>
                  </w:pPr>
                </w:p>
              </w:tc>
              <w:tc>
                <w:tcPr>
                  <w:tcW w:w="570" w:type="pct"/>
                  <w:vMerge w:val="continue"/>
                  <w:noWrap w:val="0"/>
                  <w:vAlign w:val="center"/>
                </w:tcPr>
                <w:p w14:paraId="6F1BD43A">
                  <w:pPr>
                    <w:widowControl/>
                    <w:adjustRightInd w:val="0"/>
                    <w:snapToGrid w:val="0"/>
                    <w:jc w:val="center"/>
                    <w:rPr>
                      <w:color w:val="auto"/>
                      <w:kern w:val="0"/>
                      <w:szCs w:val="21"/>
                      <w:highlight w:val="none"/>
                    </w:rPr>
                  </w:pPr>
                </w:p>
              </w:tc>
              <w:tc>
                <w:tcPr>
                  <w:tcW w:w="274" w:type="pct"/>
                  <w:vMerge w:val="continue"/>
                  <w:noWrap w:val="0"/>
                  <w:vAlign w:val="center"/>
                </w:tcPr>
                <w:p w14:paraId="68FD11EB">
                  <w:pPr>
                    <w:widowControl/>
                    <w:adjustRightInd w:val="0"/>
                    <w:snapToGrid w:val="0"/>
                    <w:jc w:val="center"/>
                    <w:rPr>
                      <w:color w:val="auto"/>
                      <w:kern w:val="0"/>
                      <w:szCs w:val="21"/>
                      <w:highlight w:val="none"/>
                    </w:rPr>
                  </w:pPr>
                </w:p>
              </w:tc>
              <w:tc>
                <w:tcPr>
                  <w:tcW w:w="274" w:type="pct"/>
                  <w:vMerge w:val="continue"/>
                  <w:noWrap w:val="0"/>
                  <w:vAlign w:val="center"/>
                </w:tcPr>
                <w:p w14:paraId="5E28D811">
                  <w:pPr>
                    <w:widowControl/>
                    <w:adjustRightInd w:val="0"/>
                    <w:snapToGrid w:val="0"/>
                    <w:jc w:val="center"/>
                    <w:rPr>
                      <w:color w:val="auto"/>
                      <w:kern w:val="0"/>
                      <w:szCs w:val="21"/>
                      <w:highlight w:val="none"/>
                    </w:rPr>
                  </w:pPr>
                </w:p>
              </w:tc>
              <w:tc>
                <w:tcPr>
                  <w:tcW w:w="380" w:type="pct"/>
                  <w:noWrap w:val="0"/>
                  <w:vAlign w:val="center"/>
                </w:tcPr>
                <w:p w14:paraId="5001C59D">
                  <w:pPr>
                    <w:widowControl/>
                    <w:adjustRightInd w:val="0"/>
                    <w:snapToGrid w:val="0"/>
                    <w:jc w:val="center"/>
                    <w:rPr>
                      <w:color w:val="auto"/>
                      <w:kern w:val="0"/>
                      <w:szCs w:val="21"/>
                      <w:highlight w:val="none"/>
                    </w:rPr>
                  </w:pPr>
                  <w:r>
                    <w:rPr>
                      <w:color w:val="auto"/>
                      <w:kern w:val="0"/>
                      <w:szCs w:val="21"/>
                      <w:highlight w:val="none"/>
                    </w:rPr>
                    <w:t>SS</w:t>
                  </w:r>
                </w:p>
              </w:tc>
              <w:tc>
                <w:tcPr>
                  <w:tcW w:w="1108" w:type="dxa"/>
                  <w:noWrap w:val="0"/>
                  <w:vAlign w:val="center"/>
                </w:tcPr>
                <w:p w14:paraId="11249E0D">
                  <w:pPr>
                    <w:adjustRightInd w:val="0"/>
                    <w:snapToGrid w:val="0"/>
                    <w:spacing w:line="240" w:lineRule="auto"/>
                    <w:ind w:firstLine="0" w:firstLineChars="0"/>
                    <w:jc w:val="center"/>
                    <w:rPr>
                      <w:color w:val="auto"/>
                      <w:kern w:val="0"/>
                      <w:szCs w:val="21"/>
                      <w:highlight w:val="none"/>
                    </w:rPr>
                  </w:pPr>
                  <w:r>
                    <w:rPr>
                      <w:rFonts w:hint="eastAsia"/>
                      <w:color w:val="auto"/>
                      <w:sz w:val="21"/>
                      <w:szCs w:val="21"/>
                      <w:highlight w:val="none"/>
                    </w:rPr>
                    <w:t>10</w:t>
                  </w:r>
                </w:p>
              </w:tc>
            </w:tr>
            <w:tr w14:paraId="31707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156" w:type="pct"/>
                  <w:vMerge w:val="continue"/>
                  <w:noWrap w:val="0"/>
                  <w:vAlign w:val="center"/>
                </w:tcPr>
                <w:p w14:paraId="00A8D1E5">
                  <w:pPr>
                    <w:widowControl/>
                    <w:adjustRightInd w:val="0"/>
                    <w:snapToGrid w:val="0"/>
                    <w:jc w:val="center"/>
                    <w:rPr>
                      <w:color w:val="auto"/>
                      <w:kern w:val="0"/>
                      <w:szCs w:val="21"/>
                      <w:highlight w:val="none"/>
                    </w:rPr>
                  </w:pPr>
                </w:p>
              </w:tc>
              <w:tc>
                <w:tcPr>
                  <w:tcW w:w="471" w:type="pct"/>
                  <w:vMerge w:val="continue"/>
                  <w:noWrap w:val="0"/>
                  <w:vAlign w:val="center"/>
                </w:tcPr>
                <w:p w14:paraId="3882842B">
                  <w:pPr>
                    <w:widowControl/>
                    <w:adjustRightInd w:val="0"/>
                    <w:snapToGrid w:val="0"/>
                    <w:jc w:val="center"/>
                    <w:rPr>
                      <w:color w:val="auto"/>
                      <w:kern w:val="0"/>
                      <w:szCs w:val="21"/>
                      <w:highlight w:val="none"/>
                    </w:rPr>
                  </w:pPr>
                </w:p>
              </w:tc>
              <w:tc>
                <w:tcPr>
                  <w:tcW w:w="808" w:type="pct"/>
                  <w:vMerge w:val="continue"/>
                  <w:noWrap w:val="0"/>
                  <w:vAlign w:val="center"/>
                </w:tcPr>
                <w:p w14:paraId="7A042579">
                  <w:pPr>
                    <w:widowControl/>
                    <w:adjustRightInd w:val="0"/>
                    <w:snapToGrid w:val="0"/>
                    <w:jc w:val="center"/>
                    <w:rPr>
                      <w:color w:val="auto"/>
                      <w:kern w:val="0"/>
                      <w:szCs w:val="21"/>
                      <w:highlight w:val="none"/>
                    </w:rPr>
                  </w:pPr>
                </w:p>
              </w:tc>
              <w:tc>
                <w:tcPr>
                  <w:tcW w:w="721" w:type="pct"/>
                  <w:vMerge w:val="continue"/>
                  <w:noWrap w:val="0"/>
                  <w:vAlign w:val="center"/>
                </w:tcPr>
                <w:p w14:paraId="5D47C0BD">
                  <w:pPr>
                    <w:widowControl/>
                    <w:adjustRightInd w:val="0"/>
                    <w:snapToGrid w:val="0"/>
                    <w:jc w:val="center"/>
                    <w:rPr>
                      <w:color w:val="auto"/>
                      <w:kern w:val="0"/>
                      <w:szCs w:val="21"/>
                      <w:highlight w:val="none"/>
                    </w:rPr>
                  </w:pPr>
                </w:p>
              </w:tc>
              <w:tc>
                <w:tcPr>
                  <w:tcW w:w="377" w:type="pct"/>
                  <w:vMerge w:val="continue"/>
                  <w:noWrap w:val="0"/>
                  <w:vAlign w:val="center"/>
                </w:tcPr>
                <w:p w14:paraId="72CEF3D3">
                  <w:pPr>
                    <w:widowControl/>
                    <w:adjustRightInd w:val="0"/>
                    <w:snapToGrid w:val="0"/>
                    <w:jc w:val="center"/>
                    <w:rPr>
                      <w:color w:val="auto"/>
                      <w:kern w:val="0"/>
                      <w:szCs w:val="21"/>
                      <w:highlight w:val="none"/>
                    </w:rPr>
                  </w:pPr>
                </w:p>
              </w:tc>
              <w:tc>
                <w:tcPr>
                  <w:tcW w:w="280" w:type="pct"/>
                  <w:vMerge w:val="continue"/>
                  <w:noWrap w:val="0"/>
                  <w:vAlign w:val="center"/>
                </w:tcPr>
                <w:p w14:paraId="3ABFFD8E">
                  <w:pPr>
                    <w:widowControl/>
                    <w:adjustRightInd w:val="0"/>
                    <w:snapToGrid w:val="0"/>
                    <w:jc w:val="center"/>
                    <w:rPr>
                      <w:color w:val="auto"/>
                      <w:kern w:val="0"/>
                      <w:szCs w:val="21"/>
                      <w:highlight w:val="none"/>
                    </w:rPr>
                  </w:pPr>
                </w:p>
              </w:tc>
              <w:tc>
                <w:tcPr>
                  <w:tcW w:w="570" w:type="pct"/>
                  <w:vMerge w:val="continue"/>
                  <w:noWrap w:val="0"/>
                  <w:vAlign w:val="center"/>
                </w:tcPr>
                <w:p w14:paraId="79989683">
                  <w:pPr>
                    <w:widowControl/>
                    <w:adjustRightInd w:val="0"/>
                    <w:snapToGrid w:val="0"/>
                    <w:jc w:val="center"/>
                    <w:rPr>
                      <w:color w:val="auto"/>
                      <w:kern w:val="0"/>
                      <w:szCs w:val="21"/>
                      <w:highlight w:val="none"/>
                    </w:rPr>
                  </w:pPr>
                </w:p>
              </w:tc>
              <w:tc>
                <w:tcPr>
                  <w:tcW w:w="274" w:type="pct"/>
                  <w:vMerge w:val="continue"/>
                  <w:noWrap w:val="0"/>
                  <w:vAlign w:val="center"/>
                </w:tcPr>
                <w:p w14:paraId="5110E673">
                  <w:pPr>
                    <w:widowControl/>
                    <w:adjustRightInd w:val="0"/>
                    <w:snapToGrid w:val="0"/>
                    <w:jc w:val="center"/>
                    <w:rPr>
                      <w:color w:val="auto"/>
                      <w:kern w:val="0"/>
                      <w:szCs w:val="21"/>
                      <w:highlight w:val="none"/>
                    </w:rPr>
                  </w:pPr>
                </w:p>
              </w:tc>
              <w:tc>
                <w:tcPr>
                  <w:tcW w:w="274" w:type="pct"/>
                  <w:vMerge w:val="continue"/>
                  <w:noWrap w:val="0"/>
                  <w:vAlign w:val="center"/>
                </w:tcPr>
                <w:p w14:paraId="16C65DF6">
                  <w:pPr>
                    <w:widowControl/>
                    <w:adjustRightInd w:val="0"/>
                    <w:snapToGrid w:val="0"/>
                    <w:jc w:val="center"/>
                    <w:rPr>
                      <w:color w:val="auto"/>
                      <w:kern w:val="0"/>
                      <w:szCs w:val="21"/>
                      <w:highlight w:val="none"/>
                    </w:rPr>
                  </w:pPr>
                </w:p>
              </w:tc>
              <w:tc>
                <w:tcPr>
                  <w:tcW w:w="380" w:type="pct"/>
                  <w:noWrap w:val="0"/>
                  <w:vAlign w:val="center"/>
                </w:tcPr>
                <w:p w14:paraId="12916C5E">
                  <w:pPr>
                    <w:widowControl/>
                    <w:adjustRightInd w:val="0"/>
                    <w:snapToGrid w:val="0"/>
                    <w:jc w:val="center"/>
                    <w:rPr>
                      <w:color w:val="auto"/>
                      <w:kern w:val="0"/>
                      <w:szCs w:val="21"/>
                      <w:highlight w:val="none"/>
                    </w:rPr>
                  </w:pPr>
                  <w:r>
                    <w:rPr>
                      <w:color w:val="auto"/>
                      <w:kern w:val="0"/>
                      <w:szCs w:val="21"/>
                      <w:highlight w:val="none"/>
                    </w:rPr>
                    <w:t>NH</w:t>
                  </w:r>
                  <w:r>
                    <w:rPr>
                      <w:color w:val="auto"/>
                      <w:kern w:val="0"/>
                      <w:szCs w:val="21"/>
                      <w:highlight w:val="none"/>
                      <w:vertAlign w:val="subscript"/>
                    </w:rPr>
                    <w:t>3</w:t>
                  </w:r>
                  <w:r>
                    <w:rPr>
                      <w:color w:val="auto"/>
                      <w:kern w:val="0"/>
                      <w:szCs w:val="21"/>
                      <w:highlight w:val="none"/>
                    </w:rPr>
                    <w:t>-N</w:t>
                  </w:r>
                </w:p>
              </w:tc>
              <w:tc>
                <w:tcPr>
                  <w:tcW w:w="1108" w:type="dxa"/>
                  <w:noWrap w:val="0"/>
                  <w:vAlign w:val="center"/>
                </w:tcPr>
                <w:p w14:paraId="1A798B1A">
                  <w:pPr>
                    <w:adjustRightInd w:val="0"/>
                    <w:snapToGrid w:val="0"/>
                    <w:spacing w:line="240" w:lineRule="auto"/>
                    <w:ind w:firstLine="0" w:firstLineChars="0"/>
                    <w:jc w:val="center"/>
                    <w:rPr>
                      <w:color w:val="auto"/>
                      <w:kern w:val="0"/>
                      <w:szCs w:val="21"/>
                      <w:highlight w:val="none"/>
                    </w:rPr>
                  </w:pPr>
                  <w:r>
                    <w:rPr>
                      <w:rFonts w:hint="eastAsia"/>
                      <w:color w:val="auto"/>
                      <w:sz w:val="21"/>
                      <w:szCs w:val="21"/>
                      <w:highlight w:val="none"/>
                    </w:rPr>
                    <w:t>5</w:t>
                  </w:r>
                </w:p>
              </w:tc>
            </w:tr>
            <w:tr w14:paraId="76AFD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156" w:type="pct"/>
                  <w:vMerge w:val="continue"/>
                  <w:noWrap w:val="0"/>
                  <w:vAlign w:val="center"/>
                </w:tcPr>
                <w:p w14:paraId="02B1C401">
                  <w:pPr>
                    <w:widowControl/>
                    <w:adjustRightInd w:val="0"/>
                    <w:snapToGrid w:val="0"/>
                    <w:jc w:val="center"/>
                    <w:rPr>
                      <w:color w:val="auto"/>
                      <w:kern w:val="0"/>
                      <w:szCs w:val="21"/>
                      <w:highlight w:val="none"/>
                    </w:rPr>
                  </w:pPr>
                </w:p>
              </w:tc>
              <w:tc>
                <w:tcPr>
                  <w:tcW w:w="471" w:type="pct"/>
                  <w:vMerge w:val="continue"/>
                  <w:noWrap w:val="0"/>
                  <w:vAlign w:val="center"/>
                </w:tcPr>
                <w:p w14:paraId="7F94A36B">
                  <w:pPr>
                    <w:widowControl/>
                    <w:adjustRightInd w:val="0"/>
                    <w:snapToGrid w:val="0"/>
                    <w:jc w:val="center"/>
                    <w:rPr>
                      <w:color w:val="auto"/>
                      <w:kern w:val="0"/>
                      <w:szCs w:val="21"/>
                      <w:highlight w:val="none"/>
                    </w:rPr>
                  </w:pPr>
                </w:p>
              </w:tc>
              <w:tc>
                <w:tcPr>
                  <w:tcW w:w="808" w:type="pct"/>
                  <w:vMerge w:val="continue"/>
                  <w:noWrap w:val="0"/>
                  <w:vAlign w:val="center"/>
                </w:tcPr>
                <w:p w14:paraId="6E7F9059">
                  <w:pPr>
                    <w:widowControl/>
                    <w:adjustRightInd w:val="0"/>
                    <w:snapToGrid w:val="0"/>
                    <w:jc w:val="center"/>
                    <w:rPr>
                      <w:color w:val="auto"/>
                      <w:kern w:val="0"/>
                      <w:szCs w:val="21"/>
                      <w:highlight w:val="none"/>
                    </w:rPr>
                  </w:pPr>
                </w:p>
              </w:tc>
              <w:tc>
                <w:tcPr>
                  <w:tcW w:w="721" w:type="pct"/>
                  <w:vMerge w:val="continue"/>
                  <w:noWrap w:val="0"/>
                  <w:vAlign w:val="center"/>
                </w:tcPr>
                <w:p w14:paraId="6BC9814D">
                  <w:pPr>
                    <w:widowControl/>
                    <w:adjustRightInd w:val="0"/>
                    <w:snapToGrid w:val="0"/>
                    <w:jc w:val="center"/>
                    <w:rPr>
                      <w:color w:val="auto"/>
                      <w:kern w:val="0"/>
                      <w:szCs w:val="21"/>
                      <w:highlight w:val="none"/>
                    </w:rPr>
                  </w:pPr>
                </w:p>
              </w:tc>
              <w:tc>
                <w:tcPr>
                  <w:tcW w:w="377" w:type="pct"/>
                  <w:vMerge w:val="continue"/>
                  <w:noWrap w:val="0"/>
                  <w:vAlign w:val="center"/>
                </w:tcPr>
                <w:p w14:paraId="16A27B23">
                  <w:pPr>
                    <w:widowControl/>
                    <w:adjustRightInd w:val="0"/>
                    <w:snapToGrid w:val="0"/>
                    <w:jc w:val="center"/>
                    <w:rPr>
                      <w:color w:val="auto"/>
                      <w:kern w:val="0"/>
                      <w:szCs w:val="21"/>
                      <w:highlight w:val="none"/>
                    </w:rPr>
                  </w:pPr>
                </w:p>
              </w:tc>
              <w:tc>
                <w:tcPr>
                  <w:tcW w:w="280" w:type="pct"/>
                  <w:vMerge w:val="continue"/>
                  <w:noWrap w:val="0"/>
                  <w:vAlign w:val="center"/>
                </w:tcPr>
                <w:p w14:paraId="33866897">
                  <w:pPr>
                    <w:widowControl/>
                    <w:adjustRightInd w:val="0"/>
                    <w:snapToGrid w:val="0"/>
                    <w:jc w:val="center"/>
                    <w:rPr>
                      <w:color w:val="auto"/>
                      <w:kern w:val="0"/>
                      <w:szCs w:val="21"/>
                      <w:highlight w:val="none"/>
                    </w:rPr>
                  </w:pPr>
                </w:p>
              </w:tc>
              <w:tc>
                <w:tcPr>
                  <w:tcW w:w="570" w:type="pct"/>
                  <w:vMerge w:val="continue"/>
                  <w:noWrap w:val="0"/>
                  <w:vAlign w:val="center"/>
                </w:tcPr>
                <w:p w14:paraId="3F28D14A">
                  <w:pPr>
                    <w:widowControl/>
                    <w:adjustRightInd w:val="0"/>
                    <w:snapToGrid w:val="0"/>
                    <w:jc w:val="center"/>
                    <w:rPr>
                      <w:color w:val="auto"/>
                      <w:kern w:val="0"/>
                      <w:szCs w:val="21"/>
                      <w:highlight w:val="none"/>
                    </w:rPr>
                  </w:pPr>
                </w:p>
              </w:tc>
              <w:tc>
                <w:tcPr>
                  <w:tcW w:w="274" w:type="pct"/>
                  <w:vMerge w:val="continue"/>
                  <w:noWrap w:val="0"/>
                  <w:vAlign w:val="center"/>
                </w:tcPr>
                <w:p w14:paraId="5A39CEEE">
                  <w:pPr>
                    <w:widowControl/>
                    <w:adjustRightInd w:val="0"/>
                    <w:snapToGrid w:val="0"/>
                    <w:jc w:val="center"/>
                    <w:rPr>
                      <w:color w:val="auto"/>
                      <w:kern w:val="0"/>
                      <w:szCs w:val="21"/>
                      <w:highlight w:val="none"/>
                    </w:rPr>
                  </w:pPr>
                </w:p>
              </w:tc>
              <w:tc>
                <w:tcPr>
                  <w:tcW w:w="274" w:type="pct"/>
                  <w:vMerge w:val="continue"/>
                  <w:noWrap w:val="0"/>
                  <w:vAlign w:val="center"/>
                </w:tcPr>
                <w:p w14:paraId="7F2B0955">
                  <w:pPr>
                    <w:widowControl/>
                    <w:adjustRightInd w:val="0"/>
                    <w:snapToGrid w:val="0"/>
                    <w:jc w:val="center"/>
                    <w:rPr>
                      <w:color w:val="auto"/>
                      <w:kern w:val="0"/>
                      <w:szCs w:val="21"/>
                      <w:highlight w:val="none"/>
                    </w:rPr>
                  </w:pPr>
                </w:p>
              </w:tc>
              <w:tc>
                <w:tcPr>
                  <w:tcW w:w="380" w:type="pct"/>
                  <w:noWrap w:val="0"/>
                  <w:vAlign w:val="center"/>
                </w:tcPr>
                <w:p w14:paraId="3CB4ACF1">
                  <w:pPr>
                    <w:widowControl/>
                    <w:adjustRightInd w:val="0"/>
                    <w:snapToGrid w:val="0"/>
                    <w:jc w:val="center"/>
                    <w:rPr>
                      <w:rFonts w:hint="eastAsia" w:eastAsia="宋体"/>
                      <w:color w:val="auto"/>
                      <w:kern w:val="0"/>
                      <w:szCs w:val="21"/>
                      <w:highlight w:val="none"/>
                      <w:lang w:eastAsia="zh-CN"/>
                    </w:rPr>
                  </w:pPr>
                  <w:r>
                    <w:rPr>
                      <w:color w:val="auto"/>
                      <w:kern w:val="0"/>
                      <w:szCs w:val="21"/>
                      <w:highlight w:val="none"/>
                    </w:rPr>
                    <w:t>T</w:t>
                  </w:r>
                  <w:r>
                    <w:rPr>
                      <w:rFonts w:hint="eastAsia"/>
                      <w:color w:val="auto"/>
                      <w:kern w:val="0"/>
                      <w:szCs w:val="21"/>
                      <w:highlight w:val="none"/>
                      <w:lang w:val="en-US" w:eastAsia="zh-CN"/>
                    </w:rPr>
                    <w:t>P</w:t>
                  </w:r>
                </w:p>
              </w:tc>
              <w:tc>
                <w:tcPr>
                  <w:tcW w:w="1108" w:type="dxa"/>
                  <w:noWrap w:val="0"/>
                  <w:vAlign w:val="center"/>
                </w:tcPr>
                <w:p w14:paraId="43109F08">
                  <w:pPr>
                    <w:adjustRightInd w:val="0"/>
                    <w:snapToGrid w:val="0"/>
                    <w:spacing w:line="240" w:lineRule="auto"/>
                    <w:ind w:firstLine="0" w:firstLineChars="0"/>
                    <w:jc w:val="center"/>
                    <w:rPr>
                      <w:color w:val="auto"/>
                      <w:kern w:val="0"/>
                      <w:szCs w:val="21"/>
                      <w:highlight w:val="none"/>
                    </w:rPr>
                  </w:pPr>
                  <w:r>
                    <w:rPr>
                      <w:rFonts w:hint="eastAsia"/>
                      <w:color w:val="auto"/>
                      <w:sz w:val="21"/>
                      <w:szCs w:val="21"/>
                      <w:highlight w:val="none"/>
                    </w:rPr>
                    <w:t>0.5</w:t>
                  </w:r>
                </w:p>
              </w:tc>
            </w:tr>
            <w:tr w14:paraId="7AE94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37" w:hRule="atLeast"/>
              </w:trPr>
              <w:tc>
                <w:tcPr>
                  <w:tcW w:w="156" w:type="pct"/>
                  <w:vMerge w:val="continue"/>
                  <w:noWrap w:val="0"/>
                  <w:vAlign w:val="center"/>
                </w:tcPr>
                <w:p w14:paraId="459B1BCB">
                  <w:pPr>
                    <w:widowControl/>
                    <w:adjustRightInd w:val="0"/>
                    <w:snapToGrid w:val="0"/>
                    <w:jc w:val="center"/>
                    <w:rPr>
                      <w:color w:val="auto"/>
                      <w:kern w:val="0"/>
                      <w:szCs w:val="21"/>
                      <w:highlight w:val="none"/>
                    </w:rPr>
                  </w:pPr>
                </w:p>
              </w:tc>
              <w:tc>
                <w:tcPr>
                  <w:tcW w:w="471" w:type="pct"/>
                  <w:vMerge w:val="continue"/>
                  <w:noWrap w:val="0"/>
                  <w:vAlign w:val="center"/>
                </w:tcPr>
                <w:p w14:paraId="34E75C38">
                  <w:pPr>
                    <w:widowControl/>
                    <w:adjustRightInd w:val="0"/>
                    <w:snapToGrid w:val="0"/>
                    <w:jc w:val="center"/>
                    <w:rPr>
                      <w:color w:val="auto"/>
                      <w:kern w:val="0"/>
                      <w:szCs w:val="21"/>
                      <w:highlight w:val="none"/>
                    </w:rPr>
                  </w:pPr>
                </w:p>
              </w:tc>
              <w:tc>
                <w:tcPr>
                  <w:tcW w:w="808" w:type="pct"/>
                  <w:vMerge w:val="continue"/>
                  <w:noWrap w:val="0"/>
                  <w:vAlign w:val="center"/>
                </w:tcPr>
                <w:p w14:paraId="20A9EE71">
                  <w:pPr>
                    <w:widowControl/>
                    <w:adjustRightInd w:val="0"/>
                    <w:snapToGrid w:val="0"/>
                    <w:jc w:val="center"/>
                    <w:rPr>
                      <w:color w:val="auto"/>
                      <w:kern w:val="0"/>
                      <w:szCs w:val="21"/>
                      <w:highlight w:val="none"/>
                    </w:rPr>
                  </w:pPr>
                </w:p>
              </w:tc>
              <w:tc>
                <w:tcPr>
                  <w:tcW w:w="721" w:type="pct"/>
                  <w:vMerge w:val="continue"/>
                  <w:noWrap w:val="0"/>
                  <w:vAlign w:val="center"/>
                </w:tcPr>
                <w:p w14:paraId="3B403591">
                  <w:pPr>
                    <w:widowControl/>
                    <w:adjustRightInd w:val="0"/>
                    <w:snapToGrid w:val="0"/>
                    <w:jc w:val="center"/>
                    <w:rPr>
                      <w:color w:val="auto"/>
                      <w:kern w:val="0"/>
                      <w:szCs w:val="21"/>
                      <w:highlight w:val="none"/>
                    </w:rPr>
                  </w:pPr>
                </w:p>
              </w:tc>
              <w:tc>
                <w:tcPr>
                  <w:tcW w:w="377" w:type="pct"/>
                  <w:vMerge w:val="continue"/>
                  <w:noWrap w:val="0"/>
                  <w:vAlign w:val="center"/>
                </w:tcPr>
                <w:p w14:paraId="1645F310">
                  <w:pPr>
                    <w:widowControl/>
                    <w:adjustRightInd w:val="0"/>
                    <w:snapToGrid w:val="0"/>
                    <w:jc w:val="center"/>
                    <w:rPr>
                      <w:color w:val="auto"/>
                      <w:kern w:val="0"/>
                      <w:szCs w:val="21"/>
                      <w:highlight w:val="none"/>
                    </w:rPr>
                  </w:pPr>
                </w:p>
              </w:tc>
              <w:tc>
                <w:tcPr>
                  <w:tcW w:w="280" w:type="pct"/>
                  <w:vMerge w:val="continue"/>
                  <w:noWrap w:val="0"/>
                  <w:vAlign w:val="center"/>
                </w:tcPr>
                <w:p w14:paraId="5A2BFCB0">
                  <w:pPr>
                    <w:widowControl/>
                    <w:adjustRightInd w:val="0"/>
                    <w:snapToGrid w:val="0"/>
                    <w:jc w:val="center"/>
                    <w:rPr>
                      <w:color w:val="auto"/>
                      <w:kern w:val="0"/>
                      <w:szCs w:val="21"/>
                      <w:highlight w:val="none"/>
                    </w:rPr>
                  </w:pPr>
                </w:p>
              </w:tc>
              <w:tc>
                <w:tcPr>
                  <w:tcW w:w="570" w:type="pct"/>
                  <w:vMerge w:val="continue"/>
                  <w:noWrap w:val="0"/>
                  <w:vAlign w:val="center"/>
                </w:tcPr>
                <w:p w14:paraId="284D56E8">
                  <w:pPr>
                    <w:widowControl/>
                    <w:adjustRightInd w:val="0"/>
                    <w:snapToGrid w:val="0"/>
                    <w:jc w:val="center"/>
                    <w:rPr>
                      <w:color w:val="auto"/>
                      <w:kern w:val="0"/>
                      <w:szCs w:val="21"/>
                      <w:highlight w:val="none"/>
                    </w:rPr>
                  </w:pPr>
                </w:p>
              </w:tc>
              <w:tc>
                <w:tcPr>
                  <w:tcW w:w="274" w:type="pct"/>
                  <w:vMerge w:val="continue"/>
                  <w:noWrap w:val="0"/>
                  <w:vAlign w:val="center"/>
                </w:tcPr>
                <w:p w14:paraId="34CF19E5">
                  <w:pPr>
                    <w:widowControl/>
                    <w:adjustRightInd w:val="0"/>
                    <w:snapToGrid w:val="0"/>
                    <w:jc w:val="center"/>
                    <w:rPr>
                      <w:color w:val="auto"/>
                      <w:kern w:val="0"/>
                      <w:szCs w:val="21"/>
                      <w:highlight w:val="none"/>
                    </w:rPr>
                  </w:pPr>
                </w:p>
              </w:tc>
              <w:tc>
                <w:tcPr>
                  <w:tcW w:w="274" w:type="pct"/>
                  <w:vMerge w:val="continue"/>
                  <w:noWrap w:val="0"/>
                  <w:vAlign w:val="center"/>
                </w:tcPr>
                <w:p w14:paraId="4B5D9EBA">
                  <w:pPr>
                    <w:widowControl/>
                    <w:adjustRightInd w:val="0"/>
                    <w:snapToGrid w:val="0"/>
                    <w:jc w:val="center"/>
                    <w:rPr>
                      <w:color w:val="auto"/>
                      <w:kern w:val="0"/>
                      <w:szCs w:val="21"/>
                      <w:highlight w:val="none"/>
                    </w:rPr>
                  </w:pPr>
                </w:p>
              </w:tc>
              <w:tc>
                <w:tcPr>
                  <w:tcW w:w="380" w:type="pct"/>
                  <w:noWrap w:val="0"/>
                  <w:vAlign w:val="center"/>
                </w:tcPr>
                <w:p w14:paraId="71E604D4">
                  <w:pPr>
                    <w:widowControl/>
                    <w:adjustRightInd w:val="0"/>
                    <w:snapToGrid w:val="0"/>
                    <w:jc w:val="center"/>
                    <w:rPr>
                      <w:rFonts w:hint="eastAsia" w:eastAsia="宋体"/>
                      <w:color w:val="auto"/>
                      <w:kern w:val="0"/>
                      <w:szCs w:val="21"/>
                      <w:highlight w:val="none"/>
                      <w:lang w:eastAsia="zh-CN"/>
                    </w:rPr>
                  </w:pPr>
                  <w:r>
                    <w:rPr>
                      <w:color w:val="auto"/>
                      <w:kern w:val="0"/>
                      <w:szCs w:val="21"/>
                      <w:highlight w:val="none"/>
                    </w:rPr>
                    <w:t>T</w:t>
                  </w:r>
                  <w:r>
                    <w:rPr>
                      <w:rFonts w:hint="eastAsia"/>
                      <w:color w:val="auto"/>
                      <w:kern w:val="0"/>
                      <w:szCs w:val="21"/>
                      <w:highlight w:val="none"/>
                      <w:lang w:val="en-US" w:eastAsia="zh-CN"/>
                    </w:rPr>
                    <w:t>N</w:t>
                  </w:r>
                </w:p>
              </w:tc>
              <w:tc>
                <w:tcPr>
                  <w:tcW w:w="1108" w:type="dxa"/>
                  <w:noWrap w:val="0"/>
                  <w:vAlign w:val="center"/>
                </w:tcPr>
                <w:p w14:paraId="5FD1D18B">
                  <w:pPr>
                    <w:adjustRightInd w:val="0"/>
                    <w:snapToGrid w:val="0"/>
                    <w:spacing w:line="240" w:lineRule="auto"/>
                    <w:ind w:firstLine="0" w:firstLineChars="0"/>
                    <w:jc w:val="center"/>
                    <w:rPr>
                      <w:rFonts w:hint="default" w:eastAsia="仿宋_GB2312"/>
                      <w:color w:val="auto"/>
                      <w:kern w:val="0"/>
                      <w:szCs w:val="21"/>
                      <w:highlight w:val="none"/>
                      <w:lang w:val="en-US" w:eastAsia="zh-CN"/>
                    </w:rPr>
                  </w:pPr>
                  <w:r>
                    <w:rPr>
                      <w:rFonts w:hint="eastAsia"/>
                      <w:color w:val="auto"/>
                      <w:sz w:val="21"/>
                      <w:szCs w:val="21"/>
                      <w:highlight w:val="none"/>
                    </w:rPr>
                    <w:t>15</w:t>
                  </w:r>
                </w:p>
              </w:tc>
            </w:tr>
          </w:tbl>
          <w:p w14:paraId="280E99F1">
            <w:pPr>
              <w:pStyle w:val="103"/>
              <w:bidi w:val="0"/>
              <w:rPr>
                <w:b/>
                <w:bCs/>
                <w:color w:val="auto"/>
                <w:kern w:val="0"/>
                <w:szCs w:val="21"/>
                <w:highlight w:val="none"/>
              </w:rPr>
            </w:pPr>
            <w:r>
              <w:rPr>
                <w:b/>
                <w:bCs/>
                <w:color w:val="auto"/>
                <w:kern w:val="0"/>
                <w:szCs w:val="21"/>
                <w:highlight w:val="none"/>
              </w:rPr>
              <w:t>注：*括号外数值为水温＞12℃时的控制指标，括号内数值为水温≤12℃时的控制指标。</w:t>
            </w:r>
          </w:p>
          <w:p w14:paraId="413B63D6">
            <w:pPr>
              <w:pStyle w:val="4"/>
              <w:pageBreakBefore w:val="0"/>
              <w:numPr>
                <w:ilvl w:val="0"/>
                <w:numId w:val="7"/>
              </w:numPr>
              <w:kinsoku/>
              <w:wordWrap/>
              <w:overflowPunct/>
              <w:topLinePunct w:val="0"/>
              <w:autoSpaceDE/>
              <w:autoSpaceDN/>
              <w:bidi w:val="0"/>
              <w:adjustRightInd/>
              <w:snapToGrid/>
              <w:spacing w:before="0" w:after="0" w:line="360" w:lineRule="auto"/>
              <w:ind w:left="-62" w:leftChars="0" w:firstLine="482" w:firstLineChars="0"/>
              <w:textAlignment w:val="auto"/>
              <w:outlineLvl w:val="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水污染源监测计划</w:t>
            </w:r>
          </w:p>
          <w:p w14:paraId="22927DC7">
            <w:pPr>
              <w:pStyle w:val="8"/>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rPr>
              <w:t>本项目产生的废水为生活污水</w:t>
            </w:r>
            <w:r>
              <w:rPr>
                <w:rFonts w:hint="eastAsia"/>
                <w:color w:val="auto"/>
                <w:sz w:val="24"/>
                <w:szCs w:val="24"/>
                <w:highlight w:val="none"/>
                <w:lang w:val="en-US" w:eastAsia="zh-CN"/>
              </w:rPr>
              <w:t>和清洗废水</w:t>
            </w:r>
            <w:r>
              <w:rPr>
                <w:rFonts w:hint="default" w:ascii="Times New Roman" w:hAnsi="Times New Roman" w:cs="Times New Roman"/>
                <w:color w:val="auto"/>
                <w:sz w:val="24"/>
                <w:highlight w:val="none"/>
                <w:lang w:val="en-US"/>
              </w:rPr>
              <w:t xml:space="preserve">，间接排放，企业非重点排污单位，根据《排污单位自行监测技术指南 </w:t>
            </w:r>
            <w:r>
              <w:rPr>
                <w:color w:val="auto"/>
                <w:highlight w:val="none"/>
              </w:rPr>
              <w:t>总则》（</w:t>
            </w:r>
            <w:r>
              <w:rPr>
                <w:rFonts w:ascii="Times New Roman" w:eastAsia="Times New Roman"/>
                <w:color w:val="auto"/>
                <w:highlight w:val="none"/>
              </w:rPr>
              <w:t>HJ 819-2017</w:t>
            </w:r>
            <w:r>
              <w:rPr>
                <w:color w:val="auto"/>
                <w:highlight w:val="none"/>
              </w:rPr>
              <w:t>）</w:t>
            </w:r>
            <w:r>
              <w:rPr>
                <w:rFonts w:hint="default" w:ascii="Times New Roman" w:hAnsi="Times New Roman" w:cs="Times New Roman"/>
                <w:color w:val="auto"/>
                <w:sz w:val="24"/>
                <w:highlight w:val="none"/>
                <w:lang w:val="en-US"/>
              </w:rPr>
              <w:t>，</w:t>
            </w:r>
            <w:r>
              <w:rPr>
                <w:rFonts w:hint="eastAsia" w:ascii="Times New Roman" w:hAnsi="Times New Roman" w:cs="Times New Roman"/>
                <w:color w:val="auto"/>
                <w:sz w:val="24"/>
                <w:highlight w:val="none"/>
                <w:lang w:val="en-US" w:eastAsia="zh-CN"/>
              </w:rPr>
              <w:t>制定以下</w:t>
            </w:r>
            <w:r>
              <w:rPr>
                <w:rFonts w:hint="default" w:ascii="Times New Roman" w:hAnsi="Times New Roman" w:cs="Times New Roman"/>
                <w:color w:val="auto"/>
                <w:sz w:val="24"/>
                <w:highlight w:val="none"/>
                <w:lang w:val="en-US"/>
              </w:rPr>
              <w:t>监测</w:t>
            </w:r>
            <w:r>
              <w:rPr>
                <w:rFonts w:hint="eastAsia" w:ascii="Times New Roman" w:hAnsi="Times New Roman" w:cs="Times New Roman"/>
                <w:color w:val="auto"/>
                <w:sz w:val="24"/>
                <w:highlight w:val="none"/>
                <w:lang w:val="en-US" w:eastAsia="zh-CN"/>
              </w:rPr>
              <w:t>计划</w:t>
            </w:r>
            <w:r>
              <w:rPr>
                <w:rFonts w:hint="default" w:ascii="Times New Roman" w:hAnsi="Times New Roman" w:cs="Times New Roman"/>
                <w:color w:val="auto"/>
                <w:sz w:val="24"/>
                <w:highlight w:val="none"/>
              </w:rPr>
              <w:t>。</w:t>
            </w:r>
          </w:p>
          <w:p w14:paraId="63525114">
            <w:pPr>
              <w:jc w:val="center"/>
              <w:rPr>
                <w:b/>
                <w:color w:val="auto"/>
                <w:sz w:val="24"/>
                <w:highlight w:val="none"/>
              </w:rPr>
            </w:pPr>
            <w:r>
              <w:rPr>
                <w:b/>
                <w:color w:val="auto"/>
                <w:sz w:val="24"/>
                <w:highlight w:val="none"/>
              </w:rPr>
              <w:t>表4-</w:t>
            </w:r>
            <w:r>
              <w:rPr>
                <w:rFonts w:hint="eastAsia"/>
                <w:b/>
                <w:color w:val="auto"/>
                <w:sz w:val="24"/>
                <w:highlight w:val="none"/>
                <w:lang w:val="en-US" w:eastAsia="zh-CN"/>
              </w:rPr>
              <w:t>11</w:t>
            </w:r>
            <w:r>
              <w:rPr>
                <w:b/>
                <w:color w:val="auto"/>
                <w:sz w:val="24"/>
                <w:highlight w:val="none"/>
              </w:rPr>
              <w:t xml:space="preserve">  废水间接排放口监测要求</w:t>
            </w:r>
          </w:p>
          <w:tbl>
            <w:tblPr>
              <w:tblStyle w:val="3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840"/>
              <w:gridCol w:w="2279"/>
              <w:gridCol w:w="2891"/>
            </w:tblGrid>
            <w:tr w14:paraId="12F10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tcBorders>
                    <w:top w:val="single" w:color="auto" w:sz="12" w:space="0"/>
                    <w:bottom w:val="single" w:color="auto" w:sz="12" w:space="0"/>
                  </w:tcBorders>
                  <w:noWrap w:val="0"/>
                  <w:vAlign w:val="center"/>
                </w:tcPr>
                <w:p w14:paraId="2E58A4C1">
                  <w:pPr>
                    <w:tabs>
                      <w:tab w:val="right" w:pos="1785"/>
                    </w:tabs>
                    <w:adjustRightInd w:val="0"/>
                    <w:snapToGrid w:val="0"/>
                    <w:jc w:val="center"/>
                    <w:rPr>
                      <w:b/>
                      <w:color w:val="auto"/>
                      <w:kern w:val="0"/>
                      <w:szCs w:val="21"/>
                      <w:highlight w:val="none"/>
                    </w:rPr>
                  </w:pPr>
                  <w:r>
                    <w:rPr>
                      <w:b/>
                      <w:color w:val="auto"/>
                      <w:kern w:val="0"/>
                      <w:szCs w:val="21"/>
                      <w:highlight w:val="none"/>
                    </w:rPr>
                    <w:t>序号</w:t>
                  </w:r>
                </w:p>
              </w:tc>
              <w:tc>
                <w:tcPr>
                  <w:tcW w:w="1091" w:type="pct"/>
                  <w:tcBorders>
                    <w:top w:val="single" w:color="auto" w:sz="12" w:space="0"/>
                    <w:bottom w:val="single" w:color="auto" w:sz="12" w:space="0"/>
                  </w:tcBorders>
                  <w:noWrap w:val="0"/>
                  <w:vAlign w:val="center"/>
                </w:tcPr>
                <w:p w14:paraId="2012285D">
                  <w:pPr>
                    <w:adjustRightInd w:val="0"/>
                    <w:snapToGrid w:val="0"/>
                    <w:jc w:val="center"/>
                    <w:rPr>
                      <w:b/>
                      <w:color w:val="auto"/>
                      <w:kern w:val="0"/>
                      <w:szCs w:val="28"/>
                      <w:highlight w:val="none"/>
                    </w:rPr>
                  </w:pPr>
                  <w:r>
                    <w:rPr>
                      <w:b/>
                      <w:color w:val="auto"/>
                      <w:kern w:val="0"/>
                      <w:szCs w:val="28"/>
                      <w:highlight w:val="none"/>
                    </w:rPr>
                    <w:t>排放口编号</w:t>
                  </w:r>
                </w:p>
              </w:tc>
              <w:tc>
                <w:tcPr>
                  <w:tcW w:w="1351" w:type="pct"/>
                  <w:tcBorders>
                    <w:top w:val="single" w:color="auto" w:sz="12" w:space="0"/>
                    <w:bottom w:val="single" w:color="auto" w:sz="12" w:space="0"/>
                  </w:tcBorders>
                  <w:noWrap w:val="0"/>
                  <w:vAlign w:val="center"/>
                </w:tcPr>
                <w:p w14:paraId="1425871E">
                  <w:pPr>
                    <w:adjustRightInd w:val="0"/>
                    <w:snapToGrid w:val="0"/>
                    <w:jc w:val="center"/>
                    <w:rPr>
                      <w:b/>
                      <w:color w:val="auto"/>
                      <w:kern w:val="0"/>
                      <w:szCs w:val="28"/>
                      <w:highlight w:val="none"/>
                    </w:rPr>
                  </w:pPr>
                  <w:r>
                    <w:rPr>
                      <w:b/>
                      <w:color w:val="auto"/>
                      <w:kern w:val="0"/>
                      <w:szCs w:val="28"/>
                      <w:highlight w:val="none"/>
                    </w:rPr>
                    <w:t>污染物名称</w:t>
                  </w:r>
                </w:p>
              </w:tc>
              <w:tc>
                <w:tcPr>
                  <w:tcW w:w="1714" w:type="pct"/>
                  <w:tcBorders>
                    <w:top w:val="single" w:color="auto" w:sz="12" w:space="0"/>
                    <w:bottom w:val="single" w:color="auto" w:sz="12" w:space="0"/>
                  </w:tcBorders>
                  <w:noWrap w:val="0"/>
                  <w:vAlign w:val="center"/>
                </w:tcPr>
                <w:p w14:paraId="0BECD2B8">
                  <w:pPr>
                    <w:adjustRightInd w:val="0"/>
                    <w:snapToGrid w:val="0"/>
                    <w:jc w:val="center"/>
                    <w:rPr>
                      <w:b/>
                      <w:color w:val="auto"/>
                      <w:kern w:val="0"/>
                      <w:szCs w:val="28"/>
                      <w:highlight w:val="none"/>
                    </w:rPr>
                  </w:pPr>
                  <w:r>
                    <w:rPr>
                      <w:b/>
                      <w:color w:val="auto"/>
                      <w:kern w:val="0"/>
                      <w:szCs w:val="28"/>
                      <w:highlight w:val="none"/>
                    </w:rPr>
                    <w:t>监测频次</w:t>
                  </w:r>
                </w:p>
              </w:tc>
            </w:tr>
            <w:tr w14:paraId="2359DB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tcBorders>
                    <w:top w:val="single" w:color="auto" w:sz="12" w:space="0"/>
                  </w:tcBorders>
                  <w:noWrap w:val="0"/>
                  <w:vAlign w:val="center"/>
                </w:tcPr>
                <w:p w14:paraId="6F828928">
                  <w:pPr>
                    <w:adjustRightInd w:val="0"/>
                    <w:snapToGrid w:val="0"/>
                    <w:jc w:val="center"/>
                    <w:rPr>
                      <w:color w:val="auto"/>
                      <w:kern w:val="0"/>
                      <w:szCs w:val="21"/>
                      <w:highlight w:val="none"/>
                    </w:rPr>
                  </w:pPr>
                  <w:r>
                    <w:rPr>
                      <w:color w:val="auto"/>
                      <w:kern w:val="0"/>
                      <w:szCs w:val="21"/>
                      <w:highlight w:val="none"/>
                    </w:rPr>
                    <w:t>1</w:t>
                  </w:r>
                </w:p>
              </w:tc>
              <w:tc>
                <w:tcPr>
                  <w:tcW w:w="1091" w:type="pct"/>
                  <w:vMerge w:val="restart"/>
                  <w:tcBorders>
                    <w:top w:val="single" w:color="auto" w:sz="12" w:space="0"/>
                  </w:tcBorders>
                  <w:noWrap w:val="0"/>
                  <w:vAlign w:val="center"/>
                </w:tcPr>
                <w:p w14:paraId="3396091F">
                  <w:pPr>
                    <w:adjustRightInd w:val="0"/>
                    <w:snapToGrid w:val="0"/>
                    <w:jc w:val="center"/>
                    <w:rPr>
                      <w:b/>
                      <w:color w:val="auto"/>
                      <w:kern w:val="0"/>
                      <w:szCs w:val="21"/>
                      <w:highlight w:val="none"/>
                    </w:rPr>
                  </w:pPr>
                  <w:r>
                    <w:rPr>
                      <w:bCs/>
                      <w:color w:val="auto"/>
                      <w:spacing w:val="-10"/>
                      <w:szCs w:val="21"/>
                      <w:highlight w:val="none"/>
                    </w:rPr>
                    <w:t>DW001</w:t>
                  </w:r>
                </w:p>
              </w:tc>
              <w:tc>
                <w:tcPr>
                  <w:tcW w:w="1351" w:type="pct"/>
                  <w:tcBorders>
                    <w:top w:val="single" w:color="auto" w:sz="12" w:space="0"/>
                  </w:tcBorders>
                  <w:noWrap w:val="0"/>
                  <w:vAlign w:val="center"/>
                </w:tcPr>
                <w:p w14:paraId="1D7B6859">
                  <w:pPr>
                    <w:adjustRightInd w:val="0"/>
                    <w:snapToGrid w:val="0"/>
                    <w:jc w:val="center"/>
                    <w:rPr>
                      <w:color w:val="auto"/>
                      <w:szCs w:val="21"/>
                      <w:highlight w:val="none"/>
                    </w:rPr>
                  </w:pPr>
                  <w:r>
                    <w:rPr>
                      <w:color w:val="auto"/>
                      <w:szCs w:val="21"/>
                      <w:highlight w:val="none"/>
                    </w:rPr>
                    <w:t>COD</w:t>
                  </w:r>
                </w:p>
              </w:tc>
              <w:tc>
                <w:tcPr>
                  <w:tcW w:w="1714" w:type="pct"/>
                  <w:vMerge w:val="restart"/>
                  <w:tcBorders>
                    <w:top w:val="single" w:color="auto" w:sz="12" w:space="0"/>
                  </w:tcBorders>
                  <w:noWrap w:val="0"/>
                  <w:vAlign w:val="center"/>
                </w:tcPr>
                <w:p w14:paraId="0984093C">
                  <w:pPr>
                    <w:keepNext/>
                    <w:topLinePunct/>
                    <w:jc w:val="center"/>
                    <w:textAlignment w:val="center"/>
                    <w:rPr>
                      <w:color w:val="auto"/>
                      <w:szCs w:val="21"/>
                      <w:highlight w:val="none"/>
                    </w:rPr>
                  </w:pPr>
                  <w:r>
                    <w:rPr>
                      <w:rFonts w:hint="default" w:ascii="Times New Roman" w:hAnsi="Times New Roman" w:cs="Times New Roman"/>
                      <w:color w:val="auto"/>
                      <w:spacing w:val="0"/>
                      <w:position w:val="0"/>
                      <w:highlight w:val="none"/>
                    </w:rPr>
                    <w:t>1次/年</w:t>
                  </w:r>
                </w:p>
              </w:tc>
            </w:tr>
            <w:tr w14:paraId="67EF3C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noWrap w:val="0"/>
                  <w:vAlign w:val="center"/>
                </w:tcPr>
                <w:p w14:paraId="7D81787B">
                  <w:pPr>
                    <w:adjustRightInd w:val="0"/>
                    <w:snapToGrid w:val="0"/>
                    <w:jc w:val="center"/>
                    <w:rPr>
                      <w:color w:val="auto"/>
                      <w:kern w:val="0"/>
                      <w:szCs w:val="21"/>
                      <w:highlight w:val="none"/>
                    </w:rPr>
                  </w:pPr>
                  <w:r>
                    <w:rPr>
                      <w:color w:val="auto"/>
                      <w:kern w:val="0"/>
                      <w:szCs w:val="21"/>
                      <w:highlight w:val="none"/>
                    </w:rPr>
                    <w:t>2</w:t>
                  </w:r>
                </w:p>
              </w:tc>
              <w:tc>
                <w:tcPr>
                  <w:tcW w:w="1091" w:type="pct"/>
                  <w:vMerge w:val="continue"/>
                  <w:noWrap w:val="0"/>
                  <w:vAlign w:val="center"/>
                </w:tcPr>
                <w:p w14:paraId="5814E9BF">
                  <w:pPr>
                    <w:adjustRightInd w:val="0"/>
                    <w:snapToGrid w:val="0"/>
                    <w:jc w:val="center"/>
                    <w:rPr>
                      <w:b/>
                      <w:color w:val="auto"/>
                      <w:kern w:val="0"/>
                      <w:sz w:val="28"/>
                      <w:szCs w:val="28"/>
                      <w:highlight w:val="none"/>
                    </w:rPr>
                  </w:pPr>
                </w:p>
              </w:tc>
              <w:tc>
                <w:tcPr>
                  <w:tcW w:w="1351" w:type="pct"/>
                  <w:noWrap w:val="0"/>
                  <w:vAlign w:val="center"/>
                </w:tcPr>
                <w:p w14:paraId="7216CF0F">
                  <w:pPr>
                    <w:adjustRightInd w:val="0"/>
                    <w:snapToGrid w:val="0"/>
                    <w:jc w:val="center"/>
                    <w:rPr>
                      <w:color w:val="auto"/>
                      <w:szCs w:val="21"/>
                      <w:highlight w:val="none"/>
                    </w:rPr>
                  </w:pPr>
                  <w:r>
                    <w:rPr>
                      <w:color w:val="auto"/>
                      <w:szCs w:val="21"/>
                      <w:highlight w:val="none"/>
                    </w:rPr>
                    <w:t>SS</w:t>
                  </w:r>
                </w:p>
              </w:tc>
              <w:tc>
                <w:tcPr>
                  <w:tcW w:w="1714" w:type="pct"/>
                  <w:vMerge w:val="continue"/>
                  <w:noWrap w:val="0"/>
                  <w:vAlign w:val="center"/>
                </w:tcPr>
                <w:p w14:paraId="294286F0">
                  <w:pPr>
                    <w:adjustRightInd w:val="0"/>
                    <w:snapToGrid w:val="0"/>
                    <w:spacing w:line="360" w:lineRule="auto"/>
                    <w:jc w:val="center"/>
                    <w:rPr>
                      <w:b/>
                      <w:color w:val="auto"/>
                      <w:kern w:val="0"/>
                      <w:sz w:val="28"/>
                      <w:szCs w:val="28"/>
                      <w:highlight w:val="none"/>
                    </w:rPr>
                  </w:pPr>
                </w:p>
              </w:tc>
            </w:tr>
            <w:tr w14:paraId="3C6C2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noWrap w:val="0"/>
                  <w:vAlign w:val="center"/>
                </w:tcPr>
                <w:p w14:paraId="220772C6">
                  <w:pPr>
                    <w:adjustRightInd w:val="0"/>
                    <w:snapToGrid w:val="0"/>
                    <w:jc w:val="center"/>
                    <w:rPr>
                      <w:color w:val="auto"/>
                      <w:kern w:val="0"/>
                      <w:szCs w:val="21"/>
                      <w:highlight w:val="none"/>
                    </w:rPr>
                  </w:pPr>
                  <w:r>
                    <w:rPr>
                      <w:color w:val="auto"/>
                      <w:kern w:val="0"/>
                      <w:szCs w:val="21"/>
                      <w:highlight w:val="none"/>
                    </w:rPr>
                    <w:t>3</w:t>
                  </w:r>
                </w:p>
              </w:tc>
              <w:tc>
                <w:tcPr>
                  <w:tcW w:w="1091" w:type="pct"/>
                  <w:vMerge w:val="continue"/>
                  <w:noWrap w:val="0"/>
                  <w:vAlign w:val="center"/>
                </w:tcPr>
                <w:p w14:paraId="2E412832">
                  <w:pPr>
                    <w:adjustRightInd w:val="0"/>
                    <w:snapToGrid w:val="0"/>
                    <w:jc w:val="center"/>
                    <w:rPr>
                      <w:b/>
                      <w:color w:val="auto"/>
                      <w:kern w:val="0"/>
                      <w:sz w:val="28"/>
                      <w:szCs w:val="28"/>
                      <w:highlight w:val="none"/>
                    </w:rPr>
                  </w:pPr>
                </w:p>
              </w:tc>
              <w:tc>
                <w:tcPr>
                  <w:tcW w:w="1351" w:type="pct"/>
                  <w:noWrap w:val="0"/>
                  <w:vAlign w:val="center"/>
                </w:tcPr>
                <w:p w14:paraId="0157F4AE">
                  <w:pPr>
                    <w:adjustRightInd w:val="0"/>
                    <w:snapToGrid w:val="0"/>
                    <w:jc w:val="center"/>
                    <w:rPr>
                      <w:color w:val="auto"/>
                      <w:szCs w:val="21"/>
                      <w:highlight w:val="none"/>
                    </w:rPr>
                  </w:pPr>
                  <w:r>
                    <w:rPr>
                      <w:color w:val="auto"/>
                      <w:szCs w:val="21"/>
                      <w:highlight w:val="none"/>
                    </w:rPr>
                    <w:t>氨氮</w:t>
                  </w:r>
                </w:p>
              </w:tc>
              <w:tc>
                <w:tcPr>
                  <w:tcW w:w="1714" w:type="pct"/>
                  <w:vMerge w:val="continue"/>
                  <w:noWrap w:val="0"/>
                  <w:vAlign w:val="center"/>
                </w:tcPr>
                <w:p w14:paraId="3144955E">
                  <w:pPr>
                    <w:adjustRightInd w:val="0"/>
                    <w:snapToGrid w:val="0"/>
                    <w:spacing w:line="360" w:lineRule="auto"/>
                    <w:jc w:val="center"/>
                    <w:rPr>
                      <w:b/>
                      <w:color w:val="auto"/>
                      <w:kern w:val="0"/>
                      <w:sz w:val="28"/>
                      <w:szCs w:val="28"/>
                      <w:highlight w:val="none"/>
                    </w:rPr>
                  </w:pPr>
                </w:p>
              </w:tc>
            </w:tr>
            <w:tr w14:paraId="38A17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noWrap w:val="0"/>
                  <w:vAlign w:val="center"/>
                </w:tcPr>
                <w:p w14:paraId="4DCD269D">
                  <w:pPr>
                    <w:adjustRightInd w:val="0"/>
                    <w:snapToGrid w:val="0"/>
                    <w:jc w:val="center"/>
                    <w:rPr>
                      <w:color w:val="auto"/>
                      <w:kern w:val="0"/>
                      <w:szCs w:val="21"/>
                      <w:highlight w:val="none"/>
                    </w:rPr>
                  </w:pPr>
                  <w:r>
                    <w:rPr>
                      <w:rFonts w:hint="eastAsia"/>
                      <w:color w:val="auto"/>
                      <w:kern w:val="0"/>
                      <w:szCs w:val="21"/>
                      <w:highlight w:val="none"/>
                    </w:rPr>
                    <w:t>4</w:t>
                  </w:r>
                </w:p>
              </w:tc>
              <w:tc>
                <w:tcPr>
                  <w:tcW w:w="1091" w:type="pct"/>
                  <w:vMerge w:val="continue"/>
                  <w:noWrap w:val="0"/>
                  <w:vAlign w:val="center"/>
                </w:tcPr>
                <w:p w14:paraId="3539B073">
                  <w:pPr>
                    <w:adjustRightInd w:val="0"/>
                    <w:snapToGrid w:val="0"/>
                    <w:jc w:val="center"/>
                    <w:rPr>
                      <w:b/>
                      <w:color w:val="auto"/>
                      <w:kern w:val="0"/>
                      <w:sz w:val="28"/>
                      <w:szCs w:val="28"/>
                      <w:highlight w:val="none"/>
                    </w:rPr>
                  </w:pPr>
                </w:p>
              </w:tc>
              <w:tc>
                <w:tcPr>
                  <w:tcW w:w="1351" w:type="pct"/>
                  <w:noWrap w:val="0"/>
                  <w:vAlign w:val="center"/>
                </w:tcPr>
                <w:p w14:paraId="57108E9C">
                  <w:pPr>
                    <w:adjustRightInd w:val="0"/>
                    <w:snapToGrid w:val="0"/>
                    <w:jc w:val="center"/>
                    <w:rPr>
                      <w:color w:val="auto"/>
                      <w:szCs w:val="21"/>
                      <w:highlight w:val="none"/>
                    </w:rPr>
                  </w:pPr>
                  <w:r>
                    <w:rPr>
                      <w:rFonts w:hint="eastAsia"/>
                      <w:color w:val="auto"/>
                      <w:szCs w:val="21"/>
                      <w:highlight w:val="none"/>
                    </w:rPr>
                    <w:t>TP</w:t>
                  </w:r>
                </w:p>
              </w:tc>
              <w:tc>
                <w:tcPr>
                  <w:tcW w:w="1714" w:type="pct"/>
                  <w:vMerge w:val="continue"/>
                  <w:noWrap w:val="0"/>
                  <w:vAlign w:val="center"/>
                </w:tcPr>
                <w:p w14:paraId="542128C0">
                  <w:pPr>
                    <w:adjustRightInd w:val="0"/>
                    <w:snapToGrid w:val="0"/>
                    <w:spacing w:line="360" w:lineRule="auto"/>
                    <w:jc w:val="center"/>
                    <w:rPr>
                      <w:b/>
                      <w:color w:val="auto"/>
                      <w:kern w:val="0"/>
                      <w:sz w:val="28"/>
                      <w:szCs w:val="28"/>
                      <w:highlight w:val="none"/>
                    </w:rPr>
                  </w:pPr>
                </w:p>
              </w:tc>
            </w:tr>
            <w:tr w14:paraId="12F84E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noWrap w:val="0"/>
                  <w:vAlign w:val="center"/>
                </w:tcPr>
                <w:p w14:paraId="2A76EBB4">
                  <w:pPr>
                    <w:adjustRightInd w:val="0"/>
                    <w:snapToGrid w:val="0"/>
                    <w:jc w:val="center"/>
                    <w:rPr>
                      <w:color w:val="auto"/>
                      <w:kern w:val="0"/>
                      <w:szCs w:val="21"/>
                      <w:highlight w:val="none"/>
                    </w:rPr>
                  </w:pPr>
                  <w:r>
                    <w:rPr>
                      <w:rFonts w:hint="eastAsia"/>
                      <w:color w:val="auto"/>
                      <w:kern w:val="0"/>
                      <w:szCs w:val="21"/>
                      <w:highlight w:val="none"/>
                    </w:rPr>
                    <w:t>5</w:t>
                  </w:r>
                </w:p>
              </w:tc>
              <w:tc>
                <w:tcPr>
                  <w:tcW w:w="1091" w:type="pct"/>
                  <w:vMerge w:val="continue"/>
                  <w:noWrap w:val="0"/>
                  <w:vAlign w:val="center"/>
                </w:tcPr>
                <w:p w14:paraId="6F82DD59">
                  <w:pPr>
                    <w:adjustRightInd w:val="0"/>
                    <w:snapToGrid w:val="0"/>
                    <w:jc w:val="center"/>
                    <w:rPr>
                      <w:b/>
                      <w:color w:val="auto"/>
                      <w:kern w:val="0"/>
                      <w:sz w:val="28"/>
                      <w:szCs w:val="28"/>
                      <w:highlight w:val="none"/>
                    </w:rPr>
                  </w:pPr>
                </w:p>
              </w:tc>
              <w:tc>
                <w:tcPr>
                  <w:tcW w:w="1351" w:type="pct"/>
                  <w:noWrap w:val="0"/>
                  <w:vAlign w:val="center"/>
                </w:tcPr>
                <w:p w14:paraId="220C47F6">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TN</w:t>
                  </w:r>
                </w:p>
              </w:tc>
              <w:tc>
                <w:tcPr>
                  <w:tcW w:w="1714" w:type="pct"/>
                  <w:vMerge w:val="continue"/>
                  <w:noWrap w:val="0"/>
                  <w:vAlign w:val="center"/>
                </w:tcPr>
                <w:p w14:paraId="69630EFB">
                  <w:pPr>
                    <w:adjustRightInd w:val="0"/>
                    <w:snapToGrid w:val="0"/>
                    <w:spacing w:line="360" w:lineRule="auto"/>
                    <w:jc w:val="center"/>
                    <w:rPr>
                      <w:b/>
                      <w:color w:val="auto"/>
                      <w:kern w:val="0"/>
                      <w:sz w:val="28"/>
                      <w:szCs w:val="28"/>
                      <w:highlight w:val="none"/>
                    </w:rPr>
                  </w:pPr>
                </w:p>
              </w:tc>
            </w:tr>
          </w:tbl>
          <w:p w14:paraId="6ACBD0CC">
            <w:pPr>
              <w:pStyle w:val="4"/>
              <w:pageBreakBefore w:val="0"/>
              <w:numPr>
                <w:ilvl w:val="0"/>
                <w:numId w:val="0"/>
              </w:numPr>
              <w:kinsoku/>
              <w:wordWrap/>
              <w:overflowPunct/>
              <w:topLinePunct w:val="0"/>
              <w:autoSpaceDE/>
              <w:autoSpaceDN/>
              <w:bidi w:val="0"/>
              <w:adjustRightInd/>
              <w:snapToGrid/>
              <w:spacing w:before="0" w:after="0" w:line="360" w:lineRule="auto"/>
              <w:ind w:firstLine="482" w:firstLineChars="200"/>
              <w:textAlignment w:val="auto"/>
              <w:outlineLvl w:val="2"/>
              <w:rPr>
                <w:rFonts w:hint="default" w:ascii="Times New Roman" w:hAnsi="Times New Roman" w:cs="Times New Roman"/>
                <w:color w:val="auto"/>
                <w:sz w:val="24"/>
                <w:highlight w:val="none"/>
              </w:rPr>
            </w:pPr>
            <w:r>
              <w:rPr>
                <w:rFonts w:hint="eastAsia" w:cs="Times New Roman"/>
                <w:color w:val="auto"/>
                <w:sz w:val="24"/>
                <w:highlight w:val="none"/>
                <w:lang w:val="en-US" w:eastAsia="zh-CN"/>
              </w:rPr>
              <w:t>3</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水污染</w:t>
            </w:r>
            <w:r>
              <w:rPr>
                <w:rFonts w:hint="default" w:ascii="Times New Roman" w:hAnsi="Times New Roman" w:cs="Times New Roman"/>
                <w:color w:val="auto"/>
                <w:sz w:val="24"/>
                <w:highlight w:val="none"/>
                <w:lang w:val="en-US"/>
              </w:rPr>
              <w:t>治理设施</w:t>
            </w:r>
            <w:r>
              <w:rPr>
                <w:rFonts w:hint="default" w:ascii="Times New Roman" w:hAnsi="Times New Roman" w:cs="Times New Roman"/>
                <w:color w:val="auto"/>
                <w:sz w:val="24"/>
                <w:highlight w:val="none"/>
              </w:rPr>
              <w:t>可行性分析</w:t>
            </w:r>
          </w:p>
          <w:p w14:paraId="12F98C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本项目生活污水经化粪池处理后</w:t>
            </w:r>
            <w:r>
              <w:rPr>
                <w:rFonts w:hint="eastAsia" w:cs="Times New Roman"/>
                <w:color w:val="auto"/>
                <w:sz w:val="24"/>
                <w:szCs w:val="24"/>
                <w:highlight w:val="none"/>
                <w:lang w:eastAsia="zh-CN"/>
              </w:rPr>
              <w:t>和</w:t>
            </w:r>
            <w:r>
              <w:rPr>
                <w:rFonts w:hint="eastAsia" w:cs="Times New Roman"/>
                <w:color w:val="auto"/>
                <w:sz w:val="24"/>
                <w:szCs w:val="24"/>
                <w:highlight w:val="none"/>
                <w:lang w:val="en-US" w:eastAsia="zh-CN"/>
              </w:rPr>
              <w:t>清洗</w:t>
            </w:r>
            <w:r>
              <w:rPr>
                <w:rFonts w:hint="eastAsia"/>
                <w:color w:val="auto"/>
                <w:sz w:val="24"/>
                <w:szCs w:val="24"/>
                <w:highlight w:val="none"/>
                <w:lang w:eastAsia="zh-CN"/>
              </w:rPr>
              <w:t>废水经沉淀池后再</w:t>
            </w:r>
            <w:r>
              <w:rPr>
                <w:bCs/>
                <w:color w:val="auto"/>
                <w:sz w:val="24"/>
                <w:highlight w:val="none"/>
              </w:rPr>
              <w:t>经化粪池后</w:t>
            </w:r>
            <w:r>
              <w:rPr>
                <w:rFonts w:hint="eastAsia"/>
                <w:bCs/>
                <w:color w:val="auto"/>
                <w:sz w:val="24"/>
                <w:highlight w:val="none"/>
                <w:lang w:eastAsia="zh-CN"/>
              </w:rPr>
              <w:t>一起</w:t>
            </w:r>
            <w:r>
              <w:rPr>
                <w:bCs/>
                <w:color w:val="auto"/>
                <w:sz w:val="24"/>
                <w:highlight w:val="none"/>
              </w:rPr>
              <w:t>通过市政管网</w:t>
            </w:r>
            <w:r>
              <w:rPr>
                <w:rFonts w:hint="eastAsia"/>
                <w:bCs/>
                <w:color w:val="auto"/>
                <w:sz w:val="24"/>
                <w:highlight w:val="none"/>
                <w:lang w:val="en-US" w:eastAsia="zh-CN"/>
              </w:rPr>
              <w:t>接入</w:t>
            </w:r>
            <w:r>
              <w:rPr>
                <w:rFonts w:hint="eastAsia"/>
                <w:color w:val="auto"/>
                <w:sz w:val="24"/>
                <w:highlight w:val="none"/>
                <w:lang w:eastAsia="zh-CN"/>
              </w:rPr>
              <w:t>句容市郭庄污水处理有限公司</w:t>
            </w:r>
            <w:r>
              <w:rPr>
                <w:rFonts w:hint="default" w:ascii="Times New Roman" w:hAnsi="Times New Roman" w:cs="Times New Roman"/>
                <w:color w:val="auto"/>
                <w:sz w:val="24"/>
                <w:szCs w:val="24"/>
                <w:highlight w:val="none"/>
              </w:rPr>
              <w:t>进行深度处理。</w:t>
            </w:r>
          </w:p>
          <w:p w14:paraId="4D94AB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eastAsia" w:cs="Times New Roman"/>
                <w:color w:val="auto"/>
                <w:sz w:val="24"/>
                <w:highlight w:val="none"/>
                <w:lang w:val="en-US" w:eastAsia="zh-CN"/>
              </w:rPr>
              <w:t>化</w:t>
            </w:r>
            <w:r>
              <w:rPr>
                <w:rFonts w:hint="default" w:ascii="Times New Roman" w:hAnsi="Times New Roman" w:cs="Times New Roman"/>
                <w:color w:val="auto"/>
                <w:sz w:val="24"/>
                <w:highlight w:val="none"/>
              </w:rPr>
              <w:t>粪池是利用沉淀和厌氧发酵的原理，去除</w:t>
            </w:r>
            <w:r>
              <w:rPr>
                <w:rFonts w:hint="eastAsia" w:cs="Times New Roman"/>
                <w:color w:val="auto"/>
                <w:sz w:val="24"/>
                <w:highlight w:val="none"/>
                <w:lang w:eastAsia="zh-CN"/>
              </w:rPr>
              <w:t>生活污水</w:t>
            </w:r>
            <w:r>
              <w:rPr>
                <w:rFonts w:hint="default" w:ascii="Times New Roman" w:hAnsi="Times New Roman" w:cs="Times New Roman"/>
                <w:color w:val="auto"/>
                <w:sz w:val="24"/>
                <w:highlight w:val="none"/>
              </w:rPr>
              <w:t>中悬浮性有机物的处理设施。其原理是固化物在池底分解，上层的水化物体，进入管道流走，防止了管道堵塞，给固化物体（粪便等垃圾）有充足的时间水解。</w:t>
            </w:r>
          </w:p>
          <w:p w14:paraId="0B65B9EA">
            <w:pPr>
              <w:pageBreakBefore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highlight w:val="none"/>
                <w:lang w:eastAsia="zh-CN"/>
              </w:rPr>
            </w:pPr>
            <w:r>
              <w:rPr>
                <w:rFonts w:hint="default" w:ascii="Times New Roman" w:hAnsi="Times New Roman" w:cs="Times New Roman"/>
                <w:color w:val="auto"/>
                <w:sz w:val="24"/>
                <w:highlight w:val="none"/>
              </w:rPr>
              <w:t>沉淀池是利用水流中悬浮杂质颗粒向下沉淀速度大于水流向</w:t>
            </w:r>
            <w:r>
              <w:rPr>
                <w:rFonts w:hint="eastAsia" w:cs="Times New Roman"/>
                <w:color w:val="auto"/>
                <w:sz w:val="24"/>
                <w:highlight w:val="none"/>
                <w:lang w:eastAsia="zh-CN"/>
              </w:rPr>
              <w:t>下</w:t>
            </w:r>
            <w:r>
              <w:rPr>
                <w:rFonts w:hint="default" w:ascii="Times New Roman" w:hAnsi="Times New Roman" w:cs="Times New Roman"/>
                <w:color w:val="auto"/>
                <w:sz w:val="24"/>
                <w:highlight w:val="none"/>
              </w:rPr>
              <w:t>流动速度、或向下沉淀时间小于水流流出沉淀池的时间时能与水流分离的原理实现水的净化</w:t>
            </w:r>
            <w:r>
              <w:rPr>
                <w:rFonts w:hint="eastAsia" w:cs="Times New Roman"/>
                <w:color w:val="auto"/>
                <w:sz w:val="24"/>
                <w:highlight w:val="none"/>
                <w:lang w:eastAsia="zh-CN"/>
              </w:rPr>
              <w:t>。</w:t>
            </w:r>
          </w:p>
          <w:p w14:paraId="621BABB0">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从表4-</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可以看出，本项目</w:t>
            </w:r>
            <w:r>
              <w:rPr>
                <w:rFonts w:hint="eastAsia" w:cs="Times New Roman"/>
                <w:color w:val="auto"/>
                <w:sz w:val="24"/>
                <w:highlight w:val="none"/>
                <w:lang w:eastAsia="zh-CN"/>
              </w:rPr>
              <w:t>综合</w:t>
            </w:r>
            <w:r>
              <w:rPr>
                <w:rFonts w:hint="default" w:ascii="Times New Roman" w:hAnsi="Times New Roman" w:cs="Times New Roman"/>
                <w:color w:val="auto"/>
                <w:sz w:val="24"/>
                <w:highlight w:val="none"/>
              </w:rPr>
              <w:t>污水化粪池处理后，出水水质满足</w:t>
            </w:r>
            <w:r>
              <w:rPr>
                <w:rFonts w:hint="eastAsia" w:cs="Times New Roman"/>
                <w:color w:val="auto"/>
                <w:sz w:val="24"/>
                <w:highlight w:val="none"/>
                <w:lang w:val="en-US" w:eastAsia="zh-CN"/>
              </w:rPr>
              <w:t>句容市郭庄污水处理有限公司</w:t>
            </w:r>
            <w:r>
              <w:rPr>
                <w:rFonts w:hint="default" w:ascii="Times New Roman" w:hAnsi="Times New Roman" w:cs="Times New Roman"/>
                <w:color w:val="auto"/>
                <w:sz w:val="24"/>
                <w:highlight w:val="none"/>
              </w:rPr>
              <w:t>的接管标准。</w:t>
            </w:r>
          </w:p>
          <w:p w14:paraId="15EFCC1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w:t>
            </w:r>
            <w:r>
              <w:rPr>
                <w:rFonts w:hint="eastAsia" w:cs="Times New Roman"/>
                <w:b/>
                <w:bCs/>
                <w:color w:val="auto"/>
                <w:sz w:val="24"/>
                <w:szCs w:val="24"/>
                <w:highlight w:val="none"/>
                <w:lang w:val="en-US" w:eastAsia="zh-CN"/>
              </w:rPr>
              <w:t>句容市郭庄污水处理有限公司</w:t>
            </w:r>
            <w:r>
              <w:rPr>
                <w:rFonts w:hint="default" w:ascii="Times New Roman" w:hAnsi="Times New Roman" w:eastAsia="宋体" w:cs="Times New Roman"/>
                <w:b/>
                <w:bCs/>
                <w:color w:val="auto"/>
                <w:sz w:val="24"/>
                <w:szCs w:val="24"/>
                <w:highlight w:val="none"/>
              </w:rPr>
              <w:t>接管处理可行性分析</w:t>
            </w:r>
          </w:p>
          <w:p w14:paraId="16DC253A">
            <w:pPr>
              <w:pStyle w:val="101"/>
              <w:keepNext w:val="0"/>
              <w:keepLines w:val="0"/>
              <w:pageBreakBefore w:val="0"/>
              <w:widowControl w:val="0"/>
              <w:kinsoku/>
              <w:wordWrap/>
              <w:overflowPunct/>
              <w:topLinePunct w:val="0"/>
              <w:autoSpaceDE/>
              <w:autoSpaceDN/>
              <w:bidi w:val="0"/>
              <w:adjustRightInd/>
              <w:snapToGrid/>
              <w:spacing w:line="360" w:lineRule="auto"/>
              <w:ind w:firstLine="537"/>
              <w:textAlignment w:val="auto"/>
              <w:rPr>
                <w:rFonts w:hint="default" w:ascii="Times New Roman" w:hAnsi="Times New Roman" w:eastAsia="宋体" w:cs="Times New Roman"/>
                <w:caps w:val="0"/>
                <w:smallCaps w:val="0"/>
                <w:color w:val="auto"/>
                <w:spacing w:val="0"/>
                <w:sz w:val="24"/>
                <w:szCs w:val="24"/>
                <w:highlight w:val="none"/>
                <w:lang w:val="en-US" w:eastAsia="zh-CN"/>
              </w:rPr>
            </w:pPr>
            <w:r>
              <w:rPr>
                <w:rFonts w:hint="default" w:ascii="Times New Roman" w:hAnsi="Times New Roman" w:eastAsia="宋体" w:cs="Times New Roman"/>
                <w:caps w:val="0"/>
                <w:smallCaps w:val="0"/>
                <w:color w:val="auto"/>
                <w:spacing w:val="0"/>
                <w:sz w:val="24"/>
                <w:szCs w:val="24"/>
                <w:highlight w:val="none"/>
                <w:lang w:val="en-US" w:eastAsia="zh-CN"/>
              </w:rPr>
              <w:t>（1）污水处理厂概况</w:t>
            </w:r>
          </w:p>
          <w:p w14:paraId="0F0B7B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eastAsia="宋体"/>
                <w:color w:val="auto"/>
                <w:sz w:val="24"/>
                <w:szCs w:val="24"/>
                <w:highlight w:val="none"/>
                <w:lang w:eastAsia="zh-CN"/>
              </w:rPr>
            </w:pPr>
            <w:r>
              <w:rPr>
                <w:rFonts w:hint="eastAsia" w:ascii="宋体" w:hAnsi="宋体" w:cs="宋体"/>
                <w:color w:val="auto"/>
                <w:kern w:val="0"/>
                <w:sz w:val="24"/>
                <w:szCs w:val="24"/>
                <w:highlight w:val="none"/>
                <w:lang w:bidi="ar"/>
              </w:rPr>
              <w:t>句容</w:t>
            </w:r>
            <w:r>
              <w:rPr>
                <w:rFonts w:hint="eastAsia" w:ascii="宋体" w:hAnsi="宋体" w:cs="宋体"/>
                <w:color w:val="auto"/>
                <w:kern w:val="0"/>
                <w:sz w:val="24"/>
                <w:szCs w:val="24"/>
                <w:highlight w:val="none"/>
                <w:lang w:eastAsia="zh-CN" w:bidi="ar"/>
              </w:rPr>
              <w:t>郭庄污水处理</w:t>
            </w:r>
            <w:r>
              <w:rPr>
                <w:rFonts w:hint="eastAsia" w:ascii="宋体" w:hAnsi="宋体" w:cs="宋体"/>
                <w:color w:val="auto"/>
                <w:kern w:val="0"/>
                <w:sz w:val="24"/>
                <w:szCs w:val="24"/>
                <w:highlight w:val="none"/>
                <w:lang w:bidi="ar"/>
              </w:rPr>
              <w:t>有限公司位于</w:t>
            </w:r>
            <w:r>
              <w:rPr>
                <w:rFonts w:hint="eastAsia" w:ascii="宋体" w:hAnsi="宋体" w:cs="宋体"/>
                <w:color w:val="auto"/>
                <w:kern w:val="0"/>
                <w:sz w:val="24"/>
                <w:szCs w:val="24"/>
                <w:highlight w:val="none"/>
                <w:lang w:val="en-US" w:eastAsia="zh-CN" w:bidi="ar"/>
              </w:rPr>
              <w:t>句容市郭庄镇西部、郭庄南河北岸、介于中心镇和规划工业区之间</w:t>
            </w:r>
            <w:r>
              <w:rPr>
                <w:rFonts w:hint="eastAsia" w:ascii="宋体" w:hAnsi="宋体" w:cs="宋体"/>
                <w:color w:val="auto"/>
                <w:kern w:val="0"/>
                <w:sz w:val="24"/>
                <w:szCs w:val="24"/>
                <w:highlight w:val="none"/>
                <w:lang w:bidi="ar"/>
              </w:rPr>
              <w:t>，</w:t>
            </w:r>
            <w:r>
              <w:rPr>
                <w:rFonts w:hint="eastAsia" w:ascii="宋体" w:hAnsi="宋体" w:cs="宋体"/>
                <w:color w:val="auto"/>
                <w:kern w:val="0"/>
                <w:sz w:val="24"/>
                <w:szCs w:val="24"/>
                <w:highlight w:val="none"/>
                <w:lang w:eastAsia="zh-CN" w:bidi="ar"/>
              </w:rPr>
              <w:t>一期</w:t>
            </w:r>
            <w:r>
              <w:rPr>
                <w:rFonts w:hint="eastAsia" w:ascii="宋体" w:hAnsi="宋体" w:cs="宋体"/>
                <w:color w:val="auto"/>
                <w:kern w:val="0"/>
                <w:sz w:val="24"/>
                <w:szCs w:val="24"/>
                <w:highlight w:val="none"/>
                <w:lang w:bidi="ar"/>
              </w:rPr>
              <w:t>设计</w:t>
            </w:r>
            <w:r>
              <w:rPr>
                <w:rFonts w:hint="eastAsia" w:ascii="宋体" w:hAnsi="宋体" w:cs="宋体"/>
                <w:color w:val="auto"/>
                <w:kern w:val="0"/>
                <w:sz w:val="24"/>
                <w:szCs w:val="24"/>
                <w:highlight w:val="none"/>
                <w:lang w:eastAsia="zh-CN" w:bidi="ar"/>
              </w:rPr>
              <w:t>处理</w:t>
            </w:r>
            <w:r>
              <w:rPr>
                <w:rFonts w:hint="eastAsia" w:ascii="宋体" w:hAnsi="宋体" w:cs="宋体"/>
                <w:color w:val="auto"/>
                <w:kern w:val="0"/>
                <w:sz w:val="24"/>
                <w:szCs w:val="24"/>
                <w:highlight w:val="none"/>
                <w:lang w:bidi="ar"/>
              </w:rPr>
              <w:t>规模</w:t>
            </w:r>
            <w:r>
              <w:rPr>
                <w:rFonts w:hint="eastAsia"/>
                <w:color w:val="auto"/>
                <w:kern w:val="0"/>
                <w:sz w:val="24"/>
                <w:szCs w:val="24"/>
                <w:highlight w:val="none"/>
                <w:lang w:val="en-US" w:eastAsia="zh-CN" w:bidi="ar"/>
              </w:rPr>
              <w:t>0.5</w:t>
            </w:r>
            <w:r>
              <w:rPr>
                <w:rFonts w:hint="eastAsia" w:ascii="宋体" w:hAnsi="宋体" w:cs="宋体"/>
                <w:color w:val="auto"/>
                <w:kern w:val="0"/>
                <w:sz w:val="24"/>
                <w:szCs w:val="24"/>
                <w:highlight w:val="none"/>
                <w:lang w:bidi="ar"/>
              </w:rPr>
              <w:t>万</w:t>
            </w:r>
            <w:r>
              <w:rPr>
                <w:rFonts w:hint="eastAsia"/>
                <w:color w:val="auto"/>
                <w:kern w:val="0"/>
                <w:sz w:val="24"/>
                <w:szCs w:val="24"/>
                <w:highlight w:val="none"/>
                <w:lang w:bidi="ar"/>
              </w:rPr>
              <w:t>m</w:t>
            </w:r>
            <w:r>
              <w:rPr>
                <w:rFonts w:hint="eastAsia"/>
                <w:color w:val="auto"/>
                <w:kern w:val="0"/>
                <w:sz w:val="24"/>
                <w:szCs w:val="24"/>
                <w:highlight w:val="none"/>
                <w:vertAlign w:val="superscript"/>
                <w:lang w:bidi="ar"/>
              </w:rPr>
              <w:t>3</w:t>
            </w:r>
            <w:r>
              <w:rPr>
                <w:color w:val="auto"/>
                <w:kern w:val="0"/>
                <w:sz w:val="24"/>
                <w:szCs w:val="24"/>
                <w:highlight w:val="none"/>
                <w:lang w:bidi="ar"/>
              </w:rPr>
              <w:t>/d</w:t>
            </w:r>
            <w:r>
              <w:rPr>
                <w:rFonts w:hint="eastAsia" w:ascii="宋体" w:hAnsi="宋体" w:cs="宋体"/>
                <w:color w:val="auto"/>
                <w:kern w:val="0"/>
                <w:sz w:val="24"/>
                <w:szCs w:val="24"/>
                <w:highlight w:val="none"/>
                <w:lang w:bidi="ar"/>
              </w:rPr>
              <w:t>，</w:t>
            </w:r>
            <w:r>
              <w:rPr>
                <w:rFonts w:hint="eastAsia" w:ascii="宋体" w:hAnsi="宋体" w:cs="宋体"/>
                <w:color w:val="auto"/>
                <w:kern w:val="0"/>
                <w:sz w:val="24"/>
                <w:szCs w:val="24"/>
                <w:highlight w:val="none"/>
                <w:lang w:eastAsia="zh-CN" w:bidi="ar"/>
              </w:rPr>
              <w:t>目前已竣工并正常运行，二期扩建设计处理规模</w:t>
            </w:r>
            <w:r>
              <w:rPr>
                <w:rFonts w:hint="eastAsia"/>
                <w:color w:val="auto"/>
                <w:kern w:val="0"/>
                <w:sz w:val="24"/>
                <w:szCs w:val="24"/>
                <w:highlight w:val="none"/>
                <w:lang w:val="en-US" w:eastAsia="zh-CN" w:bidi="ar"/>
              </w:rPr>
              <w:t>1.5</w:t>
            </w:r>
            <w:r>
              <w:rPr>
                <w:rFonts w:hint="eastAsia" w:ascii="宋体" w:hAnsi="宋体" w:cs="宋体"/>
                <w:color w:val="auto"/>
                <w:kern w:val="0"/>
                <w:sz w:val="24"/>
                <w:szCs w:val="24"/>
                <w:highlight w:val="none"/>
                <w:lang w:bidi="ar"/>
              </w:rPr>
              <w:t>万</w:t>
            </w:r>
            <w:r>
              <w:rPr>
                <w:rFonts w:hint="eastAsia"/>
                <w:color w:val="auto"/>
                <w:kern w:val="0"/>
                <w:sz w:val="24"/>
                <w:szCs w:val="24"/>
                <w:highlight w:val="none"/>
                <w:lang w:bidi="ar"/>
              </w:rPr>
              <w:t>m</w:t>
            </w:r>
            <w:r>
              <w:rPr>
                <w:rFonts w:hint="eastAsia"/>
                <w:color w:val="auto"/>
                <w:kern w:val="0"/>
                <w:sz w:val="24"/>
                <w:szCs w:val="24"/>
                <w:highlight w:val="none"/>
                <w:vertAlign w:val="superscript"/>
                <w:lang w:bidi="ar"/>
              </w:rPr>
              <w:t>3</w:t>
            </w:r>
            <w:r>
              <w:rPr>
                <w:color w:val="auto"/>
                <w:kern w:val="0"/>
                <w:sz w:val="24"/>
                <w:szCs w:val="24"/>
                <w:highlight w:val="none"/>
                <w:lang w:bidi="ar"/>
              </w:rPr>
              <w:t>/d</w:t>
            </w:r>
            <w:r>
              <w:rPr>
                <w:rFonts w:hint="eastAsia"/>
                <w:color w:val="auto"/>
                <w:kern w:val="0"/>
                <w:sz w:val="24"/>
                <w:szCs w:val="24"/>
                <w:highlight w:val="none"/>
                <w:lang w:eastAsia="zh-CN" w:bidi="ar"/>
              </w:rPr>
              <w:t>，</w:t>
            </w:r>
            <w:r>
              <w:rPr>
                <w:rFonts w:hint="eastAsia"/>
                <w:color w:val="auto"/>
                <w:kern w:val="0"/>
                <w:sz w:val="24"/>
                <w:szCs w:val="24"/>
                <w:highlight w:val="none"/>
                <w:lang w:val="en-US" w:eastAsia="zh-CN" w:bidi="ar"/>
              </w:rPr>
              <w:t>已竣工并投入使用。</w:t>
            </w:r>
            <w:r>
              <w:rPr>
                <w:rFonts w:hint="eastAsia" w:ascii="宋体" w:hAnsi="宋体" w:cs="宋体"/>
                <w:color w:val="auto"/>
                <w:kern w:val="0"/>
                <w:sz w:val="24"/>
                <w:szCs w:val="24"/>
                <w:highlight w:val="none"/>
                <w:lang w:bidi="ar"/>
              </w:rPr>
              <w:t>其尾水处理达《城镇污水处理厂污染物排放标准》（</w:t>
            </w:r>
            <w:r>
              <w:rPr>
                <w:color w:val="auto"/>
                <w:kern w:val="0"/>
                <w:sz w:val="24"/>
                <w:szCs w:val="24"/>
                <w:highlight w:val="none"/>
                <w:lang w:bidi="ar"/>
              </w:rPr>
              <w:t>GB18918-2002</w:t>
            </w:r>
            <w:r>
              <w:rPr>
                <w:rFonts w:hint="eastAsia" w:ascii="宋体" w:hAnsi="宋体" w:cs="宋体"/>
                <w:color w:val="auto"/>
                <w:kern w:val="0"/>
                <w:sz w:val="24"/>
                <w:szCs w:val="24"/>
                <w:highlight w:val="none"/>
                <w:lang w:bidi="ar"/>
              </w:rPr>
              <w:t>）表</w:t>
            </w:r>
            <w:r>
              <w:rPr>
                <w:color w:val="auto"/>
                <w:kern w:val="0"/>
                <w:sz w:val="24"/>
                <w:szCs w:val="24"/>
                <w:highlight w:val="none"/>
                <w:lang w:bidi="ar"/>
              </w:rPr>
              <w:t>1</w:t>
            </w:r>
            <w:r>
              <w:rPr>
                <w:rFonts w:hint="eastAsia" w:ascii="宋体" w:hAnsi="宋体" w:cs="宋体"/>
                <w:color w:val="auto"/>
                <w:kern w:val="0"/>
                <w:sz w:val="24"/>
                <w:szCs w:val="24"/>
                <w:highlight w:val="none"/>
                <w:lang w:bidi="ar"/>
              </w:rPr>
              <w:t>中一级</w:t>
            </w:r>
            <w:r>
              <w:rPr>
                <w:color w:val="auto"/>
                <w:kern w:val="0"/>
                <w:sz w:val="24"/>
                <w:szCs w:val="24"/>
                <w:highlight w:val="none"/>
                <w:lang w:bidi="ar"/>
              </w:rPr>
              <w:t>A</w:t>
            </w:r>
            <w:r>
              <w:rPr>
                <w:rFonts w:hint="eastAsia" w:ascii="宋体" w:hAnsi="宋体" w:cs="宋体"/>
                <w:color w:val="auto"/>
                <w:kern w:val="0"/>
                <w:sz w:val="24"/>
                <w:szCs w:val="24"/>
                <w:highlight w:val="none"/>
                <w:lang w:bidi="ar"/>
              </w:rPr>
              <w:t>标准后排入</w:t>
            </w:r>
            <w:r>
              <w:rPr>
                <w:rFonts w:hint="eastAsia" w:ascii="宋体" w:hAnsi="宋体" w:cs="宋体"/>
                <w:color w:val="auto"/>
                <w:kern w:val="0"/>
                <w:sz w:val="24"/>
                <w:szCs w:val="24"/>
                <w:highlight w:val="none"/>
                <w:lang w:eastAsia="zh-CN" w:bidi="ar"/>
              </w:rPr>
              <w:t>高阳河</w:t>
            </w:r>
            <w:r>
              <w:rPr>
                <w:rFonts w:hint="eastAsia" w:ascii="宋体" w:hAnsi="宋体" w:cs="宋体"/>
                <w:color w:val="auto"/>
                <w:kern w:val="0"/>
                <w:sz w:val="24"/>
                <w:szCs w:val="24"/>
                <w:highlight w:val="none"/>
                <w:lang w:bidi="ar"/>
              </w:rPr>
              <w:t>。</w:t>
            </w:r>
            <w:r>
              <w:rPr>
                <w:rFonts w:hint="eastAsia" w:ascii="宋体" w:hAnsi="宋体" w:cs="宋体"/>
                <w:color w:val="auto"/>
                <w:kern w:val="0"/>
                <w:sz w:val="24"/>
                <w:szCs w:val="24"/>
                <w:highlight w:val="none"/>
                <w:lang w:eastAsia="zh-CN" w:bidi="ar"/>
              </w:rPr>
              <w:t>处理工艺流程见下图。</w:t>
            </w:r>
          </w:p>
          <w:p w14:paraId="179CEAF2">
            <w:pPr>
              <w:pStyle w:val="101"/>
              <w:keepNext w:val="0"/>
              <w:keepLines w:val="0"/>
              <w:pageBreakBefore w:val="0"/>
              <w:widowControl w:val="0"/>
              <w:kinsoku/>
              <w:wordWrap/>
              <w:overflowPunct/>
              <w:topLinePunct w:val="0"/>
              <w:autoSpaceDE/>
              <w:autoSpaceDN/>
              <w:bidi w:val="0"/>
              <w:adjustRightInd/>
              <w:snapToGrid/>
              <w:spacing w:line="360" w:lineRule="auto"/>
              <w:ind w:firstLine="537"/>
              <w:jc w:val="center"/>
              <w:textAlignment w:val="auto"/>
              <w:rPr>
                <w:rFonts w:hint="default" w:ascii="Times New Roman" w:hAnsi="Times New Roman" w:eastAsia="宋体" w:cs="Times New Roman"/>
                <w:caps w:val="0"/>
                <w:smallCaps w:val="0"/>
                <w:color w:val="auto"/>
                <w:spacing w:val="0"/>
                <w:sz w:val="24"/>
                <w:szCs w:val="24"/>
                <w:highlight w:val="none"/>
                <w:lang w:val="en-US" w:eastAsia="zh-CN"/>
              </w:rPr>
            </w:pPr>
            <w:r>
              <w:rPr>
                <w:color w:val="auto"/>
                <w:highlight w:val="none"/>
              </w:rPr>
              <w:drawing>
                <wp:inline distT="0" distB="0" distL="114300" distR="114300">
                  <wp:extent cx="5076825" cy="2762250"/>
                  <wp:effectExtent l="0" t="0" r="9525"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8"/>
                          <a:stretch>
                            <a:fillRect/>
                          </a:stretch>
                        </pic:blipFill>
                        <pic:spPr>
                          <a:xfrm>
                            <a:off x="0" y="0"/>
                            <a:ext cx="5076825" cy="2762250"/>
                          </a:xfrm>
                          <a:prstGeom prst="rect">
                            <a:avLst/>
                          </a:prstGeom>
                          <a:noFill/>
                          <a:ln>
                            <a:noFill/>
                          </a:ln>
                        </pic:spPr>
                      </pic:pic>
                    </a:graphicData>
                  </a:graphic>
                </wp:inline>
              </w:drawing>
            </w:r>
          </w:p>
          <w:p w14:paraId="60C8382A">
            <w:pPr>
              <w:pStyle w:val="101"/>
              <w:keepNext w:val="0"/>
              <w:keepLines w:val="0"/>
              <w:pageBreakBefore w:val="0"/>
              <w:widowControl w:val="0"/>
              <w:kinsoku/>
              <w:wordWrap/>
              <w:overflowPunct/>
              <w:topLinePunct w:val="0"/>
              <w:autoSpaceDE/>
              <w:autoSpaceDN/>
              <w:bidi w:val="0"/>
              <w:adjustRightInd/>
              <w:snapToGrid/>
              <w:spacing w:line="360" w:lineRule="auto"/>
              <w:ind w:firstLine="537"/>
              <w:jc w:val="center"/>
              <w:textAlignment w:val="auto"/>
              <w:rPr>
                <w:rFonts w:hint="default" w:ascii="Times New Roman" w:hAnsi="Times New Roman" w:eastAsia="宋体" w:cs="Times New Roman"/>
                <w:caps w:val="0"/>
                <w:smallCaps w:val="0"/>
                <w:color w:val="auto"/>
                <w:spacing w:val="0"/>
                <w:sz w:val="24"/>
                <w:szCs w:val="24"/>
                <w:highlight w:val="none"/>
                <w:lang w:val="en-US" w:eastAsia="zh-CN"/>
              </w:rPr>
            </w:pPr>
            <w:r>
              <w:rPr>
                <w:rFonts w:hint="default" w:ascii="Times New Roman" w:hAnsi="Times New Roman" w:cs="Times New Roman"/>
                <w:b/>
                <w:bCs/>
                <w:color w:val="auto"/>
                <w:spacing w:val="-10"/>
                <w:sz w:val="24"/>
                <w:szCs w:val="21"/>
                <w:highlight w:val="none"/>
              </w:rPr>
              <w:t>图4-</w:t>
            </w:r>
            <w:r>
              <w:rPr>
                <w:rFonts w:hint="eastAsia" w:ascii="Times New Roman" w:hAnsi="Times New Roman" w:cs="Times New Roman"/>
                <w:b/>
                <w:bCs/>
                <w:color w:val="auto"/>
                <w:spacing w:val="-10"/>
                <w:sz w:val="24"/>
                <w:szCs w:val="21"/>
                <w:highlight w:val="none"/>
                <w:lang w:val="en-US" w:eastAsia="zh-CN"/>
              </w:rPr>
              <w:t>2</w:t>
            </w:r>
            <w:r>
              <w:rPr>
                <w:rFonts w:hint="eastAsia" w:ascii="Times New Roman" w:hAnsi="Times New Roman" w:cs="Times New Roman"/>
                <w:b/>
                <w:bCs/>
                <w:color w:val="auto"/>
                <w:spacing w:val="-10"/>
                <w:sz w:val="24"/>
                <w:szCs w:val="21"/>
                <w:highlight w:val="none"/>
                <w:lang w:eastAsia="zh-CN"/>
              </w:rPr>
              <w:t>污水处理厂</w:t>
            </w:r>
            <w:r>
              <w:rPr>
                <w:rFonts w:hint="default" w:ascii="Times New Roman" w:hAnsi="Times New Roman" w:cs="Times New Roman"/>
                <w:b/>
                <w:bCs/>
                <w:color w:val="auto"/>
                <w:spacing w:val="-10"/>
                <w:sz w:val="24"/>
                <w:szCs w:val="21"/>
                <w:highlight w:val="none"/>
              </w:rPr>
              <w:t>工艺流程图</w:t>
            </w:r>
          </w:p>
          <w:p w14:paraId="45BF3282">
            <w:pPr>
              <w:pStyle w:val="101"/>
              <w:keepNext w:val="0"/>
              <w:keepLines w:val="0"/>
              <w:pageBreakBefore w:val="0"/>
              <w:widowControl w:val="0"/>
              <w:kinsoku/>
              <w:wordWrap/>
              <w:overflowPunct/>
              <w:topLinePunct w:val="0"/>
              <w:autoSpaceDE/>
              <w:autoSpaceDN/>
              <w:bidi w:val="0"/>
              <w:adjustRightInd/>
              <w:snapToGrid/>
              <w:spacing w:line="360" w:lineRule="auto"/>
              <w:ind w:firstLine="537"/>
              <w:textAlignment w:val="auto"/>
              <w:rPr>
                <w:rFonts w:hint="default" w:ascii="Times New Roman" w:hAnsi="Times New Roman" w:eastAsia="宋体" w:cs="Times New Roman"/>
                <w:caps w:val="0"/>
                <w:smallCaps w:val="0"/>
                <w:color w:val="auto"/>
                <w:spacing w:val="0"/>
                <w:sz w:val="24"/>
                <w:szCs w:val="24"/>
                <w:highlight w:val="none"/>
                <w:lang w:val="en-US" w:eastAsia="zh-CN"/>
              </w:rPr>
            </w:pPr>
            <w:r>
              <w:rPr>
                <w:rFonts w:hint="default" w:ascii="Times New Roman" w:hAnsi="Times New Roman" w:eastAsia="宋体" w:cs="Times New Roman"/>
                <w:caps w:val="0"/>
                <w:smallCaps w:val="0"/>
                <w:color w:val="auto"/>
                <w:spacing w:val="0"/>
                <w:sz w:val="24"/>
                <w:szCs w:val="24"/>
                <w:highlight w:val="none"/>
                <w:lang w:val="en-US" w:eastAsia="zh-CN"/>
              </w:rPr>
              <w:t>（2）接纳项目废水处理可行性分析</w:t>
            </w:r>
          </w:p>
          <w:p w14:paraId="215CFBF9">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color w:val="auto"/>
                <w:sz w:val="24"/>
                <w:szCs w:val="24"/>
                <w:highlight w:val="none"/>
              </w:rPr>
            </w:pPr>
            <w:r>
              <w:rPr>
                <w:rFonts w:hint="eastAsia" w:ascii="宋体" w:hAnsi="宋体" w:cs="宋体"/>
                <w:color w:val="auto"/>
                <w:kern w:val="0"/>
                <w:sz w:val="24"/>
                <w:szCs w:val="24"/>
                <w:highlight w:val="none"/>
                <w:lang w:bidi="ar"/>
              </w:rPr>
              <w:t>项目所在地为</w:t>
            </w:r>
            <w:r>
              <w:rPr>
                <w:rFonts w:hint="eastAsia"/>
                <w:color w:val="auto"/>
                <w:sz w:val="24"/>
                <w:szCs w:val="24"/>
                <w:highlight w:val="none"/>
                <w:lang w:eastAsia="zh-CN"/>
              </w:rPr>
              <w:t>镇江市句容市郭庄镇空港大道9号2幢</w:t>
            </w:r>
            <w:r>
              <w:rPr>
                <w:rFonts w:hint="eastAsia" w:ascii="宋体" w:hAnsi="宋体" w:cs="宋体"/>
                <w:color w:val="auto"/>
                <w:kern w:val="0"/>
                <w:sz w:val="24"/>
                <w:szCs w:val="24"/>
                <w:highlight w:val="none"/>
                <w:lang w:bidi="ar"/>
              </w:rPr>
              <w:t>，在句容市</w:t>
            </w:r>
            <w:r>
              <w:rPr>
                <w:rFonts w:hint="eastAsia" w:ascii="宋体" w:hAnsi="宋体" w:cs="宋体"/>
                <w:color w:val="auto"/>
                <w:kern w:val="0"/>
                <w:sz w:val="24"/>
                <w:szCs w:val="24"/>
                <w:highlight w:val="none"/>
                <w:lang w:eastAsia="zh-CN" w:bidi="ar"/>
              </w:rPr>
              <w:t>郭庄污水处理</w:t>
            </w:r>
            <w:r>
              <w:rPr>
                <w:rFonts w:hint="eastAsia" w:ascii="宋体" w:hAnsi="宋体" w:cs="宋体"/>
                <w:color w:val="auto"/>
                <w:kern w:val="0"/>
                <w:sz w:val="24"/>
                <w:szCs w:val="24"/>
                <w:highlight w:val="none"/>
                <w:lang w:bidi="ar"/>
              </w:rPr>
              <w:t>有限公司污水管网的覆盖范围之内，区域雨污管网已配套到位。</w:t>
            </w:r>
          </w:p>
          <w:p w14:paraId="51C22820">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color w:val="auto"/>
                <w:sz w:val="24"/>
                <w:szCs w:val="24"/>
                <w:highlight w:val="none"/>
              </w:rPr>
            </w:pPr>
            <w:r>
              <w:rPr>
                <w:rFonts w:hint="eastAsia" w:ascii="宋体" w:hAnsi="宋体" w:cs="宋体"/>
                <w:color w:val="auto"/>
                <w:kern w:val="0"/>
                <w:sz w:val="24"/>
                <w:szCs w:val="24"/>
                <w:highlight w:val="none"/>
                <w:lang w:bidi="ar"/>
              </w:rPr>
              <w:t>项目生活污水</w:t>
            </w:r>
            <w:r>
              <w:rPr>
                <w:rFonts w:hint="eastAsia" w:ascii="宋体" w:hAnsi="宋体" w:cs="宋体"/>
                <w:color w:val="auto"/>
                <w:kern w:val="0"/>
                <w:sz w:val="24"/>
                <w:szCs w:val="24"/>
                <w:highlight w:val="none"/>
                <w:lang w:eastAsia="zh-CN" w:bidi="ar"/>
              </w:rPr>
              <w:t>和生产废水（先经沉淀池）</w:t>
            </w:r>
            <w:r>
              <w:rPr>
                <w:rFonts w:hint="eastAsia" w:ascii="宋体" w:hAnsi="宋体" w:cs="宋体"/>
                <w:color w:val="auto"/>
                <w:kern w:val="0"/>
                <w:sz w:val="24"/>
                <w:szCs w:val="24"/>
                <w:highlight w:val="none"/>
                <w:lang w:bidi="ar"/>
              </w:rPr>
              <w:t>经厂内化粪池预处理后，废水水质可达到句容市</w:t>
            </w:r>
            <w:r>
              <w:rPr>
                <w:rFonts w:hint="eastAsia" w:ascii="宋体" w:hAnsi="宋体" w:cs="宋体"/>
                <w:color w:val="auto"/>
                <w:kern w:val="0"/>
                <w:sz w:val="24"/>
                <w:szCs w:val="24"/>
                <w:highlight w:val="none"/>
                <w:lang w:eastAsia="zh-CN" w:bidi="ar"/>
              </w:rPr>
              <w:t>郭庄污水处理</w:t>
            </w:r>
            <w:r>
              <w:rPr>
                <w:rFonts w:hint="eastAsia" w:ascii="宋体" w:hAnsi="宋体" w:cs="宋体"/>
                <w:color w:val="auto"/>
                <w:kern w:val="0"/>
                <w:sz w:val="24"/>
                <w:szCs w:val="24"/>
                <w:highlight w:val="none"/>
                <w:lang w:bidi="ar"/>
              </w:rPr>
              <w:t>有限公司水质接管标准要求。</w:t>
            </w:r>
          </w:p>
          <w:p w14:paraId="3F4F5BB5">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color w:val="auto"/>
                <w:sz w:val="24"/>
                <w:szCs w:val="24"/>
                <w:highlight w:val="none"/>
              </w:rPr>
            </w:pPr>
            <w:r>
              <w:rPr>
                <w:rFonts w:hint="eastAsia" w:ascii="宋体" w:hAnsi="宋体" w:cs="宋体"/>
                <w:color w:val="auto"/>
                <w:kern w:val="0"/>
                <w:sz w:val="24"/>
                <w:szCs w:val="24"/>
                <w:highlight w:val="none"/>
                <w:lang w:bidi="ar"/>
              </w:rPr>
              <w:t>本项目</w:t>
            </w:r>
            <w:r>
              <w:rPr>
                <w:rFonts w:hint="eastAsia" w:ascii="宋体" w:hAnsi="宋体" w:cs="宋体"/>
                <w:color w:val="auto"/>
                <w:kern w:val="0"/>
                <w:sz w:val="24"/>
                <w:szCs w:val="24"/>
                <w:highlight w:val="none"/>
                <w:lang w:eastAsia="zh-CN" w:bidi="ar"/>
              </w:rPr>
              <w:t>综合</w:t>
            </w:r>
            <w:r>
              <w:rPr>
                <w:rFonts w:hint="eastAsia" w:ascii="宋体" w:hAnsi="宋体" w:cs="宋体"/>
                <w:color w:val="auto"/>
                <w:kern w:val="0"/>
                <w:sz w:val="24"/>
                <w:szCs w:val="24"/>
                <w:highlight w:val="none"/>
                <w:lang w:bidi="ar"/>
              </w:rPr>
              <w:t>污水接管量为</w:t>
            </w:r>
            <w:r>
              <w:rPr>
                <w:rFonts w:hint="eastAsia"/>
                <w:color w:val="auto"/>
                <w:kern w:val="0"/>
                <w:sz w:val="24"/>
                <w:szCs w:val="24"/>
                <w:highlight w:val="none"/>
                <w:lang w:val="en-US" w:eastAsia="zh-CN" w:bidi="ar"/>
              </w:rPr>
              <w:t>840</w:t>
            </w:r>
            <w:r>
              <w:rPr>
                <w:color w:val="auto"/>
                <w:kern w:val="0"/>
                <w:sz w:val="24"/>
                <w:szCs w:val="24"/>
                <w:highlight w:val="none"/>
                <w:lang w:bidi="ar"/>
              </w:rPr>
              <w:t>t/a</w:t>
            </w:r>
            <w:r>
              <w:rPr>
                <w:rFonts w:hint="default" w:ascii="Times New Roman" w:hAnsi="Times New Roman" w:cs="Times New Roman"/>
                <w:color w:val="auto"/>
                <w:kern w:val="0"/>
                <w:sz w:val="24"/>
                <w:szCs w:val="24"/>
                <w:highlight w:val="none"/>
                <w:lang w:bidi="ar"/>
              </w:rPr>
              <w:t>（</w:t>
            </w:r>
            <w:r>
              <w:rPr>
                <w:rFonts w:hint="eastAsia" w:cs="Times New Roman"/>
                <w:color w:val="auto"/>
                <w:kern w:val="0"/>
                <w:sz w:val="24"/>
                <w:szCs w:val="24"/>
                <w:highlight w:val="none"/>
                <w:lang w:val="en-US" w:eastAsia="zh-CN" w:bidi="ar"/>
              </w:rPr>
              <w:t>2.8</w:t>
            </w:r>
            <w:r>
              <w:rPr>
                <w:rFonts w:hint="default" w:ascii="Times New Roman" w:hAnsi="Times New Roman" w:cs="Times New Roman"/>
                <w:color w:val="auto"/>
                <w:kern w:val="0"/>
                <w:sz w:val="24"/>
                <w:szCs w:val="24"/>
                <w:highlight w:val="none"/>
                <w:lang w:bidi="ar"/>
              </w:rPr>
              <w:t>t/d）</w:t>
            </w:r>
            <w:r>
              <w:rPr>
                <w:rFonts w:hint="eastAsia" w:ascii="宋体" w:hAnsi="宋体" w:cs="宋体"/>
                <w:color w:val="auto"/>
                <w:kern w:val="0"/>
                <w:sz w:val="24"/>
                <w:szCs w:val="24"/>
                <w:highlight w:val="none"/>
                <w:lang w:bidi="ar"/>
              </w:rPr>
              <w:t>，目前污水处理厂的接管余量</w:t>
            </w:r>
            <w:r>
              <w:rPr>
                <w:rFonts w:hint="eastAsia"/>
                <w:color w:val="auto"/>
                <w:kern w:val="0"/>
                <w:sz w:val="24"/>
                <w:szCs w:val="24"/>
                <w:highlight w:val="none"/>
                <w:lang w:val="en-US" w:eastAsia="zh-CN" w:bidi="ar"/>
              </w:rPr>
              <w:t>1.5</w:t>
            </w:r>
            <w:r>
              <w:rPr>
                <w:rFonts w:hint="eastAsia" w:ascii="宋体" w:hAnsi="宋体" w:cs="宋体"/>
                <w:color w:val="auto"/>
                <w:kern w:val="0"/>
                <w:sz w:val="24"/>
                <w:szCs w:val="24"/>
                <w:highlight w:val="none"/>
                <w:lang w:bidi="ar"/>
              </w:rPr>
              <w:t>万</w:t>
            </w:r>
            <w:r>
              <w:rPr>
                <w:rFonts w:hint="eastAsia"/>
                <w:color w:val="auto"/>
                <w:kern w:val="0"/>
                <w:sz w:val="24"/>
                <w:szCs w:val="24"/>
                <w:highlight w:val="none"/>
                <w:lang w:bidi="ar"/>
              </w:rPr>
              <w:t>m</w:t>
            </w:r>
            <w:r>
              <w:rPr>
                <w:rFonts w:hint="eastAsia"/>
                <w:color w:val="auto"/>
                <w:kern w:val="0"/>
                <w:sz w:val="24"/>
                <w:szCs w:val="24"/>
                <w:highlight w:val="none"/>
                <w:vertAlign w:val="superscript"/>
                <w:lang w:bidi="ar"/>
              </w:rPr>
              <w:t>3</w:t>
            </w:r>
            <w:r>
              <w:rPr>
                <w:color w:val="auto"/>
                <w:kern w:val="0"/>
                <w:sz w:val="24"/>
                <w:szCs w:val="24"/>
                <w:highlight w:val="none"/>
                <w:lang w:bidi="ar"/>
              </w:rPr>
              <w:t>/d</w:t>
            </w:r>
            <w:r>
              <w:rPr>
                <w:rFonts w:hint="eastAsia" w:ascii="宋体" w:hAnsi="宋体" w:cs="宋体"/>
                <w:color w:val="auto"/>
                <w:kern w:val="0"/>
                <w:sz w:val="24"/>
                <w:szCs w:val="24"/>
                <w:highlight w:val="none"/>
                <w:lang w:bidi="ar"/>
              </w:rPr>
              <w:t>，占接管余量的</w:t>
            </w:r>
            <w:r>
              <w:rPr>
                <w:color w:val="auto"/>
                <w:kern w:val="0"/>
                <w:sz w:val="24"/>
                <w:szCs w:val="24"/>
                <w:highlight w:val="none"/>
                <w:lang w:bidi="ar"/>
              </w:rPr>
              <w:t>0.0</w:t>
            </w:r>
            <w:r>
              <w:rPr>
                <w:rFonts w:hint="eastAsia"/>
                <w:color w:val="auto"/>
                <w:kern w:val="0"/>
                <w:sz w:val="24"/>
                <w:szCs w:val="24"/>
                <w:highlight w:val="none"/>
                <w:lang w:val="en-US" w:eastAsia="zh-CN" w:bidi="ar"/>
              </w:rPr>
              <w:t>18</w:t>
            </w:r>
            <w:r>
              <w:rPr>
                <w:color w:val="auto"/>
                <w:kern w:val="0"/>
                <w:sz w:val="24"/>
                <w:szCs w:val="24"/>
                <w:highlight w:val="none"/>
                <w:lang w:bidi="ar"/>
              </w:rPr>
              <w:t>%</w:t>
            </w:r>
            <w:r>
              <w:rPr>
                <w:rFonts w:hint="eastAsia" w:ascii="宋体" w:hAnsi="宋体" w:cs="宋体"/>
                <w:color w:val="auto"/>
                <w:kern w:val="0"/>
                <w:sz w:val="24"/>
                <w:szCs w:val="24"/>
                <w:highlight w:val="none"/>
                <w:lang w:bidi="ar"/>
              </w:rPr>
              <w:t>，在句容市</w:t>
            </w:r>
            <w:r>
              <w:rPr>
                <w:rFonts w:hint="eastAsia" w:ascii="宋体" w:hAnsi="宋体" w:cs="宋体"/>
                <w:color w:val="auto"/>
                <w:kern w:val="0"/>
                <w:sz w:val="24"/>
                <w:szCs w:val="24"/>
                <w:highlight w:val="none"/>
                <w:lang w:eastAsia="zh-CN" w:bidi="ar"/>
              </w:rPr>
              <w:t>郭庄污水处理</w:t>
            </w:r>
            <w:r>
              <w:rPr>
                <w:rFonts w:hint="eastAsia" w:ascii="宋体" w:hAnsi="宋体" w:cs="宋体"/>
                <w:color w:val="auto"/>
                <w:kern w:val="0"/>
                <w:sz w:val="24"/>
                <w:szCs w:val="24"/>
                <w:highlight w:val="none"/>
                <w:lang w:bidi="ar"/>
              </w:rPr>
              <w:t>有限公司水量处理范围内，不会对其产生冲击影响。</w:t>
            </w:r>
          </w:p>
          <w:p w14:paraId="66A565B1">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aps w:val="0"/>
                <w:smallCaps w:val="0"/>
                <w:color w:val="auto"/>
                <w:spacing w:val="0"/>
                <w:sz w:val="24"/>
                <w:szCs w:val="24"/>
                <w:highlight w:val="none"/>
                <w:lang w:val="en-US" w:eastAsia="zh-CN"/>
              </w:rPr>
            </w:pPr>
            <w:r>
              <w:rPr>
                <w:rFonts w:hint="eastAsia" w:ascii="宋体" w:hAnsi="宋体" w:cs="宋体"/>
                <w:color w:val="auto"/>
                <w:kern w:val="0"/>
                <w:sz w:val="24"/>
                <w:szCs w:val="24"/>
                <w:highlight w:val="none"/>
                <w:lang w:bidi="ar"/>
              </w:rPr>
              <w:t>综上分析，本项目废水排放在水质、水量、接管范围上，均满足污水处理厂的接管标准，项目废水接入句容</w:t>
            </w:r>
            <w:r>
              <w:rPr>
                <w:rFonts w:hint="eastAsia" w:ascii="宋体" w:hAnsi="宋体" w:cs="宋体"/>
                <w:color w:val="auto"/>
                <w:kern w:val="0"/>
                <w:sz w:val="24"/>
                <w:szCs w:val="24"/>
                <w:highlight w:val="none"/>
                <w:lang w:eastAsia="zh-CN" w:bidi="ar"/>
              </w:rPr>
              <w:t>郭庄污水处理</w:t>
            </w:r>
            <w:r>
              <w:rPr>
                <w:rFonts w:hint="eastAsia" w:ascii="宋体" w:hAnsi="宋体" w:cs="宋体"/>
                <w:color w:val="auto"/>
                <w:kern w:val="0"/>
                <w:sz w:val="24"/>
                <w:szCs w:val="24"/>
                <w:highlight w:val="none"/>
                <w:lang w:bidi="ar"/>
              </w:rPr>
              <w:t>有限公司集中处理是可行的。</w:t>
            </w:r>
          </w:p>
          <w:p w14:paraId="6013E6D2">
            <w:pPr>
              <w:pStyle w:val="4"/>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82" w:firstLineChars="200"/>
              <w:textAlignment w:val="auto"/>
              <w:outlineLvl w:val="2"/>
              <w:rPr>
                <w:rFonts w:hint="default" w:ascii="Times New Roman" w:hAnsi="Times New Roman" w:cs="Times New Roman"/>
                <w:color w:val="auto"/>
                <w:sz w:val="24"/>
                <w:highlight w:val="none"/>
              </w:rPr>
            </w:pP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地表水环境影响分析</w:t>
            </w:r>
          </w:p>
          <w:p w14:paraId="388ED06B">
            <w:pPr>
              <w:pageBreakBefore w:val="0"/>
              <w:widowControl w:val="0"/>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本项目位于受纳水体环境质量达标区域，</w:t>
            </w:r>
            <w:r>
              <w:rPr>
                <w:rFonts w:hint="eastAsia" w:ascii="宋体" w:hAnsi="宋体" w:cs="宋体"/>
                <w:color w:val="auto"/>
                <w:kern w:val="0"/>
                <w:sz w:val="24"/>
                <w:szCs w:val="24"/>
                <w:highlight w:val="none"/>
                <w:lang w:bidi="ar"/>
              </w:rPr>
              <w:t>生活污水</w:t>
            </w:r>
            <w:r>
              <w:rPr>
                <w:rFonts w:hint="eastAsia" w:ascii="宋体" w:hAnsi="宋体" w:cs="宋体"/>
                <w:color w:val="auto"/>
                <w:kern w:val="0"/>
                <w:sz w:val="24"/>
                <w:szCs w:val="24"/>
                <w:highlight w:val="none"/>
                <w:lang w:eastAsia="zh-CN" w:bidi="ar"/>
              </w:rPr>
              <w:t>和生产废水（先经沉淀池）</w:t>
            </w:r>
            <w:r>
              <w:rPr>
                <w:rFonts w:hint="eastAsia" w:ascii="宋体" w:hAnsi="宋体" w:cs="宋体"/>
                <w:color w:val="auto"/>
                <w:kern w:val="0"/>
                <w:sz w:val="24"/>
                <w:szCs w:val="24"/>
                <w:highlight w:val="none"/>
                <w:lang w:val="en-US" w:eastAsia="zh-CN" w:bidi="ar"/>
              </w:rPr>
              <w:t>再</w:t>
            </w:r>
            <w:r>
              <w:rPr>
                <w:rFonts w:hint="eastAsia" w:ascii="宋体" w:hAnsi="宋体" w:cs="宋体"/>
                <w:color w:val="auto"/>
                <w:kern w:val="0"/>
                <w:sz w:val="24"/>
                <w:szCs w:val="24"/>
                <w:highlight w:val="none"/>
                <w:lang w:bidi="ar"/>
              </w:rPr>
              <w:t>经厂内化粪池预处理</w:t>
            </w:r>
            <w:r>
              <w:rPr>
                <w:rFonts w:hint="eastAsia" w:ascii="宋体" w:hAnsi="宋体" w:cs="宋体"/>
                <w:color w:val="auto"/>
                <w:kern w:val="0"/>
                <w:sz w:val="24"/>
                <w:szCs w:val="24"/>
                <w:highlight w:val="none"/>
                <w:lang w:eastAsia="zh-CN" w:bidi="ar"/>
              </w:rPr>
              <w:t>达到</w:t>
            </w:r>
            <w:r>
              <w:rPr>
                <w:rFonts w:hint="eastAsia" w:ascii="宋体" w:hAnsi="宋体" w:cs="宋体"/>
                <w:color w:val="auto"/>
                <w:kern w:val="0"/>
                <w:sz w:val="24"/>
                <w:szCs w:val="24"/>
                <w:highlight w:val="none"/>
                <w:lang w:bidi="ar"/>
              </w:rPr>
              <w:t>句容市</w:t>
            </w:r>
            <w:r>
              <w:rPr>
                <w:rFonts w:hint="eastAsia" w:ascii="宋体" w:hAnsi="宋体" w:cs="宋体"/>
                <w:color w:val="auto"/>
                <w:kern w:val="0"/>
                <w:sz w:val="24"/>
                <w:szCs w:val="24"/>
                <w:highlight w:val="none"/>
                <w:lang w:eastAsia="zh-CN" w:bidi="ar"/>
              </w:rPr>
              <w:t>郭庄污水处理</w:t>
            </w:r>
            <w:r>
              <w:rPr>
                <w:rFonts w:hint="eastAsia" w:ascii="宋体" w:hAnsi="宋体" w:cs="宋体"/>
                <w:color w:val="auto"/>
                <w:kern w:val="0"/>
                <w:sz w:val="24"/>
                <w:szCs w:val="24"/>
                <w:highlight w:val="none"/>
                <w:lang w:bidi="ar"/>
              </w:rPr>
              <w:t>有限公司水质接管标准要求</w:t>
            </w:r>
            <w:r>
              <w:rPr>
                <w:rFonts w:hint="default" w:ascii="Times New Roman" w:hAnsi="Times New Roman" w:eastAsia="宋体" w:cs="Times New Roman"/>
                <w:color w:val="auto"/>
                <w:sz w:val="24"/>
                <w:szCs w:val="24"/>
                <w:highlight w:val="none"/>
              </w:rPr>
              <w:t>集中处理达标后排入</w:t>
            </w:r>
            <w:r>
              <w:rPr>
                <w:rFonts w:hint="eastAsia" w:cs="Times New Roman"/>
                <w:color w:val="auto"/>
                <w:sz w:val="24"/>
                <w:szCs w:val="24"/>
                <w:highlight w:val="none"/>
                <w:lang w:eastAsia="zh-CN"/>
              </w:rPr>
              <w:t>高阳河</w:t>
            </w:r>
            <w:r>
              <w:rPr>
                <w:rFonts w:hint="default" w:ascii="Times New Roman" w:hAnsi="Times New Roman" w:eastAsia="宋体" w:cs="Times New Roman"/>
                <w:color w:val="auto"/>
                <w:sz w:val="24"/>
                <w:szCs w:val="24"/>
                <w:highlight w:val="none"/>
              </w:rPr>
              <w:t>，项目废水经预处理后满足污水处理厂接管标准的要求，从水质水量、接管标准及建设进度等方面综合考虑，项目废水接管至</w:t>
            </w:r>
            <w:r>
              <w:rPr>
                <w:rFonts w:hint="eastAsia" w:ascii="宋体" w:hAnsi="宋体" w:cs="宋体"/>
                <w:color w:val="auto"/>
                <w:kern w:val="0"/>
                <w:sz w:val="24"/>
                <w:szCs w:val="24"/>
                <w:highlight w:val="none"/>
                <w:lang w:bidi="ar"/>
              </w:rPr>
              <w:t>句容市</w:t>
            </w:r>
            <w:r>
              <w:rPr>
                <w:rFonts w:hint="eastAsia" w:ascii="宋体" w:hAnsi="宋体" w:cs="宋体"/>
                <w:color w:val="auto"/>
                <w:kern w:val="0"/>
                <w:sz w:val="24"/>
                <w:szCs w:val="24"/>
                <w:highlight w:val="none"/>
                <w:lang w:eastAsia="zh-CN" w:bidi="ar"/>
              </w:rPr>
              <w:t>郭庄污水处理</w:t>
            </w:r>
            <w:r>
              <w:rPr>
                <w:rFonts w:hint="eastAsia" w:ascii="宋体" w:hAnsi="宋体" w:cs="宋体"/>
                <w:color w:val="auto"/>
                <w:kern w:val="0"/>
                <w:sz w:val="24"/>
                <w:szCs w:val="24"/>
                <w:highlight w:val="none"/>
                <w:lang w:bidi="ar"/>
              </w:rPr>
              <w:t>有限公司</w:t>
            </w:r>
            <w:r>
              <w:rPr>
                <w:rFonts w:hint="default" w:ascii="Times New Roman" w:hAnsi="Times New Roman" w:eastAsia="宋体" w:cs="Times New Roman"/>
                <w:color w:val="auto"/>
                <w:sz w:val="24"/>
                <w:szCs w:val="24"/>
                <w:highlight w:val="none"/>
              </w:rPr>
              <w:t>处理是可行的。因此，项目对地表水环境的影响可以接受。</w:t>
            </w:r>
          </w:p>
          <w:p w14:paraId="6EC6E421">
            <w:pPr>
              <w:pageBreakBefore w:val="0"/>
              <w:widowControl w:val="0"/>
              <w:kinsoku/>
              <w:wordWrap/>
              <w:overflowPunct/>
              <w:topLinePunct w:val="0"/>
              <w:bidi w:val="0"/>
              <w:adjustRightInd w:val="0"/>
              <w:snapToGrid w:val="0"/>
              <w:spacing w:line="360" w:lineRule="auto"/>
              <w:ind w:left="0" w:firstLine="482" w:firstLineChars="200"/>
              <w:textAlignment w:val="auto"/>
              <w:rPr>
                <w:rFonts w:eastAsiaTheme="minorEastAsia"/>
                <w:b/>
                <w:color w:val="auto"/>
                <w:kern w:val="0"/>
                <w:sz w:val="24"/>
                <w:highlight w:val="none"/>
              </w:rPr>
            </w:pPr>
            <w:r>
              <w:rPr>
                <w:rFonts w:eastAsiaTheme="minorEastAsia"/>
                <w:b/>
                <w:color w:val="auto"/>
                <w:kern w:val="0"/>
                <w:sz w:val="24"/>
                <w:highlight w:val="none"/>
              </w:rPr>
              <w:t>（三）噪声</w:t>
            </w:r>
          </w:p>
          <w:p w14:paraId="24ECD40D">
            <w:pPr>
              <w:pageBreakBefore w:val="0"/>
              <w:widowControl w:val="0"/>
              <w:kinsoku/>
              <w:wordWrap/>
              <w:overflowPunct/>
              <w:topLinePunct w:val="0"/>
              <w:autoSpaceDE w:val="0"/>
              <w:autoSpaceDN w:val="0"/>
              <w:bidi w:val="0"/>
              <w:adjustRightInd w:val="0"/>
              <w:snapToGrid w:val="0"/>
              <w:spacing w:line="360" w:lineRule="auto"/>
              <w:ind w:left="0" w:firstLine="482" w:firstLineChars="200"/>
              <w:jc w:val="left"/>
              <w:textAlignment w:val="auto"/>
              <w:rPr>
                <w:color w:val="auto"/>
                <w:kern w:val="0"/>
                <w:sz w:val="24"/>
                <w:highlight w:val="none"/>
              </w:rPr>
            </w:pPr>
            <w:r>
              <w:rPr>
                <w:b/>
                <w:bCs/>
                <w:color w:val="auto"/>
                <w:kern w:val="0"/>
                <w:sz w:val="24"/>
                <w:highlight w:val="none"/>
              </w:rPr>
              <w:t>1、噪声源强</w:t>
            </w:r>
          </w:p>
          <w:p w14:paraId="18756195">
            <w:pPr>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color w:val="auto"/>
                <w:kern w:val="0"/>
                <w:sz w:val="24"/>
                <w:highlight w:val="none"/>
              </w:rPr>
            </w:pPr>
            <w:r>
              <w:rPr>
                <w:rFonts w:hint="eastAsia"/>
                <w:color w:val="auto"/>
                <w:kern w:val="0"/>
                <w:sz w:val="24"/>
                <w:highlight w:val="none"/>
                <w:lang w:val="en-US" w:eastAsia="zh-CN"/>
              </w:rPr>
              <w:t>本</w:t>
            </w:r>
            <w:r>
              <w:rPr>
                <w:color w:val="auto"/>
                <w:kern w:val="0"/>
                <w:sz w:val="24"/>
                <w:highlight w:val="none"/>
              </w:rPr>
              <w:t>项目</w:t>
            </w:r>
            <w:r>
              <w:rPr>
                <w:rFonts w:hint="eastAsia"/>
                <w:color w:val="auto"/>
                <w:kern w:val="0"/>
                <w:sz w:val="24"/>
                <w:highlight w:val="none"/>
                <w:lang w:val="en-US" w:eastAsia="zh-CN"/>
              </w:rPr>
              <w:t>室内</w:t>
            </w:r>
            <w:r>
              <w:rPr>
                <w:color w:val="auto"/>
                <w:kern w:val="0"/>
                <w:sz w:val="24"/>
                <w:highlight w:val="none"/>
              </w:rPr>
              <w:t>噪声设备</w:t>
            </w:r>
            <w:r>
              <w:rPr>
                <w:rFonts w:hint="eastAsia"/>
                <w:color w:val="auto"/>
                <w:kern w:val="0"/>
                <w:sz w:val="24"/>
                <w:highlight w:val="none"/>
                <w:lang w:val="en-US" w:eastAsia="zh-CN"/>
              </w:rPr>
              <w:t>主要</w:t>
            </w:r>
            <w:r>
              <w:rPr>
                <w:color w:val="auto"/>
                <w:kern w:val="0"/>
                <w:sz w:val="24"/>
                <w:highlight w:val="none"/>
              </w:rPr>
              <w:t>为</w:t>
            </w:r>
            <w:r>
              <w:rPr>
                <w:rFonts w:hint="eastAsia"/>
                <w:color w:val="auto"/>
                <w:kern w:val="0"/>
                <w:sz w:val="24"/>
                <w:highlight w:val="none"/>
                <w:lang w:val="en-US" w:eastAsia="zh-CN"/>
              </w:rPr>
              <w:t>镀膜机等</w:t>
            </w:r>
            <w:r>
              <w:rPr>
                <w:color w:val="auto"/>
                <w:kern w:val="0"/>
                <w:sz w:val="24"/>
                <w:highlight w:val="none"/>
              </w:rPr>
              <w:t>，具体源强见表4-</w:t>
            </w:r>
            <w:r>
              <w:rPr>
                <w:rFonts w:hint="eastAsia"/>
                <w:color w:val="auto"/>
                <w:kern w:val="0"/>
                <w:sz w:val="24"/>
                <w:highlight w:val="none"/>
                <w:lang w:val="en-US" w:eastAsia="zh-CN"/>
              </w:rPr>
              <w:t>12、4-13</w:t>
            </w:r>
            <w:r>
              <w:rPr>
                <w:color w:val="auto"/>
                <w:kern w:val="0"/>
                <w:sz w:val="24"/>
                <w:highlight w:val="none"/>
              </w:rPr>
              <w:t>。</w:t>
            </w:r>
          </w:p>
          <w:p w14:paraId="7A7B5917">
            <w:pPr>
              <w:widowControl/>
              <w:autoSpaceDE w:val="0"/>
              <w:autoSpaceDN w:val="0"/>
              <w:adjustRightInd w:val="0"/>
              <w:snapToGrid w:val="0"/>
              <w:spacing w:line="360" w:lineRule="auto"/>
              <w:ind w:firstLine="420" w:firstLineChars="200"/>
              <w:jc w:val="left"/>
              <w:rPr>
                <w:rFonts w:eastAsiaTheme="minorEastAsia"/>
                <w:color w:val="auto"/>
                <w:highlight w:val="none"/>
              </w:rPr>
            </w:pPr>
          </w:p>
        </w:tc>
      </w:tr>
    </w:tbl>
    <w:p w14:paraId="43EB65C5">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7"/>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2585"/>
      </w:tblGrid>
      <w:tr w14:paraId="217F3C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213" w:type="pct"/>
            <w:tcMar>
              <w:left w:w="28" w:type="dxa"/>
              <w:right w:w="28" w:type="dxa"/>
            </w:tcMar>
            <w:vAlign w:val="center"/>
          </w:tcPr>
          <w:p w14:paraId="624C6923">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pPr>
          </w:p>
        </w:tc>
        <w:tc>
          <w:tcPr>
            <w:tcW w:w="4786" w:type="pct"/>
            <w:vAlign w:val="center"/>
          </w:tcPr>
          <w:p w14:paraId="6F04E759">
            <w:pPr>
              <w:adjustRightInd w:val="0"/>
              <w:snapToGrid w:val="0"/>
              <w:jc w:val="center"/>
              <w:rPr>
                <w:rFonts w:eastAsiaTheme="minorEastAsia"/>
                <w:b/>
                <w:snapToGrid w:val="0"/>
                <w:color w:val="auto"/>
                <w:kern w:val="0"/>
                <w:sz w:val="24"/>
                <w:highlight w:val="none"/>
              </w:rPr>
            </w:pPr>
            <w:r>
              <w:rPr>
                <w:rFonts w:eastAsiaTheme="minorEastAsia"/>
                <w:b/>
                <w:snapToGrid w:val="0"/>
                <w:color w:val="auto"/>
                <w:kern w:val="0"/>
                <w:sz w:val="24"/>
                <w:highlight w:val="none"/>
              </w:rPr>
              <w:t>表4</w:t>
            </w:r>
            <w:r>
              <w:rPr>
                <w:rFonts w:hint="eastAsia" w:eastAsiaTheme="minorEastAsia"/>
                <w:b/>
                <w:snapToGrid w:val="0"/>
                <w:color w:val="auto"/>
                <w:kern w:val="0"/>
                <w:sz w:val="24"/>
                <w:highlight w:val="none"/>
              </w:rPr>
              <w:t>-</w:t>
            </w:r>
            <w:r>
              <w:rPr>
                <w:rFonts w:hint="eastAsia" w:eastAsiaTheme="minorEastAsia"/>
                <w:b/>
                <w:snapToGrid w:val="0"/>
                <w:color w:val="auto"/>
                <w:kern w:val="0"/>
                <w:sz w:val="24"/>
                <w:highlight w:val="none"/>
                <w:lang w:val="en-US" w:eastAsia="zh-CN"/>
              </w:rPr>
              <w:t>12</w:t>
            </w:r>
            <w:r>
              <w:rPr>
                <w:rFonts w:eastAsiaTheme="minorEastAsia"/>
                <w:b/>
                <w:snapToGrid w:val="0"/>
                <w:color w:val="auto"/>
                <w:kern w:val="0"/>
                <w:sz w:val="24"/>
                <w:highlight w:val="none"/>
              </w:rPr>
              <w:t xml:space="preserve"> </w:t>
            </w:r>
            <w:r>
              <w:rPr>
                <w:rFonts w:hint="eastAsia" w:eastAsiaTheme="minorEastAsia"/>
                <w:b/>
                <w:snapToGrid w:val="0"/>
                <w:color w:val="auto"/>
                <w:kern w:val="0"/>
                <w:sz w:val="24"/>
                <w:highlight w:val="none"/>
              </w:rPr>
              <w:t>本</w:t>
            </w:r>
            <w:r>
              <w:rPr>
                <w:rFonts w:eastAsiaTheme="minorEastAsia"/>
                <w:b/>
                <w:snapToGrid w:val="0"/>
                <w:color w:val="auto"/>
                <w:kern w:val="0"/>
                <w:sz w:val="24"/>
                <w:highlight w:val="none"/>
              </w:rPr>
              <w:t>项目企业噪声源强调查清单（室内声源）</w:t>
            </w:r>
          </w:p>
          <w:tbl>
            <w:tblPr>
              <w:tblStyle w:val="37"/>
              <w:tblW w:w="1229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60"/>
              <w:gridCol w:w="792"/>
              <w:gridCol w:w="1802"/>
              <w:gridCol w:w="692"/>
              <w:gridCol w:w="790"/>
              <w:gridCol w:w="647"/>
              <w:gridCol w:w="647"/>
              <w:gridCol w:w="647"/>
              <w:gridCol w:w="938"/>
              <w:gridCol w:w="946"/>
              <w:gridCol w:w="886"/>
              <w:gridCol w:w="946"/>
              <w:gridCol w:w="1094"/>
              <w:gridCol w:w="1012"/>
            </w:tblGrid>
            <w:tr w14:paraId="0EBBDE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60" w:type="dxa"/>
                  <w:vMerge w:val="restart"/>
                  <w:shd w:val="clear" w:color="auto" w:fill="auto"/>
                  <w:noWrap/>
                  <w:vAlign w:val="center"/>
                </w:tcPr>
                <w:p w14:paraId="5934940C">
                  <w:pPr>
                    <w:pStyle w:val="91"/>
                    <w:rPr>
                      <w:b/>
                      <w:bCs/>
                      <w:color w:val="auto"/>
                      <w:highlight w:val="none"/>
                      <w:lang w:val="en-US"/>
                    </w:rPr>
                  </w:pPr>
                  <w:r>
                    <w:rPr>
                      <w:b/>
                      <w:bCs/>
                      <w:color w:val="auto"/>
                      <w:highlight w:val="none"/>
                      <w:lang w:val="en-US"/>
                    </w:rPr>
                    <w:t>序号</w:t>
                  </w:r>
                </w:p>
              </w:tc>
              <w:tc>
                <w:tcPr>
                  <w:tcW w:w="792" w:type="dxa"/>
                  <w:vMerge w:val="restart"/>
                  <w:shd w:val="clear" w:color="auto" w:fill="auto"/>
                  <w:noWrap/>
                  <w:vAlign w:val="center"/>
                </w:tcPr>
                <w:p w14:paraId="0681AA07">
                  <w:pPr>
                    <w:pStyle w:val="91"/>
                    <w:rPr>
                      <w:b/>
                      <w:bCs/>
                      <w:color w:val="auto"/>
                      <w:highlight w:val="none"/>
                      <w:lang w:val="en-US"/>
                    </w:rPr>
                  </w:pPr>
                  <w:r>
                    <w:rPr>
                      <w:b/>
                      <w:bCs/>
                      <w:color w:val="auto"/>
                      <w:highlight w:val="none"/>
                      <w:lang w:val="en-US"/>
                    </w:rPr>
                    <w:t>建筑物名称</w:t>
                  </w:r>
                </w:p>
              </w:tc>
              <w:tc>
                <w:tcPr>
                  <w:tcW w:w="1802" w:type="dxa"/>
                  <w:vMerge w:val="restart"/>
                  <w:shd w:val="clear" w:color="auto" w:fill="auto"/>
                  <w:noWrap/>
                  <w:vAlign w:val="center"/>
                </w:tcPr>
                <w:p w14:paraId="7C7129A9">
                  <w:pPr>
                    <w:pStyle w:val="91"/>
                    <w:rPr>
                      <w:b/>
                      <w:bCs/>
                      <w:color w:val="auto"/>
                      <w:highlight w:val="none"/>
                      <w:lang w:val="en-US"/>
                    </w:rPr>
                  </w:pPr>
                  <w:r>
                    <w:rPr>
                      <w:b/>
                      <w:bCs/>
                      <w:color w:val="auto"/>
                      <w:highlight w:val="none"/>
                      <w:lang w:val="en-US"/>
                    </w:rPr>
                    <w:t>声源名称</w:t>
                  </w:r>
                </w:p>
              </w:tc>
              <w:tc>
                <w:tcPr>
                  <w:tcW w:w="692" w:type="dxa"/>
                  <w:vMerge w:val="restart"/>
                  <w:shd w:val="clear" w:color="auto" w:fill="auto"/>
                  <w:noWrap/>
                  <w:vAlign w:val="center"/>
                </w:tcPr>
                <w:p w14:paraId="053734E4">
                  <w:pPr>
                    <w:pStyle w:val="91"/>
                    <w:rPr>
                      <w:b/>
                      <w:bCs/>
                      <w:color w:val="auto"/>
                      <w:highlight w:val="none"/>
                      <w:lang w:val="en-US"/>
                    </w:rPr>
                  </w:pPr>
                  <w:r>
                    <w:rPr>
                      <w:b/>
                      <w:bCs/>
                      <w:color w:val="auto"/>
                      <w:highlight w:val="none"/>
                      <w:lang w:val="en-US"/>
                    </w:rPr>
                    <w:t>声源源强/dB(A)</w:t>
                  </w:r>
                </w:p>
              </w:tc>
              <w:tc>
                <w:tcPr>
                  <w:tcW w:w="790" w:type="dxa"/>
                  <w:vMerge w:val="restart"/>
                  <w:shd w:val="clear" w:color="auto" w:fill="auto"/>
                  <w:noWrap/>
                  <w:vAlign w:val="center"/>
                </w:tcPr>
                <w:p w14:paraId="554AF8C1">
                  <w:pPr>
                    <w:pStyle w:val="91"/>
                    <w:rPr>
                      <w:b/>
                      <w:bCs/>
                      <w:color w:val="auto"/>
                      <w:highlight w:val="none"/>
                      <w:lang w:val="en-US"/>
                    </w:rPr>
                  </w:pPr>
                  <w:r>
                    <w:rPr>
                      <w:b/>
                      <w:bCs/>
                      <w:color w:val="auto"/>
                      <w:highlight w:val="none"/>
                      <w:lang w:val="en-US"/>
                    </w:rPr>
                    <w:t>声源控制措施</w:t>
                  </w:r>
                </w:p>
              </w:tc>
              <w:tc>
                <w:tcPr>
                  <w:tcW w:w="1941" w:type="dxa"/>
                  <w:gridSpan w:val="3"/>
                  <w:shd w:val="clear" w:color="auto" w:fill="auto"/>
                  <w:noWrap/>
                  <w:vAlign w:val="center"/>
                </w:tcPr>
                <w:p w14:paraId="1CAA7E86">
                  <w:pPr>
                    <w:pStyle w:val="91"/>
                    <w:rPr>
                      <w:b/>
                      <w:bCs/>
                      <w:color w:val="auto"/>
                      <w:highlight w:val="none"/>
                      <w:lang w:val="en-US"/>
                    </w:rPr>
                  </w:pPr>
                  <w:r>
                    <w:rPr>
                      <w:b/>
                      <w:bCs/>
                      <w:color w:val="auto"/>
                      <w:highlight w:val="none"/>
                      <w:lang w:val="en-US"/>
                    </w:rPr>
                    <w:t>相对空间位置/m</w:t>
                  </w:r>
                </w:p>
              </w:tc>
              <w:tc>
                <w:tcPr>
                  <w:tcW w:w="938" w:type="dxa"/>
                  <w:vMerge w:val="restart"/>
                  <w:shd w:val="clear" w:color="auto" w:fill="auto"/>
                  <w:noWrap/>
                  <w:vAlign w:val="center"/>
                </w:tcPr>
                <w:p w14:paraId="214C5BDE">
                  <w:pPr>
                    <w:pStyle w:val="91"/>
                    <w:rPr>
                      <w:b/>
                      <w:bCs/>
                      <w:color w:val="auto"/>
                      <w:highlight w:val="none"/>
                      <w:lang w:val="en-US"/>
                    </w:rPr>
                  </w:pPr>
                  <w:r>
                    <w:rPr>
                      <w:b/>
                      <w:bCs/>
                      <w:color w:val="auto"/>
                      <w:highlight w:val="none"/>
                      <w:lang w:val="en-US"/>
                    </w:rPr>
                    <w:t>距室内边界距离/m</w:t>
                  </w:r>
                </w:p>
              </w:tc>
              <w:tc>
                <w:tcPr>
                  <w:tcW w:w="946" w:type="dxa"/>
                  <w:vMerge w:val="restart"/>
                  <w:shd w:val="clear" w:color="auto" w:fill="auto"/>
                  <w:noWrap/>
                  <w:vAlign w:val="center"/>
                </w:tcPr>
                <w:p w14:paraId="0EEAD45C">
                  <w:pPr>
                    <w:pStyle w:val="91"/>
                    <w:rPr>
                      <w:b/>
                      <w:bCs/>
                      <w:color w:val="auto"/>
                      <w:highlight w:val="none"/>
                      <w:lang w:val="en-US"/>
                    </w:rPr>
                  </w:pPr>
                  <w:r>
                    <w:rPr>
                      <w:b/>
                      <w:bCs/>
                      <w:color w:val="auto"/>
                      <w:highlight w:val="none"/>
                      <w:lang w:val="en-US"/>
                    </w:rPr>
                    <w:t>室内边界声级/dB(A)</w:t>
                  </w:r>
                </w:p>
              </w:tc>
              <w:tc>
                <w:tcPr>
                  <w:tcW w:w="886" w:type="dxa"/>
                  <w:vMerge w:val="restart"/>
                  <w:shd w:val="clear" w:color="auto" w:fill="auto"/>
                  <w:noWrap/>
                  <w:vAlign w:val="center"/>
                </w:tcPr>
                <w:p w14:paraId="3F460116">
                  <w:pPr>
                    <w:pStyle w:val="91"/>
                    <w:rPr>
                      <w:rFonts w:hint="eastAsia" w:eastAsia="宋体"/>
                      <w:b/>
                      <w:bCs/>
                      <w:color w:val="auto"/>
                      <w:highlight w:val="none"/>
                      <w:lang w:val="en-US" w:eastAsia="zh-CN"/>
                    </w:rPr>
                  </w:pPr>
                  <w:r>
                    <w:rPr>
                      <w:b/>
                      <w:bCs/>
                      <w:color w:val="auto"/>
                      <w:highlight w:val="none"/>
                      <w:lang w:val="en-US"/>
                    </w:rPr>
                    <w:t>运行时段</w:t>
                  </w:r>
                  <w:r>
                    <w:rPr>
                      <w:rFonts w:hint="eastAsia"/>
                      <w:b/>
                      <w:bCs/>
                      <w:color w:val="auto"/>
                      <w:highlight w:val="none"/>
                      <w:lang w:val="en-US" w:eastAsia="zh-CN"/>
                    </w:rPr>
                    <w:t>（h）</w:t>
                  </w:r>
                </w:p>
              </w:tc>
              <w:tc>
                <w:tcPr>
                  <w:tcW w:w="946" w:type="dxa"/>
                  <w:vMerge w:val="restart"/>
                  <w:shd w:val="clear" w:color="auto" w:fill="auto"/>
                  <w:noWrap/>
                  <w:vAlign w:val="center"/>
                </w:tcPr>
                <w:p w14:paraId="56A1E897">
                  <w:pPr>
                    <w:pStyle w:val="91"/>
                    <w:rPr>
                      <w:b/>
                      <w:bCs/>
                      <w:color w:val="auto"/>
                      <w:highlight w:val="none"/>
                      <w:lang w:val="en-US"/>
                    </w:rPr>
                  </w:pPr>
                  <w:r>
                    <w:rPr>
                      <w:b/>
                      <w:bCs/>
                      <w:color w:val="auto"/>
                      <w:highlight w:val="none"/>
                      <w:lang w:val="en-US"/>
                    </w:rPr>
                    <w:t>建筑物插入损失/dB(A)</w:t>
                  </w:r>
                </w:p>
              </w:tc>
              <w:tc>
                <w:tcPr>
                  <w:tcW w:w="2106" w:type="dxa"/>
                  <w:gridSpan w:val="2"/>
                  <w:tcBorders>
                    <w:bottom w:val="single" w:color="000000" w:sz="4" w:space="0"/>
                  </w:tcBorders>
                  <w:shd w:val="clear" w:color="auto" w:fill="auto"/>
                  <w:noWrap/>
                  <w:vAlign w:val="center"/>
                </w:tcPr>
                <w:p w14:paraId="658072B2">
                  <w:pPr>
                    <w:pStyle w:val="91"/>
                    <w:rPr>
                      <w:b/>
                      <w:bCs/>
                      <w:color w:val="auto"/>
                      <w:highlight w:val="none"/>
                      <w:lang w:val="en-US"/>
                    </w:rPr>
                  </w:pPr>
                  <w:r>
                    <w:rPr>
                      <w:b/>
                      <w:bCs/>
                      <w:color w:val="auto"/>
                      <w:highlight w:val="none"/>
                      <w:lang w:val="en-US"/>
                    </w:rPr>
                    <w:t>建筑物外噪声</w:t>
                  </w:r>
                </w:p>
              </w:tc>
            </w:tr>
            <w:tr w14:paraId="2E1A42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60" w:type="dxa"/>
                  <w:vMerge w:val="continue"/>
                  <w:tcBorders>
                    <w:bottom w:val="single" w:color="000000" w:sz="12" w:space="0"/>
                  </w:tcBorders>
                  <w:shd w:val="clear" w:color="auto" w:fill="auto"/>
                  <w:noWrap/>
                  <w:vAlign w:val="center"/>
                </w:tcPr>
                <w:p w14:paraId="4EA0C6B4">
                  <w:pPr>
                    <w:pStyle w:val="91"/>
                    <w:rPr>
                      <w:b/>
                      <w:bCs/>
                      <w:color w:val="auto"/>
                      <w:highlight w:val="none"/>
                      <w:lang w:val="en-US"/>
                    </w:rPr>
                  </w:pPr>
                </w:p>
              </w:tc>
              <w:tc>
                <w:tcPr>
                  <w:tcW w:w="792" w:type="dxa"/>
                  <w:vMerge w:val="continue"/>
                  <w:tcBorders>
                    <w:bottom w:val="single" w:color="000000" w:sz="12" w:space="0"/>
                  </w:tcBorders>
                  <w:shd w:val="clear" w:color="auto" w:fill="auto"/>
                  <w:noWrap/>
                  <w:vAlign w:val="center"/>
                </w:tcPr>
                <w:p w14:paraId="4EEADC5F">
                  <w:pPr>
                    <w:pStyle w:val="91"/>
                    <w:rPr>
                      <w:b/>
                      <w:bCs/>
                      <w:color w:val="auto"/>
                      <w:highlight w:val="none"/>
                      <w:lang w:val="en-US"/>
                    </w:rPr>
                  </w:pPr>
                </w:p>
              </w:tc>
              <w:tc>
                <w:tcPr>
                  <w:tcW w:w="1802" w:type="dxa"/>
                  <w:vMerge w:val="continue"/>
                  <w:tcBorders>
                    <w:bottom w:val="single" w:color="000000" w:sz="12" w:space="0"/>
                  </w:tcBorders>
                  <w:shd w:val="clear" w:color="auto" w:fill="auto"/>
                  <w:noWrap/>
                  <w:vAlign w:val="center"/>
                </w:tcPr>
                <w:p w14:paraId="7006A4B8">
                  <w:pPr>
                    <w:pStyle w:val="91"/>
                    <w:rPr>
                      <w:b/>
                      <w:bCs/>
                      <w:color w:val="auto"/>
                      <w:highlight w:val="none"/>
                      <w:lang w:val="en-US"/>
                    </w:rPr>
                  </w:pPr>
                </w:p>
              </w:tc>
              <w:tc>
                <w:tcPr>
                  <w:tcW w:w="692" w:type="dxa"/>
                  <w:vMerge w:val="continue"/>
                  <w:tcBorders>
                    <w:bottom w:val="single" w:color="000000" w:sz="12" w:space="0"/>
                  </w:tcBorders>
                  <w:shd w:val="clear" w:color="auto" w:fill="auto"/>
                  <w:noWrap/>
                  <w:vAlign w:val="center"/>
                </w:tcPr>
                <w:p w14:paraId="190203DA">
                  <w:pPr>
                    <w:pStyle w:val="91"/>
                    <w:rPr>
                      <w:b/>
                      <w:bCs/>
                      <w:color w:val="auto"/>
                      <w:highlight w:val="none"/>
                      <w:lang w:val="en-US"/>
                    </w:rPr>
                  </w:pPr>
                </w:p>
              </w:tc>
              <w:tc>
                <w:tcPr>
                  <w:tcW w:w="790" w:type="dxa"/>
                  <w:vMerge w:val="continue"/>
                  <w:tcBorders>
                    <w:bottom w:val="single" w:color="000000" w:sz="12" w:space="0"/>
                  </w:tcBorders>
                  <w:shd w:val="clear" w:color="auto" w:fill="auto"/>
                  <w:noWrap/>
                  <w:vAlign w:val="center"/>
                </w:tcPr>
                <w:p w14:paraId="208BD4B3">
                  <w:pPr>
                    <w:pStyle w:val="91"/>
                    <w:rPr>
                      <w:b/>
                      <w:bCs/>
                      <w:color w:val="auto"/>
                      <w:highlight w:val="none"/>
                      <w:lang w:val="en-US"/>
                    </w:rPr>
                  </w:pPr>
                </w:p>
              </w:tc>
              <w:tc>
                <w:tcPr>
                  <w:tcW w:w="647" w:type="dxa"/>
                  <w:tcBorders>
                    <w:bottom w:val="single" w:color="000000" w:sz="12" w:space="0"/>
                  </w:tcBorders>
                  <w:shd w:val="clear" w:color="auto" w:fill="auto"/>
                  <w:noWrap/>
                  <w:vAlign w:val="center"/>
                </w:tcPr>
                <w:p w14:paraId="5202BCE4">
                  <w:pPr>
                    <w:pStyle w:val="91"/>
                    <w:rPr>
                      <w:b/>
                      <w:bCs/>
                      <w:color w:val="auto"/>
                      <w:highlight w:val="none"/>
                      <w:lang w:val="en-US"/>
                    </w:rPr>
                  </w:pPr>
                  <w:r>
                    <w:rPr>
                      <w:b/>
                      <w:bCs/>
                      <w:color w:val="auto"/>
                      <w:highlight w:val="none"/>
                      <w:lang w:val="en-US"/>
                    </w:rPr>
                    <w:t>X</w:t>
                  </w:r>
                </w:p>
              </w:tc>
              <w:tc>
                <w:tcPr>
                  <w:tcW w:w="647" w:type="dxa"/>
                  <w:tcBorders>
                    <w:bottom w:val="single" w:color="000000" w:sz="12" w:space="0"/>
                  </w:tcBorders>
                  <w:shd w:val="clear" w:color="auto" w:fill="auto"/>
                  <w:noWrap/>
                  <w:vAlign w:val="center"/>
                </w:tcPr>
                <w:p w14:paraId="03DF1CF7">
                  <w:pPr>
                    <w:pStyle w:val="91"/>
                    <w:rPr>
                      <w:b/>
                      <w:bCs/>
                      <w:color w:val="auto"/>
                      <w:highlight w:val="none"/>
                      <w:lang w:val="en-US"/>
                    </w:rPr>
                  </w:pPr>
                  <w:r>
                    <w:rPr>
                      <w:b/>
                      <w:bCs/>
                      <w:color w:val="auto"/>
                      <w:highlight w:val="none"/>
                      <w:lang w:val="en-US"/>
                    </w:rPr>
                    <w:t>Y</w:t>
                  </w:r>
                </w:p>
              </w:tc>
              <w:tc>
                <w:tcPr>
                  <w:tcW w:w="647" w:type="dxa"/>
                  <w:tcBorders>
                    <w:bottom w:val="single" w:color="000000" w:sz="12" w:space="0"/>
                  </w:tcBorders>
                  <w:shd w:val="clear" w:color="auto" w:fill="auto"/>
                  <w:noWrap/>
                  <w:vAlign w:val="center"/>
                </w:tcPr>
                <w:p w14:paraId="07680660">
                  <w:pPr>
                    <w:pStyle w:val="91"/>
                    <w:rPr>
                      <w:b/>
                      <w:bCs/>
                      <w:color w:val="auto"/>
                      <w:highlight w:val="none"/>
                      <w:lang w:val="en-US"/>
                    </w:rPr>
                  </w:pPr>
                  <w:r>
                    <w:rPr>
                      <w:b/>
                      <w:bCs/>
                      <w:color w:val="auto"/>
                      <w:highlight w:val="none"/>
                      <w:lang w:val="en-US"/>
                    </w:rPr>
                    <w:t>Z</w:t>
                  </w:r>
                </w:p>
              </w:tc>
              <w:tc>
                <w:tcPr>
                  <w:tcW w:w="938" w:type="dxa"/>
                  <w:vMerge w:val="continue"/>
                  <w:tcBorders>
                    <w:bottom w:val="single" w:color="000000" w:sz="12" w:space="0"/>
                  </w:tcBorders>
                  <w:shd w:val="clear" w:color="auto" w:fill="auto"/>
                  <w:noWrap/>
                  <w:vAlign w:val="center"/>
                </w:tcPr>
                <w:p w14:paraId="360EE733">
                  <w:pPr>
                    <w:pStyle w:val="91"/>
                    <w:rPr>
                      <w:b/>
                      <w:bCs/>
                      <w:color w:val="auto"/>
                      <w:highlight w:val="none"/>
                      <w:lang w:val="en-US"/>
                    </w:rPr>
                  </w:pPr>
                </w:p>
              </w:tc>
              <w:tc>
                <w:tcPr>
                  <w:tcW w:w="946" w:type="dxa"/>
                  <w:vMerge w:val="continue"/>
                  <w:tcBorders>
                    <w:bottom w:val="single" w:color="000000" w:sz="12" w:space="0"/>
                  </w:tcBorders>
                  <w:shd w:val="clear" w:color="auto" w:fill="auto"/>
                  <w:noWrap/>
                  <w:vAlign w:val="center"/>
                </w:tcPr>
                <w:p w14:paraId="48B6CB61">
                  <w:pPr>
                    <w:pStyle w:val="91"/>
                    <w:rPr>
                      <w:b/>
                      <w:bCs/>
                      <w:color w:val="auto"/>
                      <w:highlight w:val="none"/>
                      <w:lang w:val="en-US"/>
                    </w:rPr>
                  </w:pPr>
                </w:p>
              </w:tc>
              <w:tc>
                <w:tcPr>
                  <w:tcW w:w="886" w:type="dxa"/>
                  <w:vMerge w:val="continue"/>
                  <w:tcBorders>
                    <w:bottom w:val="single" w:color="000000" w:sz="12" w:space="0"/>
                  </w:tcBorders>
                  <w:shd w:val="clear" w:color="auto" w:fill="auto"/>
                  <w:noWrap/>
                  <w:vAlign w:val="center"/>
                </w:tcPr>
                <w:p w14:paraId="7D7FFFBF">
                  <w:pPr>
                    <w:pStyle w:val="91"/>
                    <w:rPr>
                      <w:b/>
                      <w:bCs/>
                      <w:color w:val="auto"/>
                      <w:highlight w:val="none"/>
                      <w:lang w:val="en-US"/>
                    </w:rPr>
                  </w:pPr>
                </w:p>
              </w:tc>
              <w:tc>
                <w:tcPr>
                  <w:tcW w:w="946" w:type="dxa"/>
                  <w:vMerge w:val="continue"/>
                  <w:tcBorders>
                    <w:bottom w:val="single" w:color="000000" w:sz="12" w:space="0"/>
                  </w:tcBorders>
                  <w:shd w:val="clear" w:color="auto" w:fill="auto"/>
                  <w:noWrap/>
                  <w:vAlign w:val="center"/>
                </w:tcPr>
                <w:p w14:paraId="71AAAEB9">
                  <w:pPr>
                    <w:pStyle w:val="91"/>
                    <w:rPr>
                      <w:b/>
                      <w:bCs/>
                      <w:color w:val="auto"/>
                      <w:highlight w:val="none"/>
                      <w:lang w:val="en-US"/>
                    </w:rPr>
                  </w:pPr>
                </w:p>
              </w:tc>
              <w:tc>
                <w:tcPr>
                  <w:tcW w:w="1094" w:type="dxa"/>
                  <w:tcBorders>
                    <w:top w:val="single" w:color="000000" w:sz="4" w:space="0"/>
                    <w:bottom w:val="single" w:color="000000" w:sz="12" w:space="0"/>
                  </w:tcBorders>
                  <w:shd w:val="clear" w:color="auto" w:fill="auto"/>
                  <w:noWrap/>
                  <w:vAlign w:val="center"/>
                </w:tcPr>
                <w:p w14:paraId="41A17397">
                  <w:pPr>
                    <w:pStyle w:val="91"/>
                    <w:rPr>
                      <w:b/>
                      <w:bCs/>
                      <w:color w:val="auto"/>
                      <w:highlight w:val="none"/>
                      <w:lang w:val="en-US"/>
                    </w:rPr>
                  </w:pPr>
                  <w:r>
                    <w:rPr>
                      <w:b/>
                      <w:bCs/>
                      <w:color w:val="auto"/>
                      <w:highlight w:val="none"/>
                      <w:lang w:val="en-US"/>
                    </w:rPr>
                    <w:t>声压级/dB(A)</w:t>
                  </w:r>
                </w:p>
              </w:tc>
              <w:tc>
                <w:tcPr>
                  <w:tcW w:w="1012" w:type="dxa"/>
                  <w:tcBorders>
                    <w:top w:val="single" w:color="000000" w:sz="4" w:space="0"/>
                    <w:bottom w:val="single" w:color="000000" w:sz="12" w:space="0"/>
                  </w:tcBorders>
                  <w:shd w:val="clear" w:color="auto" w:fill="auto"/>
                  <w:noWrap/>
                  <w:vAlign w:val="center"/>
                </w:tcPr>
                <w:p w14:paraId="500388AF">
                  <w:pPr>
                    <w:pStyle w:val="91"/>
                    <w:rPr>
                      <w:b/>
                      <w:bCs/>
                      <w:color w:val="auto"/>
                      <w:highlight w:val="none"/>
                      <w:lang w:val="en-US"/>
                    </w:rPr>
                  </w:pPr>
                  <w:r>
                    <w:rPr>
                      <w:b/>
                      <w:bCs/>
                      <w:color w:val="auto"/>
                      <w:highlight w:val="none"/>
                      <w:lang w:val="en-US"/>
                    </w:rPr>
                    <w:t>建筑物外距离</w:t>
                  </w:r>
                </w:p>
              </w:tc>
            </w:tr>
            <w:tr w14:paraId="647EE6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460" w:type="dxa"/>
                  <w:tcBorders>
                    <w:top w:val="single" w:color="000000" w:sz="12" w:space="0"/>
                    <w:tl2br w:val="nil"/>
                    <w:tr2bl w:val="nil"/>
                  </w:tcBorders>
                  <w:shd w:val="clear" w:color="auto" w:fill="auto"/>
                  <w:noWrap/>
                  <w:vAlign w:val="center"/>
                </w:tcPr>
                <w:p w14:paraId="5C45D275">
                  <w:pPr>
                    <w:pStyle w:val="81"/>
                    <w:spacing w:line="240" w:lineRule="auto"/>
                    <w:rPr>
                      <w:color w:val="auto"/>
                      <w:szCs w:val="21"/>
                      <w:highlight w:val="none"/>
                    </w:rPr>
                  </w:pPr>
                  <w:r>
                    <w:rPr>
                      <w:rFonts w:hint="default" w:ascii="Times New Roman" w:hAnsi="Times New Roman" w:cs="Times New Roman"/>
                      <w:color w:val="auto"/>
                      <w:sz w:val="21"/>
                      <w:szCs w:val="21"/>
                      <w:highlight w:val="none"/>
                      <w:lang w:val="en-US" w:eastAsia="zh-CN"/>
                    </w:rPr>
                    <w:t>1</w:t>
                  </w:r>
                </w:p>
              </w:tc>
              <w:tc>
                <w:tcPr>
                  <w:tcW w:w="792" w:type="dxa"/>
                  <w:vMerge w:val="restart"/>
                  <w:tcBorders>
                    <w:top w:val="single" w:color="000000" w:sz="12" w:space="0"/>
                    <w:tl2br w:val="nil"/>
                    <w:tr2bl w:val="nil"/>
                  </w:tcBorders>
                  <w:shd w:val="clear" w:color="auto" w:fill="auto"/>
                  <w:vAlign w:val="center"/>
                </w:tcPr>
                <w:p w14:paraId="3F87A20B">
                  <w:pPr>
                    <w:pStyle w:val="91"/>
                    <w:rPr>
                      <w:rFonts w:hint="eastAsia" w:eastAsia="宋体"/>
                      <w:color w:val="auto"/>
                      <w:highlight w:val="none"/>
                      <w:lang w:val="en-US" w:eastAsia="zh-CN"/>
                    </w:rPr>
                  </w:pPr>
                  <w:r>
                    <w:rPr>
                      <w:rFonts w:hint="eastAsia"/>
                      <w:color w:val="auto"/>
                      <w:highlight w:val="none"/>
                      <w:lang w:val="en-US"/>
                    </w:rPr>
                    <w:t>生产车间</w:t>
                  </w:r>
                </w:p>
              </w:tc>
              <w:tc>
                <w:tcPr>
                  <w:tcW w:w="1802" w:type="dxa"/>
                  <w:tcBorders>
                    <w:top w:val="single" w:color="000000" w:sz="12" w:space="0"/>
                    <w:tl2br w:val="nil"/>
                    <w:tr2bl w:val="nil"/>
                  </w:tcBorders>
                  <w:shd w:val="clear" w:color="auto" w:fill="auto"/>
                  <w:vAlign w:val="center"/>
                </w:tcPr>
                <w:p w14:paraId="3219B556">
                  <w:pPr>
                    <w:pStyle w:val="81"/>
                    <w:spacing w:line="240" w:lineRule="auto"/>
                    <w:rPr>
                      <w:color w:val="auto"/>
                      <w:szCs w:val="21"/>
                      <w:highlight w:val="none"/>
                    </w:rPr>
                  </w:pPr>
                  <w:r>
                    <w:rPr>
                      <w:rFonts w:hint="eastAsia" w:ascii="Times New Roman" w:hAnsi="Times New Roman" w:eastAsia="宋体" w:cs="Times New Roman"/>
                      <w:color w:val="auto"/>
                      <w:sz w:val="21"/>
                      <w:szCs w:val="21"/>
                      <w:highlight w:val="none"/>
                      <w:lang w:val="en-US" w:eastAsia="zh-CN"/>
                    </w:rPr>
                    <w:t>二次元</w:t>
                  </w:r>
                </w:p>
              </w:tc>
              <w:tc>
                <w:tcPr>
                  <w:tcW w:w="692" w:type="dxa"/>
                  <w:tcBorders>
                    <w:top w:val="single" w:color="000000" w:sz="12" w:space="0"/>
                    <w:tl2br w:val="nil"/>
                    <w:tr2bl w:val="nil"/>
                  </w:tcBorders>
                  <w:shd w:val="clear" w:color="auto" w:fill="auto"/>
                  <w:vAlign w:val="center"/>
                </w:tcPr>
                <w:p w14:paraId="5AD76837">
                  <w:pPr>
                    <w:widowControl/>
                    <w:jc w:val="center"/>
                    <w:textAlignment w:val="center"/>
                    <w:rPr>
                      <w:color w:val="auto"/>
                      <w:szCs w:val="21"/>
                      <w:highlight w:val="none"/>
                    </w:rPr>
                  </w:pPr>
                  <w:r>
                    <w:rPr>
                      <w:color w:val="auto"/>
                      <w:kern w:val="0"/>
                      <w:szCs w:val="21"/>
                      <w:highlight w:val="none"/>
                      <w:lang w:bidi="ar"/>
                    </w:rPr>
                    <w:t>70</w:t>
                  </w:r>
                </w:p>
              </w:tc>
              <w:tc>
                <w:tcPr>
                  <w:tcW w:w="790" w:type="dxa"/>
                  <w:vMerge w:val="restart"/>
                  <w:tcBorders>
                    <w:top w:val="single" w:color="000000" w:sz="12" w:space="0"/>
                    <w:tl2br w:val="nil"/>
                    <w:tr2bl w:val="nil"/>
                  </w:tcBorders>
                  <w:shd w:val="clear" w:color="auto" w:fill="auto"/>
                  <w:vAlign w:val="center"/>
                </w:tcPr>
                <w:p w14:paraId="4D1564E8">
                  <w:pPr>
                    <w:pStyle w:val="91"/>
                    <w:rPr>
                      <w:color w:val="auto"/>
                      <w:highlight w:val="none"/>
                      <w:lang w:val="en-US"/>
                    </w:rPr>
                  </w:pPr>
                  <w:r>
                    <w:rPr>
                      <w:color w:val="auto"/>
                      <w:highlight w:val="none"/>
                      <w:lang w:val="en-US"/>
                    </w:rPr>
                    <w:t>减振、隔声、距离衰减等</w:t>
                  </w:r>
                </w:p>
              </w:tc>
              <w:tc>
                <w:tcPr>
                  <w:tcW w:w="647" w:type="dxa"/>
                  <w:tcBorders>
                    <w:top w:val="single" w:color="000000" w:sz="12" w:space="0"/>
                    <w:tl2br w:val="nil"/>
                    <w:tr2bl w:val="nil"/>
                  </w:tcBorders>
                  <w:shd w:val="clear" w:color="auto" w:fill="auto"/>
                  <w:vAlign w:val="center"/>
                </w:tcPr>
                <w:p w14:paraId="69D30C40">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10</w:t>
                  </w:r>
                </w:p>
              </w:tc>
              <w:tc>
                <w:tcPr>
                  <w:tcW w:w="647" w:type="dxa"/>
                  <w:tcBorders>
                    <w:top w:val="single" w:color="000000" w:sz="12" w:space="0"/>
                    <w:tl2br w:val="nil"/>
                    <w:tr2bl w:val="nil"/>
                  </w:tcBorders>
                  <w:shd w:val="clear" w:color="auto" w:fill="auto"/>
                  <w:vAlign w:val="center"/>
                </w:tcPr>
                <w:p w14:paraId="39B45EE7">
                  <w:pPr>
                    <w:widowControl/>
                    <w:jc w:val="center"/>
                    <w:textAlignment w:val="center"/>
                    <w:rPr>
                      <w:color w:val="auto"/>
                      <w:szCs w:val="21"/>
                      <w:highlight w:val="none"/>
                    </w:rPr>
                  </w:pPr>
                  <w:r>
                    <w:rPr>
                      <w:rFonts w:hint="eastAsia"/>
                      <w:color w:val="auto"/>
                      <w:kern w:val="0"/>
                      <w:szCs w:val="21"/>
                      <w:highlight w:val="none"/>
                      <w:lang w:val="en-US" w:eastAsia="zh-CN" w:bidi="ar"/>
                    </w:rPr>
                    <w:t>2</w:t>
                  </w:r>
                  <w:r>
                    <w:rPr>
                      <w:color w:val="auto"/>
                      <w:kern w:val="0"/>
                      <w:szCs w:val="21"/>
                      <w:highlight w:val="none"/>
                      <w:lang w:bidi="ar"/>
                    </w:rPr>
                    <w:t xml:space="preserve">8 </w:t>
                  </w:r>
                </w:p>
              </w:tc>
              <w:tc>
                <w:tcPr>
                  <w:tcW w:w="647" w:type="dxa"/>
                  <w:tcBorders>
                    <w:top w:val="single" w:color="000000" w:sz="12" w:space="0"/>
                    <w:tl2br w:val="nil"/>
                    <w:tr2bl w:val="nil"/>
                  </w:tcBorders>
                  <w:shd w:val="clear" w:color="auto" w:fill="auto"/>
                  <w:noWrap/>
                  <w:vAlign w:val="center"/>
                </w:tcPr>
                <w:p w14:paraId="2D6CA425">
                  <w:pPr>
                    <w:pStyle w:val="91"/>
                    <w:rPr>
                      <w:rFonts w:hint="default" w:eastAsia="宋体"/>
                      <w:color w:val="auto"/>
                      <w:highlight w:val="none"/>
                      <w:lang w:val="en-US" w:eastAsia="zh-CN"/>
                    </w:rPr>
                  </w:pPr>
                  <w:r>
                    <w:rPr>
                      <w:rFonts w:hint="eastAsia"/>
                      <w:color w:val="auto"/>
                      <w:highlight w:val="none"/>
                      <w:lang w:val="en-US" w:eastAsia="zh-CN"/>
                    </w:rPr>
                    <w:t>0.5</w:t>
                  </w:r>
                </w:p>
              </w:tc>
              <w:tc>
                <w:tcPr>
                  <w:tcW w:w="938" w:type="dxa"/>
                  <w:tcBorders>
                    <w:top w:val="single" w:color="000000" w:sz="12" w:space="0"/>
                    <w:tl2br w:val="nil"/>
                    <w:tr2bl w:val="nil"/>
                  </w:tcBorders>
                  <w:shd w:val="clear" w:color="auto" w:fill="auto"/>
                  <w:noWrap/>
                  <w:vAlign w:val="center"/>
                </w:tcPr>
                <w:p w14:paraId="2758E3B2">
                  <w:pPr>
                    <w:widowControl/>
                    <w:jc w:val="center"/>
                    <w:textAlignment w:val="center"/>
                    <w:rPr>
                      <w:color w:val="auto"/>
                      <w:szCs w:val="21"/>
                      <w:highlight w:val="none"/>
                    </w:rPr>
                  </w:pPr>
                  <w:r>
                    <w:rPr>
                      <w:color w:val="auto"/>
                      <w:kern w:val="0"/>
                      <w:szCs w:val="21"/>
                      <w:highlight w:val="none"/>
                      <w:lang w:bidi="ar"/>
                    </w:rPr>
                    <w:t>23</w:t>
                  </w:r>
                </w:p>
              </w:tc>
              <w:tc>
                <w:tcPr>
                  <w:tcW w:w="946" w:type="dxa"/>
                  <w:tcBorders>
                    <w:top w:val="single" w:color="000000" w:sz="12" w:space="0"/>
                    <w:tl2br w:val="nil"/>
                    <w:tr2bl w:val="nil"/>
                  </w:tcBorders>
                  <w:shd w:val="clear" w:color="auto" w:fill="auto"/>
                  <w:noWrap/>
                  <w:vAlign w:val="center"/>
                </w:tcPr>
                <w:p w14:paraId="2D9BF067">
                  <w:pPr>
                    <w:widowControl/>
                    <w:jc w:val="center"/>
                    <w:textAlignment w:val="center"/>
                    <w:rPr>
                      <w:color w:val="auto"/>
                      <w:szCs w:val="21"/>
                      <w:highlight w:val="none"/>
                    </w:rPr>
                  </w:pPr>
                  <w:r>
                    <w:rPr>
                      <w:color w:val="auto"/>
                      <w:kern w:val="0"/>
                      <w:szCs w:val="21"/>
                      <w:highlight w:val="none"/>
                      <w:lang w:bidi="ar"/>
                    </w:rPr>
                    <w:t>31.62</w:t>
                  </w:r>
                </w:p>
              </w:tc>
              <w:tc>
                <w:tcPr>
                  <w:tcW w:w="886" w:type="dxa"/>
                  <w:vMerge w:val="restart"/>
                  <w:tcBorders>
                    <w:top w:val="single" w:color="000000" w:sz="12" w:space="0"/>
                    <w:tl2br w:val="nil"/>
                    <w:tr2bl w:val="nil"/>
                  </w:tcBorders>
                  <w:shd w:val="clear" w:color="auto" w:fill="auto"/>
                  <w:noWrap/>
                  <w:vAlign w:val="center"/>
                </w:tcPr>
                <w:p w14:paraId="69C75379">
                  <w:pPr>
                    <w:jc w:val="center"/>
                    <w:rPr>
                      <w:rFonts w:hint="default"/>
                      <w:color w:val="auto"/>
                      <w:highlight w:val="none"/>
                      <w:lang w:val="en-US"/>
                    </w:rPr>
                  </w:pPr>
                  <w:r>
                    <w:rPr>
                      <w:rFonts w:hint="eastAsia"/>
                      <w:color w:val="auto"/>
                      <w:highlight w:val="none"/>
                    </w:rPr>
                    <w:t>2</w:t>
                  </w:r>
                  <w:r>
                    <w:rPr>
                      <w:rFonts w:hint="eastAsia"/>
                      <w:color w:val="auto"/>
                      <w:highlight w:val="none"/>
                      <w:lang w:val="en-US" w:eastAsia="zh-CN"/>
                    </w:rPr>
                    <w:t>400</w:t>
                  </w:r>
                </w:p>
              </w:tc>
              <w:tc>
                <w:tcPr>
                  <w:tcW w:w="946" w:type="dxa"/>
                  <w:tcBorders>
                    <w:top w:val="single" w:color="000000" w:sz="12" w:space="0"/>
                    <w:tl2br w:val="nil"/>
                    <w:tr2bl w:val="nil"/>
                  </w:tcBorders>
                  <w:shd w:val="clear" w:color="auto" w:fill="auto"/>
                  <w:noWrap/>
                  <w:vAlign w:val="center"/>
                </w:tcPr>
                <w:p w14:paraId="65D528E2">
                  <w:pPr>
                    <w:jc w:val="center"/>
                    <w:rPr>
                      <w:color w:val="auto"/>
                      <w:szCs w:val="21"/>
                      <w:highlight w:val="none"/>
                    </w:rPr>
                  </w:pPr>
                  <w:r>
                    <w:rPr>
                      <w:rFonts w:hint="eastAsia"/>
                      <w:color w:val="auto"/>
                      <w:szCs w:val="21"/>
                      <w:highlight w:val="none"/>
                    </w:rPr>
                    <w:t>15</w:t>
                  </w:r>
                </w:p>
              </w:tc>
              <w:tc>
                <w:tcPr>
                  <w:tcW w:w="1094" w:type="dxa"/>
                  <w:tcBorders>
                    <w:top w:val="single" w:color="000000" w:sz="12" w:space="0"/>
                    <w:bottom w:val="single" w:color="000000" w:sz="4" w:space="0"/>
                  </w:tcBorders>
                  <w:shd w:val="clear" w:color="auto" w:fill="auto"/>
                  <w:noWrap/>
                  <w:vAlign w:val="center"/>
                </w:tcPr>
                <w:p w14:paraId="40987B0C">
                  <w:pPr>
                    <w:adjustRightInd w:val="0"/>
                    <w:snapToGrid w:val="0"/>
                    <w:jc w:val="center"/>
                    <w:rPr>
                      <w:color w:val="auto"/>
                      <w:sz w:val="21"/>
                      <w:szCs w:val="21"/>
                      <w:highlight w:val="none"/>
                      <w:lang w:val="en-US"/>
                    </w:rPr>
                  </w:pPr>
                  <w:r>
                    <w:rPr>
                      <w:bCs/>
                      <w:color w:val="auto"/>
                      <w:kern w:val="21"/>
                      <w:sz w:val="21"/>
                      <w:szCs w:val="21"/>
                      <w:highlight w:val="none"/>
                    </w:rPr>
                    <w:t>54.41</w:t>
                  </w:r>
                </w:p>
              </w:tc>
              <w:tc>
                <w:tcPr>
                  <w:tcW w:w="1012" w:type="dxa"/>
                  <w:tcBorders>
                    <w:top w:val="single" w:color="000000" w:sz="12" w:space="0"/>
                    <w:bottom w:val="single" w:color="000000" w:sz="4" w:space="0"/>
                  </w:tcBorders>
                  <w:shd w:val="clear" w:color="auto" w:fill="auto"/>
                  <w:noWrap/>
                  <w:vAlign w:val="center"/>
                </w:tcPr>
                <w:p w14:paraId="4400F862">
                  <w:pPr>
                    <w:adjustRightInd w:val="0"/>
                    <w:snapToGrid w:val="0"/>
                    <w:jc w:val="center"/>
                    <w:rPr>
                      <w:color w:val="auto"/>
                      <w:sz w:val="21"/>
                      <w:szCs w:val="21"/>
                      <w:highlight w:val="none"/>
                      <w:lang w:val="en-US"/>
                    </w:rPr>
                  </w:pPr>
                  <w:r>
                    <w:rPr>
                      <w:rFonts w:hint="eastAsia"/>
                      <w:bCs/>
                      <w:color w:val="auto"/>
                      <w:kern w:val="21"/>
                      <w:sz w:val="21"/>
                      <w:szCs w:val="21"/>
                      <w:highlight w:val="none"/>
                    </w:rPr>
                    <w:t>1</w:t>
                  </w:r>
                </w:p>
              </w:tc>
            </w:tr>
            <w:tr w14:paraId="4EECD1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3" w:hRule="atLeast"/>
              </w:trPr>
              <w:tc>
                <w:tcPr>
                  <w:tcW w:w="460" w:type="dxa"/>
                  <w:tcBorders>
                    <w:tl2br w:val="nil"/>
                    <w:tr2bl w:val="nil"/>
                  </w:tcBorders>
                  <w:shd w:val="clear" w:color="auto" w:fill="auto"/>
                  <w:noWrap/>
                  <w:vAlign w:val="center"/>
                </w:tcPr>
                <w:p w14:paraId="3A55E903">
                  <w:pPr>
                    <w:pStyle w:val="81"/>
                    <w:spacing w:line="240" w:lineRule="auto"/>
                    <w:rPr>
                      <w:rFonts w:hint="eastAsia" w:eastAsia="宋体"/>
                      <w:color w:val="auto"/>
                      <w:szCs w:val="21"/>
                      <w:highlight w:val="none"/>
                      <w:lang w:eastAsia="zh-CN"/>
                    </w:rPr>
                  </w:pPr>
                  <w:r>
                    <w:rPr>
                      <w:rFonts w:hint="default" w:ascii="Times New Roman" w:hAnsi="Times New Roman" w:cs="Times New Roman"/>
                      <w:color w:val="auto"/>
                      <w:sz w:val="21"/>
                      <w:szCs w:val="21"/>
                      <w:highlight w:val="none"/>
                      <w:lang w:val="en-US" w:eastAsia="zh-CN"/>
                    </w:rPr>
                    <w:t>2</w:t>
                  </w:r>
                </w:p>
              </w:tc>
              <w:tc>
                <w:tcPr>
                  <w:tcW w:w="792" w:type="dxa"/>
                  <w:vMerge w:val="continue"/>
                  <w:tcBorders>
                    <w:tl2br w:val="nil"/>
                    <w:tr2bl w:val="nil"/>
                  </w:tcBorders>
                  <w:shd w:val="clear" w:color="auto" w:fill="auto"/>
                  <w:vAlign w:val="center"/>
                </w:tcPr>
                <w:p w14:paraId="7DC1A0E4">
                  <w:pPr>
                    <w:pStyle w:val="91"/>
                    <w:rPr>
                      <w:color w:val="auto"/>
                      <w:highlight w:val="none"/>
                      <w:lang w:val="en-US"/>
                    </w:rPr>
                  </w:pPr>
                </w:p>
              </w:tc>
              <w:tc>
                <w:tcPr>
                  <w:tcW w:w="1802" w:type="dxa"/>
                  <w:tcBorders>
                    <w:tl2br w:val="nil"/>
                    <w:tr2bl w:val="nil"/>
                  </w:tcBorders>
                  <w:shd w:val="clear" w:color="auto" w:fill="auto"/>
                  <w:vAlign w:val="center"/>
                </w:tcPr>
                <w:p w14:paraId="2AB9B7CD">
                  <w:pPr>
                    <w:pStyle w:val="81"/>
                    <w:spacing w:line="240" w:lineRule="auto"/>
                    <w:rPr>
                      <w:color w:val="auto"/>
                      <w:szCs w:val="21"/>
                      <w:highlight w:val="none"/>
                    </w:rPr>
                  </w:pPr>
                  <w:r>
                    <w:rPr>
                      <w:rFonts w:hint="eastAsia" w:ascii="Times New Roman" w:hAnsi="Times New Roman" w:eastAsia="宋体" w:cs="Times New Roman"/>
                      <w:color w:val="auto"/>
                      <w:sz w:val="21"/>
                      <w:szCs w:val="21"/>
                      <w:highlight w:val="none"/>
                      <w:lang w:val="en-US" w:eastAsia="zh-CN"/>
                    </w:rPr>
                    <w:t>低温试验箱</w:t>
                  </w:r>
                </w:p>
              </w:tc>
              <w:tc>
                <w:tcPr>
                  <w:tcW w:w="692" w:type="dxa"/>
                  <w:tcBorders>
                    <w:tl2br w:val="nil"/>
                    <w:tr2bl w:val="nil"/>
                  </w:tcBorders>
                  <w:shd w:val="clear" w:color="auto" w:fill="auto"/>
                  <w:vAlign w:val="center"/>
                </w:tcPr>
                <w:p w14:paraId="14EB73FA">
                  <w:pPr>
                    <w:widowControl/>
                    <w:jc w:val="center"/>
                    <w:textAlignment w:val="center"/>
                    <w:rPr>
                      <w:color w:val="auto"/>
                      <w:szCs w:val="21"/>
                      <w:highlight w:val="none"/>
                    </w:rPr>
                  </w:pPr>
                  <w:r>
                    <w:rPr>
                      <w:color w:val="auto"/>
                      <w:kern w:val="0"/>
                      <w:szCs w:val="21"/>
                      <w:highlight w:val="none"/>
                      <w:lang w:bidi="ar"/>
                    </w:rPr>
                    <w:t>70</w:t>
                  </w:r>
                </w:p>
              </w:tc>
              <w:tc>
                <w:tcPr>
                  <w:tcW w:w="790" w:type="dxa"/>
                  <w:vMerge w:val="continue"/>
                  <w:tcBorders>
                    <w:tl2br w:val="nil"/>
                    <w:tr2bl w:val="nil"/>
                  </w:tcBorders>
                  <w:shd w:val="clear" w:color="auto" w:fill="auto"/>
                  <w:vAlign w:val="center"/>
                </w:tcPr>
                <w:p w14:paraId="6A70650D">
                  <w:pPr>
                    <w:pStyle w:val="91"/>
                    <w:rPr>
                      <w:color w:val="auto"/>
                      <w:highlight w:val="none"/>
                      <w:lang w:val="en-US"/>
                    </w:rPr>
                  </w:pPr>
                </w:p>
              </w:tc>
              <w:tc>
                <w:tcPr>
                  <w:tcW w:w="647" w:type="dxa"/>
                  <w:tcBorders>
                    <w:tl2br w:val="nil"/>
                    <w:tr2bl w:val="nil"/>
                  </w:tcBorders>
                  <w:shd w:val="clear" w:color="auto" w:fill="auto"/>
                  <w:vAlign w:val="center"/>
                </w:tcPr>
                <w:p w14:paraId="6B683BC5">
                  <w:pPr>
                    <w:widowControl/>
                    <w:jc w:val="center"/>
                    <w:rPr>
                      <w:color w:val="auto"/>
                      <w:szCs w:val="21"/>
                      <w:highlight w:val="none"/>
                    </w:rPr>
                  </w:pPr>
                  <w:r>
                    <w:rPr>
                      <w:rFonts w:hint="eastAsia"/>
                      <w:color w:val="auto"/>
                      <w:szCs w:val="21"/>
                      <w:highlight w:val="none"/>
                      <w:lang w:val="en-US" w:eastAsia="zh-CN"/>
                    </w:rPr>
                    <w:t>11</w:t>
                  </w:r>
                </w:p>
              </w:tc>
              <w:tc>
                <w:tcPr>
                  <w:tcW w:w="647" w:type="dxa"/>
                  <w:tcBorders>
                    <w:tl2br w:val="nil"/>
                    <w:tr2bl w:val="nil"/>
                  </w:tcBorders>
                  <w:shd w:val="clear" w:color="auto" w:fill="auto"/>
                  <w:vAlign w:val="center"/>
                </w:tcPr>
                <w:p w14:paraId="17109FD1">
                  <w:pPr>
                    <w:widowControl/>
                    <w:jc w:val="center"/>
                    <w:textAlignment w:val="center"/>
                    <w:rPr>
                      <w:color w:val="auto"/>
                      <w:szCs w:val="21"/>
                      <w:highlight w:val="none"/>
                    </w:rPr>
                  </w:pPr>
                  <w:r>
                    <w:rPr>
                      <w:rFonts w:hint="eastAsia"/>
                      <w:color w:val="auto"/>
                      <w:kern w:val="0"/>
                      <w:szCs w:val="21"/>
                      <w:highlight w:val="none"/>
                      <w:lang w:val="en-US" w:eastAsia="zh-CN" w:bidi="ar"/>
                    </w:rPr>
                    <w:t>25</w:t>
                  </w:r>
                  <w:r>
                    <w:rPr>
                      <w:color w:val="auto"/>
                      <w:kern w:val="0"/>
                      <w:szCs w:val="21"/>
                      <w:highlight w:val="none"/>
                      <w:lang w:bidi="ar"/>
                    </w:rPr>
                    <w:t xml:space="preserve"> </w:t>
                  </w:r>
                </w:p>
              </w:tc>
              <w:tc>
                <w:tcPr>
                  <w:tcW w:w="647" w:type="dxa"/>
                  <w:tcBorders>
                    <w:tl2br w:val="nil"/>
                    <w:tr2bl w:val="nil"/>
                  </w:tcBorders>
                  <w:shd w:val="clear" w:color="auto" w:fill="auto"/>
                  <w:noWrap/>
                  <w:vAlign w:val="center"/>
                </w:tcPr>
                <w:p w14:paraId="524B2841">
                  <w:pPr>
                    <w:jc w:val="center"/>
                    <w:rPr>
                      <w:color w:val="auto"/>
                      <w:szCs w:val="21"/>
                      <w:highlight w:val="none"/>
                    </w:rPr>
                  </w:pPr>
                  <w:r>
                    <w:rPr>
                      <w:rFonts w:hint="eastAsia"/>
                      <w:color w:val="auto"/>
                      <w:highlight w:val="none"/>
                      <w:lang w:val="en-US" w:eastAsia="zh-CN"/>
                    </w:rPr>
                    <w:t>0.5</w:t>
                  </w:r>
                </w:p>
              </w:tc>
              <w:tc>
                <w:tcPr>
                  <w:tcW w:w="938" w:type="dxa"/>
                  <w:tcBorders>
                    <w:tl2br w:val="nil"/>
                    <w:tr2bl w:val="nil"/>
                  </w:tcBorders>
                  <w:shd w:val="clear" w:color="auto" w:fill="auto"/>
                  <w:noWrap/>
                  <w:vAlign w:val="center"/>
                </w:tcPr>
                <w:p w14:paraId="4BCD7FAC">
                  <w:pPr>
                    <w:widowControl/>
                    <w:jc w:val="center"/>
                    <w:textAlignment w:val="center"/>
                    <w:rPr>
                      <w:color w:val="auto"/>
                      <w:szCs w:val="21"/>
                      <w:highlight w:val="none"/>
                    </w:rPr>
                  </w:pPr>
                  <w:r>
                    <w:rPr>
                      <w:color w:val="auto"/>
                      <w:kern w:val="0"/>
                      <w:szCs w:val="21"/>
                      <w:highlight w:val="none"/>
                      <w:lang w:bidi="ar"/>
                    </w:rPr>
                    <w:t>43</w:t>
                  </w:r>
                </w:p>
              </w:tc>
              <w:tc>
                <w:tcPr>
                  <w:tcW w:w="946" w:type="dxa"/>
                  <w:tcBorders>
                    <w:tl2br w:val="nil"/>
                    <w:tr2bl w:val="nil"/>
                  </w:tcBorders>
                  <w:shd w:val="clear" w:color="auto" w:fill="auto"/>
                  <w:noWrap/>
                  <w:vAlign w:val="center"/>
                </w:tcPr>
                <w:p w14:paraId="554A4640">
                  <w:pPr>
                    <w:widowControl/>
                    <w:jc w:val="center"/>
                    <w:textAlignment w:val="center"/>
                    <w:rPr>
                      <w:color w:val="auto"/>
                      <w:szCs w:val="21"/>
                      <w:highlight w:val="none"/>
                    </w:rPr>
                  </w:pPr>
                  <w:r>
                    <w:rPr>
                      <w:color w:val="auto"/>
                      <w:kern w:val="0"/>
                      <w:szCs w:val="21"/>
                      <w:highlight w:val="none"/>
                      <w:lang w:bidi="ar"/>
                    </w:rPr>
                    <w:t>31.21</w:t>
                  </w:r>
                </w:p>
              </w:tc>
              <w:tc>
                <w:tcPr>
                  <w:tcW w:w="886" w:type="dxa"/>
                  <w:vMerge w:val="continue"/>
                  <w:tcBorders>
                    <w:tl2br w:val="nil"/>
                    <w:tr2bl w:val="nil"/>
                  </w:tcBorders>
                  <w:shd w:val="clear" w:color="auto" w:fill="auto"/>
                  <w:noWrap/>
                  <w:vAlign w:val="center"/>
                </w:tcPr>
                <w:p w14:paraId="35017CB3">
                  <w:pPr>
                    <w:jc w:val="center"/>
                    <w:rPr>
                      <w:rFonts w:hint="eastAsia"/>
                      <w:color w:val="auto"/>
                      <w:highlight w:val="none"/>
                    </w:rPr>
                  </w:pPr>
                </w:p>
              </w:tc>
              <w:tc>
                <w:tcPr>
                  <w:tcW w:w="946" w:type="dxa"/>
                  <w:tcBorders>
                    <w:tl2br w:val="nil"/>
                    <w:tr2bl w:val="nil"/>
                  </w:tcBorders>
                  <w:shd w:val="clear" w:color="auto" w:fill="auto"/>
                  <w:noWrap/>
                  <w:vAlign w:val="center"/>
                </w:tcPr>
                <w:p w14:paraId="2211BD84">
                  <w:pPr>
                    <w:jc w:val="center"/>
                    <w:rPr>
                      <w:color w:val="auto"/>
                      <w:szCs w:val="21"/>
                      <w:highlight w:val="none"/>
                    </w:rPr>
                  </w:pPr>
                  <w:r>
                    <w:rPr>
                      <w:rFonts w:hint="eastAsia"/>
                      <w:color w:val="auto"/>
                      <w:szCs w:val="21"/>
                      <w:highlight w:val="none"/>
                    </w:rPr>
                    <w:t>15</w:t>
                  </w:r>
                </w:p>
              </w:tc>
              <w:tc>
                <w:tcPr>
                  <w:tcW w:w="1094" w:type="dxa"/>
                  <w:tcBorders>
                    <w:top w:val="single" w:color="000000" w:sz="4" w:space="0"/>
                    <w:bottom w:val="single" w:color="000000" w:sz="4" w:space="0"/>
                  </w:tcBorders>
                  <w:shd w:val="clear" w:color="auto" w:fill="auto"/>
                  <w:noWrap/>
                  <w:vAlign w:val="center"/>
                </w:tcPr>
                <w:p w14:paraId="78A9F64C">
                  <w:pPr>
                    <w:adjustRightInd w:val="0"/>
                    <w:snapToGrid w:val="0"/>
                    <w:jc w:val="center"/>
                    <w:rPr>
                      <w:rFonts w:hint="default" w:eastAsia="宋体"/>
                      <w:color w:val="auto"/>
                      <w:sz w:val="21"/>
                      <w:szCs w:val="21"/>
                      <w:highlight w:val="none"/>
                      <w:lang w:val="en-US" w:eastAsia="zh-CN"/>
                    </w:rPr>
                  </w:pPr>
                  <w:r>
                    <w:rPr>
                      <w:bCs/>
                      <w:color w:val="auto"/>
                      <w:kern w:val="21"/>
                      <w:sz w:val="21"/>
                      <w:szCs w:val="21"/>
                      <w:highlight w:val="none"/>
                    </w:rPr>
                    <w:t>54.</w:t>
                  </w:r>
                  <w:r>
                    <w:rPr>
                      <w:rFonts w:hint="eastAsia"/>
                      <w:bCs/>
                      <w:color w:val="auto"/>
                      <w:kern w:val="21"/>
                      <w:sz w:val="21"/>
                      <w:szCs w:val="21"/>
                      <w:highlight w:val="none"/>
                      <w:lang w:val="en-US" w:eastAsia="zh-CN"/>
                    </w:rPr>
                    <w:t>43</w:t>
                  </w:r>
                </w:p>
              </w:tc>
              <w:tc>
                <w:tcPr>
                  <w:tcW w:w="1012" w:type="dxa"/>
                  <w:tcBorders>
                    <w:top w:val="single" w:color="000000" w:sz="4" w:space="0"/>
                    <w:bottom w:val="single" w:color="000000" w:sz="4" w:space="0"/>
                  </w:tcBorders>
                  <w:shd w:val="clear" w:color="auto" w:fill="auto"/>
                  <w:noWrap/>
                  <w:vAlign w:val="center"/>
                </w:tcPr>
                <w:p w14:paraId="7375A3FE">
                  <w:pPr>
                    <w:adjustRightInd w:val="0"/>
                    <w:snapToGrid w:val="0"/>
                    <w:jc w:val="center"/>
                    <w:rPr>
                      <w:color w:val="auto"/>
                      <w:sz w:val="21"/>
                      <w:szCs w:val="21"/>
                      <w:highlight w:val="none"/>
                      <w:lang w:val="en-US"/>
                    </w:rPr>
                  </w:pPr>
                  <w:r>
                    <w:rPr>
                      <w:rFonts w:hint="eastAsia"/>
                      <w:bCs/>
                      <w:color w:val="auto"/>
                      <w:kern w:val="21"/>
                      <w:sz w:val="21"/>
                      <w:szCs w:val="21"/>
                      <w:highlight w:val="none"/>
                    </w:rPr>
                    <w:t>1</w:t>
                  </w:r>
                </w:p>
              </w:tc>
            </w:tr>
            <w:tr w14:paraId="706851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60" w:type="dxa"/>
                  <w:tcBorders>
                    <w:tl2br w:val="nil"/>
                    <w:tr2bl w:val="nil"/>
                  </w:tcBorders>
                  <w:shd w:val="clear" w:color="auto" w:fill="auto"/>
                  <w:noWrap/>
                  <w:vAlign w:val="center"/>
                </w:tcPr>
                <w:p w14:paraId="15EF8213">
                  <w:pPr>
                    <w:pStyle w:val="81"/>
                    <w:spacing w:line="240" w:lineRule="auto"/>
                    <w:rPr>
                      <w:rFonts w:hint="eastAsia" w:eastAsia="宋体"/>
                      <w:color w:val="auto"/>
                      <w:szCs w:val="21"/>
                      <w:highlight w:val="none"/>
                      <w:lang w:eastAsia="zh-CN"/>
                    </w:rPr>
                  </w:pPr>
                  <w:r>
                    <w:rPr>
                      <w:rFonts w:hint="default" w:ascii="Times New Roman" w:hAnsi="Times New Roman" w:cs="Times New Roman"/>
                      <w:color w:val="auto"/>
                      <w:sz w:val="21"/>
                      <w:szCs w:val="21"/>
                      <w:highlight w:val="none"/>
                      <w:lang w:val="en-US" w:eastAsia="zh-CN"/>
                    </w:rPr>
                    <w:t>3</w:t>
                  </w:r>
                </w:p>
              </w:tc>
              <w:tc>
                <w:tcPr>
                  <w:tcW w:w="792" w:type="dxa"/>
                  <w:vMerge w:val="continue"/>
                  <w:tcBorders>
                    <w:tl2br w:val="nil"/>
                    <w:tr2bl w:val="nil"/>
                  </w:tcBorders>
                  <w:shd w:val="clear" w:color="auto" w:fill="auto"/>
                  <w:vAlign w:val="center"/>
                </w:tcPr>
                <w:p w14:paraId="3E366601">
                  <w:pPr>
                    <w:pStyle w:val="91"/>
                    <w:rPr>
                      <w:color w:val="auto"/>
                      <w:highlight w:val="none"/>
                      <w:lang w:val="en-US"/>
                    </w:rPr>
                  </w:pPr>
                </w:p>
              </w:tc>
              <w:tc>
                <w:tcPr>
                  <w:tcW w:w="1802" w:type="dxa"/>
                  <w:tcBorders>
                    <w:tl2br w:val="nil"/>
                    <w:tr2bl w:val="nil"/>
                  </w:tcBorders>
                  <w:shd w:val="clear" w:color="auto" w:fill="auto"/>
                  <w:vAlign w:val="center"/>
                </w:tcPr>
                <w:p w14:paraId="3A240B48">
                  <w:pPr>
                    <w:pStyle w:val="81"/>
                    <w:spacing w:line="240" w:lineRule="auto"/>
                    <w:rPr>
                      <w:color w:val="auto"/>
                      <w:szCs w:val="21"/>
                      <w:highlight w:val="none"/>
                    </w:rPr>
                  </w:pPr>
                  <w:r>
                    <w:rPr>
                      <w:rFonts w:hint="eastAsia" w:ascii="Times New Roman" w:hAnsi="Times New Roman" w:eastAsia="宋体" w:cs="Times New Roman"/>
                      <w:color w:val="auto"/>
                      <w:sz w:val="21"/>
                      <w:szCs w:val="21"/>
                      <w:highlight w:val="none"/>
                      <w:lang w:val="en-US" w:eastAsia="zh-CN"/>
                    </w:rPr>
                    <w:t>分光光度计</w:t>
                  </w:r>
                </w:p>
              </w:tc>
              <w:tc>
                <w:tcPr>
                  <w:tcW w:w="692" w:type="dxa"/>
                  <w:tcBorders>
                    <w:tl2br w:val="nil"/>
                    <w:tr2bl w:val="nil"/>
                  </w:tcBorders>
                  <w:shd w:val="clear" w:color="auto" w:fill="auto"/>
                  <w:vAlign w:val="center"/>
                </w:tcPr>
                <w:p w14:paraId="14157521">
                  <w:pPr>
                    <w:widowControl/>
                    <w:jc w:val="center"/>
                    <w:textAlignment w:val="center"/>
                    <w:rPr>
                      <w:rFonts w:hint="default" w:eastAsia="宋体"/>
                      <w:color w:val="auto"/>
                      <w:szCs w:val="21"/>
                      <w:highlight w:val="none"/>
                      <w:lang w:val="en-US" w:eastAsia="zh-CN"/>
                    </w:rPr>
                  </w:pPr>
                  <w:r>
                    <w:rPr>
                      <w:rFonts w:hint="eastAsia"/>
                      <w:color w:val="auto"/>
                      <w:kern w:val="0"/>
                      <w:szCs w:val="21"/>
                      <w:highlight w:val="none"/>
                      <w:lang w:val="en-US" w:eastAsia="zh-CN" w:bidi="ar"/>
                    </w:rPr>
                    <w:t>75</w:t>
                  </w:r>
                </w:p>
              </w:tc>
              <w:tc>
                <w:tcPr>
                  <w:tcW w:w="790" w:type="dxa"/>
                  <w:vMerge w:val="continue"/>
                  <w:tcBorders>
                    <w:tl2br w:val="nil"/>
                    <w:tr2bl w:val="nil"/>
                  </w:tcBorders>
                  <w:shd w:val="clear" w:color="auto" w:fill="auto"/>
                  <w:vAlign w:val="center"/>
                </w:tcPr>
                <w:p w14:paraId="2B7B0911">
                  <w:pPr>
                    <w:pStyle w:val="91"/>
                    <w:rPr>
                      <w:color w:val="auto"/>
                      <w:highlight w:val="none"/>
                      <w:lang w:val="en-US"/>
                    </w:rPr>
                  </w:pPr>
                </w:p>
              </w:tc>
              <w:tc>
                <w:tcPr>
                  <w:tcW w:w="647" w:type="dxa"/>
                  <w:tcBorders>
                    <w:tl2br w:val="nil"/>
                    <w:tr2bl w:val="nil"/>
                  </w:tcBorders>
                  <w:shd w:val="clear" w:color="auto" w:fill="auto"/>
                  <w:vAlign w:val="center"/>
                </w:tcPr>
                <w:p w14:paraId="7F56BEBE">
                  <w:pPr>
                    <w:widowControl/>
                    <w:jc w:val="center"/>
                    <w:rPr>
                      <w:rFonts w:hint="default"/>
                      <w:color w:val="auto"/>
                      <w:szCs w:val="21"/>
                      <w:highlight w:val="none"/>
                      <w:lang w:val="en-US"/>
                    </w:rPr>
                  </w:pPr>
                  <w:r>
                    <w:rPr>
                      <w:rFonts w:hint="eastAsia"/>
                      <w:color w:val="auto"/>
                      <w:szCs w:val="21"/>
                      <w:highlight w:val="none"/>
                      <w:lang w:val="en-US" w:eastAsia="zh-CN"/>
                    </w:rPr>
                    <w:t>13</w:t>
                  </w:r>
                </w:p>
              </w:tc>
              <w:tc>
                <w:tcPr>
                  <w:tcW w:w="647" w:type="dxa"/>
                  <w:tcBorders>
                    <w:tl2br w:val="nil"/>
                    <w:tr2bl w:val="nil"/>
                  </w:tcBorders>
                  <w:shd w:val="clear" w:color="auto" w:fill="auto"/>
                  <w:vAlign w:val="center"/>
                </w:tcPr>
                <w:p w14:paraId="19CE2F2D">
                  <w:pPr>
                    <w:widowControl/>
                    <w:jc w:val="center"/>
                    <w:textAlignment w:val="center"/>
                    <w:rPr>
                      <w:color w:val="auto"/>
                      <w:szCs w:val="21"/>
                      <w:highlight w:val="none"/>
                    </w:rPr>
                  </w:pPr>
                  <w:r>
                    <w:rPr>
                      <w:rFonts w:hint="eastAsia"/>
                      <w:color w:val="auto"/>
                      <w:kern w:val="0"/>
                      <w:szCs w:val="21"/>
                      <w:highlight w:val="none"/>
                      <w:lang w:val="en-US" w:eastAsia="zh-CN" w:bidi="ar"/>
                    </w:rPr>
                    <w:t>2</w:t>
                  </w:r>
                  <w:r>
                    <w:rPr>
                      <w:color w:val="auto"/>
                      <w:kern w:val="0"/>
                      <w:szCs w:val="21"/>
                      <w:highlight w:val="none"/>
                      <w:lang w:bidi="ar"/>
                    </w:rPr>
                    <w:t xml:space="preserve">8 </w:t>
                  </w:r>
                </w:p>
              </w:tc>
              <w:tc>
                <w:tcPr>
                  <w:tcW w:w="647" w:type="dxa"/>
                  <w:tcBorders>
                    <w:tl2br w:val="nil"/>
                    <w:tr2bl w:val="nil"/>
                  </w:tcBorders>
                  <w:shd w:val="clear" w:color="auto" w:fill="auto"/>
                  <w:noWrap/>
                  <w:vAlign w:val="center"/>
                </w:tcPr>
                <w:p w14:paraId="40656693">
                  <w:pPr>
                    <w:jc w:val="center"/>
                    <w:rPr>
                      <w:color w:val="auto"/>
                      <w:szCs w:val="21"/>
                      <w:highlight w:val="none"/>
                    </w:rPr>
                  </w:pPr>
                  <w:r>
                    <w:rPr>
                      <w:rFonts w:hint="eastAsia"/>
                      <w:color w:val="auto"/>
                      <w:highlight w:val="none"/>
                      <w:lang w:val="en-US" w:eastAsia="zh-CN"/>
                    </w:rPr>
                    <w:t>0.5</w:t>
                  </w:r>
                </w:p>
              </w:tc>
              <w:tc>
                <w:tcPr>
                  <w:tcW w:w="938" w:type="dxa"/>
                  <w:tcBorders>
                    <w:tl2br w:val="nil"/>
                    <w:tr2bl w:val="nil"/>
                  </w:tcBorders>
                  <w:shd w:val="clear" w:color="auto" w:fill="auto"/>
                  <w:noWrap/>
                  <w:vAlign w:val="center"/>
                </w:tcPr>
                <w:p w14:paraId="7B0A152D">
                  <w:pPr>
                    <w:widowControl/>
                    <w:jc w:val="center"/>
                    <w:textAlignment w:val="center"/>
                    <w:rPr>
                      <w:color w:val="auto"/>
                      <w:szCs w:val="21"/>
                      <w:highlight w:val="none"/>
                    </w:rPr>
                  </w:pPr>
                  <w:r>
                    <w:rPr>
                      <w:color w:val="auto"/>
                      <w:kern w:val="0"/>
                      <w:szCs w:val="21"/>
                      <w:highlight w:val="none"/>
                      <w:lang w:bidi="ar"/>
                    </w:rPr>
                    <w:t>50</w:t>
                  </w:r>
                </w:p>
              </w:tc>
              <w:tc>
                <w:tcPr>
                  <w:tcW w:w="946" w:type="dxa"/>
                  <w:tcBorders>
                    <w:tl2br w:val="nil"/>
                    <w:tr2bl w:val="nil"/>
                  </w:tcBorders>
                  <w:shd w:val="clear" w:color="auto" w:fill="auto"/>
                  <w:noWrap/>
                  <w:vAlign w:val="center"/>
                </w:tcPr>
                <w:p w14:paraId="26320E0B">
                  <w:pPr>
                    <w:widowControl/>
                    <w:jc w:val="center"/>
                    <w:textAlignment w:val="center"/>
                    <w:rPr>
                      <w:color w:val="auto"/>
                      <w:szCs w:val="21"/>
                      <w:highlight w:val="none"/>
                    </w:rPr>
                  </w:pPr>
                  <w:r>
                    <w:rPr>
                      <w:color w:val="auto"/>
                      <w:kern w:val="0"/>
                      <w:szCs w:val="21"/>
                      <w:highlight w:val="none"/>
                      <w:lang w:bidi="ar"/>
                    </w:rPr>
                    <w:t>41.21</w:t>
                  </w:r>
                </w:p>
              </w:tc>
              <w:tc>
                <w:tcPr>
                  <w:tcW w:w="886" w:type="dxa"/>
                  <w:vMerge w:val="continue"/>
                  <w:tcBorders>
                    <w:tl2br w:val="nil"/>
                    <w:tr2bl w:val="nil"/>
                  </w:tcBorders>
                  <w:shd w:val="clear" w:color="auto" w:fill="auto"/>
                  <w:noWrap/>
                  <w:vAlign w:val="center"/>
                </w:tcPr>
                <w:p w14:paraId="28C3E5B7">
                  <w:pPr>
                    <w:jc w:val="center"/>
                    <w:rPr>
                      <w:color w:val="auto"/>
                      <w:szCs w:val="21"/>
                      <w:highlight w:val="none"/>
                    </w:rPr>
                  </w:pPr>
                </w:p>
              </w:tc>
              <w:tc>
                <w:tcPr>
                  <w:tcW w:w="946" w:type="dxa"/>
                  <w:tcBorders>
                    <w:bottom w:val="single" w:color="auto" w:sz="4" w:space="0"/>
                    <w:tl2br w:val="nil"/>
                    <w:tr2bl w:val="nil"/>
                  </w:tcBorders>
                  <w:shd w:val="clear" w:color="auto" w:fill="auto"/>
                  <w:noWrap/>
                  <w:vAlign w:val="center"/>
                </w:tcPr>
                <w:p w14:paraId="3C8ED4DF">
                  <w:pPr>
                    <w:jc w:val="center"/>
                    <w:rPr>
                      <w:color w:val="auto"/>
                      <w:szCs w:val="21"/>
                      <w:highlight w:val="none"/>
                    </w:rPr>
                  </w:pPr>
                  <w:r>
                    <w:rPr>
                      <w:rFonts w:hint="eastAsia"/>
                      <w:color w:val="auto"/>
                      <w:szCs w:val="21"/>
                      <w:highlight w:val="none"/>
                    </w:rPr>
                    <w:t>15</w:t>
                  </w:r>
                </w:p>
              </w:tc>
              <w:tc>
                <w:tcPr>
                  <w:tcW w:w="1094" w:type="dxa"/>
                  <w:tcBorders>
                    <w:top w:val="single" w:color="000000" w:sz="4" w:space="0"/>
                    <w:bottom w:val="single" w:color="000000" w:sz="4" w:space="0"/>
                  </w:tcBorders>
                  <w:shd w:val="clear" w:color="auto" w:fill="auto"/>
                  <w:noWrap/>
                  <w:vAlign w:val="center"/>
                </w:tcPr>
                <w:p w14:paraId="01425351">
                  <w:pPr>
                    <w:adjustRightInd w:val="0"/>
                    <w:snapToGrid w:val="0"/>
                    <w:jc w:val="center"/>
                    <w:rPr>
                      <w:rFonts w:hint="default" w:eastAsia="宋体"/>
                      <w:color w:val="auto"/>
                      <w:sz w:val="21"/>
                      <w:szCs w:val="21"/>
                      <w:highlight w:val="none"/>
                      <w:lang w:val="en-US" w:eastAsia="zh-CN"/>
                    </w:rPr>
                  </w:pPr>
                  <w:r>
                    <w:rPr>
                      <w:bCs/>
                      <w:color w:val="auto"/>
                      <w:kern w:val="21"/>
                      <w:sz w:val="21"/>
                      <w:szCs w:val="21"/>
                      <w:highlight w:val="none"/>
                    </w:rPr>
                    <w:t>5</w:t>
                  </w:r>
                  <w:r>
                    <w:rPr>
                      <w:rFonts w:hint="eastAsia"/>
                      <w:bCs/>
                      <w:color w:val="auto"/>
                      <w:kern w:val="21"/>
                      <w:sz w:val="21"/>
                      <w:szCs w:val="21"/>
                      <w:highlight w:val="none"/>
                      <w:lang w:val="en-US" w:eastAsia="zh-CN"/>
                    </w:rPr>
                    <w:t>2</w:t>
                  </w:r>
                  <w:r>
                    <w:rPr>
                      <w:bCs/>
                      <w:color w:val="auto"/>
                      <w:kern w:val="21"/>
                      <w:sz w:val="21"/>
                      <w:szCs w:val="21"/>
                      <w:highlight w:val="none"/>
                    </w:rPr>
                    <w:t>.</w:t>
                  </w:r>
                  <w:r>
                    <w:rPr>
                      <w:rFonts w:hint="eastAsia"/>
                      <w:bCs/>
                      <w:color w:val="auto"/>
                      <w:kern w:val="21"/>
                      <w:sz w:val="21"/>
                      <w:szCs w:val="21"/>
                      <w:highlight w:val="none"/>
                      <w:lang w:val="en-US" w:eastAsia="zh-CN"/>
                    </w:rPr>
                    <w:t>24</w:t>
                  </w:r>
                </w:p>
              </w:tc>
              <w:tc>
                <w:tcPr>
                  <w:tcW w:w="1012" w:type="dxa"/>
                  <w:tcBorders>
                    <w:top w:val="single" w:color="000000" w:sz="4" w:space="0"/>
                    <w:bottom w:val="single" w:color="000000" w:sz="4" w:space="0"/>
                  </w:tcBorders>
                  <w:shd w:val="clear" w:color="auto" w:fill="auto"/>
                  <w:noWrap/>
                  <w:vAlign w:val="center"/>
                </w:tcPr>
                <w:p w14:paraId="01939E23">
                  <w:pPr>
                    <w:adjustRightInd w:val="0"/>
                    <w:snapToGrid w:val="0"/>
                    <w:jc w:val="center"/>
                    <w:rPr>
                      <w:color w:val="auto"/>
                      <w:sz w:val="21"/>
                      <w:szCs w:val="21"/>
                      <w:highlight w:val="none"/>
                      <w:lang w:val="en-US"/>
                    </w:rPr>
                  </w:pPr>
                  <w:r>
                    <w:rPr>
                      <w:rFonts w:hint="eastAsia"/>
                      <w:bCs/>
                      <w:color w:val="auto"/>
                      <w:kern w:val="21"/>
                      <w:sz w:val="21"/>
                      <w:szCs w:val="21"/>
                      <w:highlight w:val="none"/>
                    </w:rPr>
                    <w:t>1</w:t>
                  </w:r>
                </w:p>
              </w:tc>
            </w:tr>
            <w:tr w14:paraId="67B5EC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3" w:hRule="atLeast"/>
              </w:trPr>
              <w:tc>
                <w:tcPr>
                  <w:tcW w:w="460" w:type="dxa"/>
                  <w:tcBorders>
                    <w:tl2br w:val="nil"/>
                    <w:tr2bl w:val="nil"/>
                  </w:tcBorders>
                  <w:shd w:val="clear" w:color="auto" w:fill="auto"/>
                  <w:noWrap/>
                  <w:vAlign w:val="center"/>
                </w:tcPr>
                <w:p w14:paraId="1299B11A">
                  <w:pPr>
                    <w:pStyle w:val="81"/>
                    <w:spacing w:line="240" w:lineRule="auto"/>
                    <w:rPr>
                      <w:rFonts w:hint="eastAsia" w:eastAsia="宋体"/>
                      <w:color w:val="auto"/>
                      <w:szCs w:val="21"/>
                      <w:highlight w:val="none"/>
                      <w:lang w:eastAsia="zh-CN"/>
                    </w:rPr>
                  </w:pPr>
                  <w:r>
                    <w:rPr>
                      <w:rFonts w:hint="default" w:ascii="Times New Roman" w:hAnsi="Times New Roman" w:cs="Times New Roman"/>
                      <w:color w:val="auto"/>
                      <w:sz w:val="21"/>
                      <w:szCs w:val="21"/>
                      <w:highlight w:val="none"/>
                      <w:lang w:val="en-US" w:eastAsia="zh-CN"/>
                    </w:rPr>
                    <w:t>4</w:t>
                  </w:r>
                </w:p>
              </w:tc>
              <w:tc>
                <w:tcPr>
                  <w:tcW w:w="792" w:type="dxa"/>
                  <w:vMerge w:val="continue"/>
                  <w:tcBorders>
                    <w:tl2br w:val="nil"/>
                    <w:tr2bl w:val="nil"/>
                  </w:tcBorders>
                  <w:shd w:val="clear" w:color="auto" w:fill="auto"/>
                  <w:vAlign w:val="center"/>
                </w:tcPr>
                <w:p w14:paraId="6951579C">
                  <w:pPr>
                    <w:pStyle w:val="91"/>
                    <w:rPr>
                      <w:color w:val="auto"/>
                      <w:highlight w:val="none"/>
                      <w:lang w:val="en-US"/>
                    </w:rPr>
                  </w:pPr>
                </w:p>
              </w:tc>
              <w:tc>
                <w:tcPr>
                  <w:tcW w:w="1802" w:type="dxa"/>
                  <w:tcBorders>
                    <w:tl2br w:val="nil"/>
                    <w:tr2bl w:val="nil"/>
                  </w:tcBorders>
                  <w:shd w:val="clear" w:color="auto" w:fill="auto"/>
                  <w:vAlign w:val="center"/>
                </w:tcPr>
                <w:p w14:paraId="70586961">
                  <w:pPr>
                    <w:pStyle w:val="81"/>
                    <w:spacing w:line="240" w:lineRule="auto"/>
                    <w:rPr>
                      <w:color w:val="auto"/>
                      <w:szCs w:val="21"/>
                      <w:highlight w:val="none"/>
                    </w:rPr>
                  </w:pPr>
                  <w:r>
                    <w:rPr>
                      <w:rFonts w:hint="eastAsia" w:ascii="Times New Roman" w:hAnsi="Times New Roman" w:eastAsia="宋体" w:cs="Times New Roman"/>
                      <w:color w:val="auto"/>
                      <w:sz w:val="21"/>
                      <w:szCs w:val="21"/>
                      <w:highlight w:val="none"/>
                      <w:lang w:val="en-US" w:eastAsia="zh-CN"/>
                    </w:rPr>
                    <w:t>干涉仪</w:t>
                  </w:r>
                </w:p>
              </w:tc>
              <w:tc>
                <w:tcPr>
                  <w:tcW w:w="692" w:type="dxa"/>
                  <w:tcBorders>
                    <w:tl2br w:val="nil"/>
                    <w:tr2bl w:val="nil"/>
                  </w:tcBorders>
                  <w:shd w:val="clear" w:color="auto" w:fill="auto"/>
                  <w:vAlign w:val="center"/>
                </w:tcPr>
                <w:p w14:paraId="3AFC04D6">
                  <w:pPr>
                    <w:widowControl/>
                    <w:jc w:val="center"/>
                    <w:textAlignment w:val="center"/>
                    <w:rPr>
                      <w:rFonts w:hint="default" w:eastAsia="宋体"/>
                      <w:color w:val="auto"/>
                      <w:szCs w:val="21"/>
                      <w:highlight w:val="none"/>
                      <w:lang w:val="en-US" w:eastAsia="zh-CN"/>
                    </w:rPr>
                  </w:pPr>
                  <w:r>
                    <w:rPr>
                      <w:rFonts w:hint="eastAsia"/>
                      <w:color w:val="auto"/>
                      <w:kern w:val="0"/>
                      <w:szCs w:val="21"/>
                      <w:highlight w:val="none"/>
                      <w:lang w:val="en-US" w:eastAsia="zh-CN" w:bidi="ar"/>
                    </w:rPr>
                    <w:t>75</w:t>
                  </w:r>
                </w:p>
              </w:tc>
              <w:tc>
                <w:tcPr>
                  <w:tcW w:w="790" w:type="dxa"/>
                  <w:vMerge w:val="continue"/>
                  <w:tcBorders>
                    <w:tl2br w:val="nil"/>
                    <w:tr2bl w:val="nil"/>
                  </w:tcBorders>
                  <w:shd w:val="clear" w:color="auto" w:fill="auto"/>
                  <w:vAlign w:val="center"/>
                </w:tcPr>
                <w:p w14:paraId="0E900AC2">
                  <w:pPr>
                    <w:pStyle w:val="91"/>
                    <w:rPr>
                      <w:color w:val="auto"/>
                      <w:highlight w:val="none"/>
                      <w:lang w:val="en-US"/>
                    </w:rPr>
                  </w:pPr>
                </w:p>
              </w:tc>
              <w:tc>
                <w:tcPr>
                  <w:tcW w:w="647" w:type="dxa"/>
                  <w:tcBorders>
                    <w:tl2br w:val="nil"/>
                    <w:tr2bl w:val="nil"/>
                  </w:tcBorders>
                  <w:shd w:val="clear" w:color="auto" w:fill="auto"/>
                  <w:vAlign w:val="center"/>
                </w:tcPr>
                <w:p w14:paraId="611821D5">
                  <w:pPr>
                    <w:widowControl/>
                    <w:jc w:val="center"/>
                    <w:rPr>
                      <w:rFonts w:hint="default"/>
                      <w:color w:val="auto"/>
                      <w:szCs w:val="21"/>
                      <w:highlight w:val="none"/>
                      <w:lang w:val="en-US"/>
                    </w:rPr>
                  </w:pPr>
                  <w:r>
                    <w:rPr>
                      <w:rFonts w:hint="eastAsia"/>
                      <w:color w:val="auto"/>
                      <w:szCs w:val="21"/>
                      <w:highlight w:val="none"/>
                      <w:lang w:val="en-US" w:eastAsia="zh-CN"/>
                    </w:rPr>
                    <w:t>13</w:t>
                  </w:r>
                </w:p>
              </w:tc>
              <w:tc>
                <w:tcPr>
                  <w:tcW w:w="647" w:type="dxa"/>
                  <w:tcBorders>
                    <w:tl2br w:val="nil"/>
                    <w:tr2bl w:val="nil"/>
                  </w:tcBorders>
                  <w:shd w:val="clear" w:color="auto" w:fill="auto"/>
                  <w:vAlign w:val="center"/>
                </w:tcPr>
                <w:p w14:paraId="582848CA">
                  <w:pPr>
                    <w:widowControl/>
                    <w:jc w:val="center"/>
                    <w:textAlignment w:val="center"/>
                    <w:rPr>
                      <w:color w:val="auto"/>
                      <w:szCs w:val="21"/>
                      <w:highlight w:val="none"/>
                    </w:rPr>
                  </w:pPr>
                  <w:r>
                    <w:rPr>
                      <w:rFonts w:hint="eastAsia"/>
                      <w:color w:val="auto"/>
                      <w:kern w:val="0"/>
                      <w:szCs w:val="21"/>
                      <w:highlight w:val="none"/>
                      <w:lang w:val="en-US" w:eastAsia="zh-CN" w:bidi="ar"/>
                    </w:rPr>
                    <w:t>2</w:t>
                  </w:r>
                  <w:r>
                    <w:rPr>
                      <w:color w:val="auto"/>
                      <w:kern w:val="0"/>
                      <w:szCs w:val="21"/>
                      <w:highlight w:val="none"/>
                      <w:lang w:bidi="ar"/>
                    </w:rPr>
                    <w:t xml:space="preserve">8 </w:t>
                  </w:r>
                </w:p>
              </w:tc>
              <w:tc>
                <w:tcPr>
                  <w:tcW w:w="647" w:type="dxa"/>
                  <w:tcBorders>
                    <w:tl2br w:val="nil"/>
                    <w:tr2bl w:val="nil"/>
                  </w:tcBorders>
                  <w:shd w:val="clear" w:color="auto" w:fill="auto"/>
                  <w:noWrap/>
                  <w:vAlign w:val="center"/>
                </w:tcPr>
                <w:p w14:paraId="7B5D1D6B">
                  <w:pPr>
                    <w:jc w:val="center"/>
                    <w:rPr>
                      <w:color w:val="auto"/>
                      <w:szCs w:val="21"/>
                      <w:highlight w:val="none"/>
                    </w:rPr>
                  </w:pPr>
                  <w:r>
                    <w:rPr>
                      <w:rFonts w:hint="eastAsia"/>
                      <w:color w:val="auto"/>
                      <w:highlight w:val="none"/>
                      <w:lang w:val="en-US" w:eastAsia="zh-CN"/>
                    </w:rPr>
                    <w:t>0.5</w:t>
                  </w:r>
                </w:p>
              </w:tc>
              <w:tc>
                <w:tcPr>
                  <w:tcW w:w="938" w:type="dxa"/>
                  <w:tcBorders>
                    <w:tl2br w:val="nil"/>
                    <w:tr2bl w:val="nil"/>
                  </w:tcBorders>
                  <w:shd w:val="clear" w:color="auto" w:fill="auto"/>
                  <w:noWrap/>
                  <w:vAlign w:val="center"/>
                </w:tcPr>
                <w:p w14:paraId="4A557C0B">
                  <w:pPr>
                    <w:widowControl/>
                    <w:jc w:val="center"/>
                    <w:textAlignment w:val="center"/>
                    <w:rPr>
                      <w:color w:val="auto"/>
                      <w:szCs w:val="21"/>
                      <w:highlight w:val="none"/>
                    </w:rPr>
                  </w:pPr>
                  <w:r>
                    <w:rPr>
                      <w:color w:val="auto"/>
                      <w:kern w:val="0"/>
                      <w:szCs w:val="21"/>
                      <w:highlight w:val="none"/>
                      <w:lang w:bidi="ar"/>
                    </w:rPr>
                    <w:t>43</w:t>
                  </w:r>
                </w:p>
              </w:tc>
              <w:tc>
                <w:tcPr>
                  <w:tcW w:w="946" w:type="dxa"/>
                  <w:tcBorders>
                    <w:tl2br w:val="nil"/>
                    <w:tr2bl w:val="nil"/>
                  </w:tcBorders>
                  <w:shd w:val="clear" w:color="auto" w:fill="auto"/>
                  <w:noWrap/>
                  <w:vAlign w:val="center"/>
                </w:tcPr>
                <w:p w14:paraId="4893CACC">
                  <w:pPr>
                    <w:widowControl/>
                    <w:jc w:val="center"/>
                    <w:textAlignment w:val="center"/>
                    <w:rPr>
                      <w:color w:val="auto"/>
                      <w:szCs w:val="21"/>
                      <w:highlight w:val="none"/>
                    </w:rPr>
                  </w:pPr>
                  <w:r>
                    <w:rPr>
                      <w:color w:val="auto"/>
                      <w:kern w:val="0"/>
                      <w:szCs w:val="21"/>
                      <w:highlight w:val="none"/>
                      <w:lang w:bidi="ar"/>
                    </w:rPr>
                    <w:t>41.41</w:t>
                  </w:r>
                </w:p>
              </w:tc>
              <w:tc>
                <w:tcPr>
                  <w:tcW w:w="886" w:type="dxa"/>
                  <w:vMerge w:val="continue"/>
                  <w:tcBorders>
                    <w:tl2br w:val="nil"/>
                    <w:tr2bl w:val="nil"/>
                  </w:tcBorders>
                  <w:shd w:val="clear" w:color="auto" w:fill="auto"/>
                  <w:noWrap/>
                  <w:vAlign w:val="center"/>
                </w:tcPr>
                <w:p w14:paraId="3DEEAC81">
                  <w:pPr>
                    <w:jc w:val="center"/>
                    <w:rPr>
                      <w:color w:val="auto"/>
                      <w:szCs w:val="21"/>
                      <w:highlight w:val="none"/>
                    </w:rPr>
                  </w:pPr>
                </w:p>
              </w:tc>
              <w:tc>
                <w:tcPr>
                  <w:tcW w:w="946" w:type="dxa"/>
                  <w:tcBorders>
                    <w:top w:val="single" w:color="auto" w:sz="4" w:space="0"/>
                    <w:tl2br w:val="nil"/>
                    <w:tr2bl w:val="nil"/>
                  </w:tcBorders>
                  <w:shd w:val="clear" w:color="auto" w:fill="auto"/>
                  <w:noWrap/>
                  <w:vAlign w:val="center"/>
                </w:tcPr>
                <w:p w14:paraId="3460B93D">
                  <w:pPr>
                    <w:jc w:val="center"/>
                    <w:rPr>
                      <w:color w:val="auto"/>
                      <w:szCs w:val="21"/>
                      <w:highlight w:val="none"/>
                    </w:rPr>
                  </w:pPr>
                  <w:r>
                    <w:rPr>
                      <w:rFonts w:hint="eastAsia"/>
                      <w:color w:val="auto"/>
                      <w:szCs w:val="21"/>
                      <w:highlight w:val="none"/>
                    </w:rPr>
                    <w:t>15</w:t>
                  </w:r>
                </w:p>
              </w:tc>
              <w:tc>
                <w:tcPr>
                  <w:tcW w:w="1094" w:type="dxa"/>
                  <w:tcBorders>
                    <w:top w:val="single" w:color="000000" w:sz="4" w:space="0"/>
                    <w:bottom w:val="single" w:color="000000" w:sz="4" w:space="0"/>
                  </w:tcBorders>
                  <w:shd w:val="clear" w:color="auto" w:fill="auto"/>
                  <w:noWrap/>
                  <w:vAlign w:val="center"/>
                </w:tcPr>
                <w:p w14:paraId="1E730E9E">
                  <w:pPr>
                    <w:adjustRightInd w:val="0"/>
                    <w:snapToGrid w:val="0"/>
                    <w:jc w:val="center"/>
                    <w:rPr>
                      <w:color w:val="auto"/>
                      <w:sz w:val="21"/>
                      <w:szCs w:val="21"/>
                      <w:highlight w:val="none"/>
                      <w:lang w:val="en-US"/>
                    </w:rPr>
                  </w:pPr>
                  <w:r>
                    <w:rPr>
                      <w:rFonts w:hint="eastAsia"/>
                      <w:bCs/>
                      <w:color w:val="auto"/>
                      <w:kern w:val="21"/>
                      <w:sz w:val="21"/>
                      <w:szCs w:val="21"/>
                      <w:highlight w:val="none"/>
                      <w:lang w:val="en-US" w:eastAsia="zh-CN"/>
                    </w:rPr>
                    <w:t>53</w:t>
                  </w:r>
                  <w:r>
                    <w:rPr>
                      <w:bCs/>
                      <w:color w:val="auto"/>
                      <w:kern w:val="21"/>
                      <w:sz w:val="21"/>
                      <w:szCs w:val="21"/>
                      <w:highlight w:val="none"/>
                    </w:rPr>
                    <w:t>.41</w:t>
                  </w:r>
                </w:p>
              </w:tc>
              <w:tc>
                <w:tcPr>
                  <w:tcW w:w="1012" w:type="dxa"/>
                  <w:tcBorders>
                    <w:top w:val="single" w:color="000000" w:sz="4" w:space="0"/>
                    <w:bottom w:val="single" w:color="000000" w:sz="4" w:space="0"/>
                  </w:tcBorders>
                  <w:shd w:val="clear" w:color="auto" w:fill="auto"/>
                  <w:noWrap/>
                  <w:vAlign w:val="center"/>
                </w:tcPr>
                <w:p w14:paraId="3B4917DA">
                  <w:pPr>
                    <w:adjustRightInd w:val="0"/>
                    <w:snapToGrid w:val="0"/>
                    <w:jc w:val="center"/>
                    <w:rPr>
                      <w:color w:val="auto"/>
                      <w:sz w:val="21"/>
                      <w:szCs w:val="21"/>
                      <w:highlight w:val="none"/>
                      <w:lang w:val="en-US"/>
                    </w:rPr>
                  </w:pPr>
                  <w:r>
                    <w:rPr>
                      <w:rFonts w:hint="eastAsia"/>
                      <w:bCs/>
                      <w:color w:val="auto"/>
                      <w:kern w:val="21"/>
                      <w:sz w:val="21"/>
                      <w:szCs w:val="21"/>
                      <w:highlight w:val="none"/>
                    </w:rPr>
                    <w:t>1</w:t>
                  </w:r>
                </w:p>
              </w:tc>
            </w:tr>
            <w:tr w14:paraId="18D134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60" w:type="dxa"/>
                  <w:tcBorders>
                    <w:tl2br w:val="nil"/>
                    <w:tr2bl w:val="nil"/>
                  </w:tcBorders>
                  <w:shd w:val="clear" w:color="auto" w:fill="auto"/>
                  <w:noWrap/>
                  <w:vAlign w:val="center"/>
                </w:tcPr>
                <w:p w14:paraId="7CD7C10E">
                  <w:pPr>
                    <w:pStyle w:val="81"/>
                    <w:spacing w:line="240" w:lineRule="auto"/>
                    <w:rPr>
                      <w:rFonts w:hint="eastAsia" w:eastAsia="宋体"/>
                      <w:color w:val="auto"/>
                      <w:szCs w:val="21"/>
                      <w:highlight w:val="none"/>
                      <w:lang w:eastAsia="zh-CN"/>
                    </w:rPr>
                  </w:pPr>
                  <w:r>
                    <w:rPr>
                      <w:rFonts w:hint="eastAsia" w:ascii="Times New Roman" w:hAnsi="Times New Roman" w:cs="Times New Roman"/>
                      <w:color w:val="auto"/>
                      <w:sz w:val="21"/>
                      <w:szCs w:val="21"/>
                      <w:highlight w:val="none"/>
                      <w:lang w:val="en-US" w:eastAsia="zh-CN"/>
                    </w:rPr>
                    <w:t>5</w:t>
                  </w:r>
                </w:p>
              </w:tc>
              <w:tc>
                <w:tcPr>
                  <w:tcW w:w="792" w:type="dxa"/>
                  <w:vMerge w:val="continue"/>
                  <w:tcBorders>
                    <w:tl2br w:val="nil"/>
                    <w:tr2bl w:val="nil"/>
                  </w:tcBorders>
                  <w:shd w:val="clear" w:color="auto" w:fill="auto"/>
                  <w:vAlign w:val="center"/>
                </w:tcPr>
                <w:p w14:paraId="7BF82DFB">
                  <w:pPr>
                    <w:pStyle w:val="91"/>
                    <w:rPr>
                      <w:color w:val="auto"/>
                      <w:highlight w:val="none"/>
                      <w:lang w:val="en-US"/>
                    </w:rPr>
                  </w:pPr>
                </w:p>
              </w:tc>
              <w:tc>
                <w:tcPr>
                  <w:tcW w:w="1802" w:type="dxa"/>
                  <w:tcBorders>
                    <w:tl2br w:val="nil"/>
                    <w:tr2bl w:val="nil"/>
                  </w:tcBorders>
                  <w:shd w:val="clear" w:color="auto" w:fill="auto"/>
                  <w:vAlign w:val="center"/>
                </w:tcPr>
                <w:p w14:paraId="494DE9F3">
                  <w:pPr>
                    <w:pStyle w:val="81"/>
                    <w:spacing w:line="240" w:lineRule="auto"/>
                    <w:rPr>
                      <w:color w:val="auto"/>
                      <w:kern w:val="0"/>
                      <w:szCs w:val="21"/>
                      <w:highlight w:val="none"/>
                    </w:rPr>
                  </w:pPr>
                  <w:r>
                    <w:rPr>
                      <w:rFonts w:hint="eastAsia" w:ascii="Times New Roman" w:hAnsi="Times New Roman" w:eastAsia="宋体" w:cs="Times New Roman"/>
                      <w:color w:val="auto"/>
                      <w:sz w:val="21"/>
                      <w:szCs w:val="21"/>
                      <w:highlight w:val="none"/>
                      <w:lang w:val="en-US" w:eastAsia="zh-CN"/>
                    </w:rPr>
                    <w:t>偏心仪</w:t>
                  </w:r>
                </w:p>
              </w:tc>
              <w:tc>
                <w:tcPr>
                  <w:tcW w:w="692" w:type="dxa"/>
                  <w:tcBorders>
                    <w:tl2br w:val="nil"/>
                    <w:tr2bl w:val="nil"/>
                  </w:tcBorders>
                  <w:shd w:val="clear" w:color="auto" w:fill="auto"/>
                  <w:vAlign w:val="center"/>
                </w:tcPr>
                <w:p w14:paraId="6F300258">
                  <w:pPr>
                    <w:widowControl/>
                    <w:jc w:val="center"/>
                    <w:textAlignment w:val="center"/>
                    <w:rPr>
                      <w:rFonts w:hint="eastAsia" w:eastAsia="宋体"/>
                      <w:color w:val="auto"/>
                      <w:kern w:val="0"/>
                      <w:szCs w:val="21"/>
                      <w:highlight w:val="none"/>
                      <w:lang w:eastAsia="zh-CN" w:bidi="ar"/>
                    </w:rPr>
                  </w:pPr>
                  <w:r>
                    <w:rPr>
                      <w:color w:val="auto"/>
                      <w:kern w:val="0"/>
                      <w:szCs w:val="21"/>
                      <w:highlight w:val="none"/>
                      <w:lang w:bidi="ar"/>
                    </w:rPr>
                    <w:t>7</w:t>
                  </w:r>
                  <w:r>
                    <w:rPr>
                      <w:rFonts w:hint="eastAsia"/>
                      <w:color w:val="auto"/>
                      <w:kern w:val="0"/>
                      <w:szCs w:val="21"/>
                      <w:highlight w:val="none"/>
                      <w:lang w:val="en-US" w:eastAsia="zh-CN" w:bidi="ar"/>
                    </w:rPr>
                    <w:t>5</w:t>
                  </w:r>
                </w:p>
              </w:tc>
              <w:tc>
                <w:tcPr>
                  <w:tcW w:w="790" w:type="dxa"/>
                  <w:vMerge w:val="continue"/>
                  <w:tcBorders>
                    <w:tl2br w:val="nil"/>
                    <w:tr2bl w:val="nil"/>
                  </w:tcBorders>
                  <w:shd w:val="clear" w:color="auto" w:fill="auto"/>
                  <w:vAlign w:val="center"/>
                </w:tcPr>
                <w:p w14:paraId="3E33D01D">
                  <w:pPr>
                    <w:pStyle w:val="91"/>
                    <w:rPr>
                      <w:color w:val="auto"/>
                      <w:highlight w:val="none"/>
                      <w:lang w:val="en-US"/>
                    </w:rPr>
                  </w:pPr>
                </w:p>
              </w:tc>
              <w:tc>
                <w:tcPr>
                  <w:tcW w:w="647" w:type="dxa"/>
                  <w:tcBorders>
                    <w:tl2br w:val="nil"/>
                    <w:tr2bl w:val="nil"/>
                  </w:tcBorders>
                  <w:shd w:val="clear" w:color="auto" w:fill="auto"/>
                  <w:vAlign w:val="center"/>
                </w:tcPr>
                <w:p w14:paraId="163A460E">
                  <w:pPr>
                    <w:widowControl/>
                    <w:jc w:val="center"/>
                    <w:rPr>
                      <w:rFonts w:hint="default"/>
                      <w:color w:val="auto"/>
                      <w:kern w:val="0"/>
                      <w:szCs w:val="21"/>
                      <w:highlight w:val="none"/>
                      <w:lang w:val="en-US" w:bidi="ar"/>
                    </w:rPr>
                  </w:pPr>
                  <w:r>
                    <w:rPr>
                      <w:rFonts w:hint="eastAsia"/>
                      <w:color w:val="auto"/>
                      <w:szCs w:val="21"/>
                      <w:highlight w:val="none"/>
                      <w:lang w:val="en-US" w:eastAsia="zh-CN"/>
                    </w:rPr>
                    <w:t>13</w:t>
                  </w:r>
                </w:p>
              </w:tc>
              <w:tc>
                <w:tcPr>
                  <w:tcW w:w="647" w:type="dxa"/>
                  <w:tcBorders>
                    <w:tl2br w:val="nil"/>
                    <w:tr2bl w:val="nil"/>
                  </w:tcBorders>
                  <w:shd w:val="clear" w:color="auto" w:fill="auto"/>
                  <w:vAlign w:val="center"/>
                </w:tcPr>
                <w:p w14:paraId="7FA9F692">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2</w:t>
                  </w:r>
                  <w:r>
                    <w:rPr>
                      <w:color w:val="auto"/>
                      <w:kern w:val="0"/>
                      <w:szCs w:val="21"/>
                      <w:highlight w:val="none"/>
                      <w:lang w:bidi="ar"/>
                    </w:rPr>
                    <w:t xml:space="preserve">8 </w:t>
                  </w:r>
                </w:p>
              </w:tc>
              <w:tc>
                <w:tcPr>
                  <w:tcW w:w="647" w:type="dxa"/>
                  <w:tcBorders>
                    <w:tl2br w:val="nil"/>
                    <w:tr2bl w:val="nil"/>
                  </w:tcBorders>
                  <w:shd w:val="clear" w:color="auto" w:fill="auto"/>
                  <w:noWrap/>
                  <w:vAlign w:val="center"/>
                </w:tcPr>
                <w:p w14:paraId="7D458380">
                  <w:pPr>
                    <w:jc w:val="center"/>
                    <w:rPr>
                      <w:color w:val="auto"/>
                      <w:szCs w:val="21"/>
                      <w:highlight w:val="none"/>
                    </w:rPr>
                  </w:pPr>
                  <w:r>
                    <w:rPr>
                      <w:rFonts w:hint="eastAsia"/>
                      <w:color w:val="auto"/>
                      <w:highlight w:val="none"/>
                      <w:lang w:val="en-US" w:eastAsia="zh-CN"/>
                    </w:rPr>
                    <w:t>0.5</w:t>
                  </w:r>
                </w:p>
              </w:tc>
              <w:tc>
                <w:tcPr>
                  <w:tcW w:w="938" w:type="dxa"/>
                  <w:tcBorders>
                    <w:tl2br w:val="nil"/>
                    <w:tr2bl w:val="nil"/>
                  </w:tcBorders>
                  <w:shd w:val="clear" w:color="auto" w:fill="auto"/>
                  <w:noWrap/>
                  <w:vAlign w:val="center"/>
                </w:tcPr>
                <w:p w14:paraId="12D231EF">
                  <w:pPr>
                    <w:widowControl/>
                    <w:jc w:val="center"/>
                    <w:textAlignment w:val="center"/>
                    <w:rPr>
                      <w:color w:val="auto"/>
                      <w:kern w:val="0"/>
                      <w:szCs w:val="21"/>
                      <w:highlight w:val="none"/>
                      <w:lang w:bidi="ar"/>
                    </w:rPr>
                  </w:pPr>
                  <w:r>
                    <w:rPr>
                      <w:color w:val="auto"/>
                      <w:kern w:val="0"/>
                      <w:szCs w:val="21"/>
                      <w:highlight w:val="none"/>
                      <w:lang w:bidi="ar"/>
                    </w:rPr>
                    <w:t>23</w:t>
                  </w:r>
                </w:p>
              </w:tc>
              <w:tc>
                <w:tcPr>
                  <w:tcW w:w="946" w:type="dxa"/>
                  <w:tcBorders>
                    <w:tl2br w:val="nil"/>
                    <w:tr2bl w:val="nil"/>
                  </w:tcBorders>
                  <w:shd w:val="clear" w:color="auto" w:fill="auto"/>
                  <w:noWrap/>
                  <w:vAlign w:val="center"/>
                </w:tcPr>
                <w:p w14:paraId="4B24DEF2">
                  <w:pPr>
                    <w:widowControl/>
                    <w:jc w:val="center"/>
                    <w:textAlignment w:val="center"/>
                    <w:rPr>
                      <w:color w:val="auto"/>
                      <w:kern w:val="0"/>
                      <w:szCs w:val="21"/>
                      <w:highlight w:val="none"/>
                      <w:lang w:bidi="ar"/>
                    </w:rPr>
                  </w:pPr>
                  <w:r>
                    <w:rPr>
                      <w:color w:val="auto"/>
                      <w:kern w:val="0"/>
                      <w:szCs w:val="21"/>
                      <w:highlight w:val="none"/>
                      <w:lang w:bidi="ar"/>
                    </w:rPr>
                    <w:t>31.6</w:t>
                  </w:r>
                  <w:r>
                    <w:rPr>
                      <w:rFonts w:hint="eastAsia"/>
                      <w:color w:val="auto"/>
                      <w:kern w:val="0"/>
                      <w:szCs w:val="21"/>
                      <w:highlight w:val="none"/>
                      <w:lang w:bidi="ar"/>
                    </w:rPr>
                    <w:t>3</w:t>
                  </w:r>
                </w:p>
              </w:tc>
              <w:tc>
                <w:tcPr>
                  <w:tcW w:w="886" w:type="dxa"/>
                  <w:vMerge w:val="continue"/>
                  <w:tcBorders>
                    <w:tl2br w:val="nil"/>
                    <w:tr2bl w:val="nil"/>
                  </w:tcBorders>
                  <w:shd w:val="clear" w:color="auto" w:fill="auto"/>
                  <w:noWrap/>
                  <w:vAlign w:val="center"/>
                </w:tcPr>
                <w:p w14:paraId="1B15D991">
                  <w:pPr>
                    <w:jc w:val="center"/>
                    <w:rPr>
                      <w:color w:val="auto"/>
                      <w:szCs w:val="21"/>
                      <w:highlight w:val="none"/>
                    </w:rPr>
                  </w:pPr>
                </w:p>
              </w:tc>
              <w:tc>
                <w:tcPr>
                  <w:tcW w:w="946" w:type="dxa"/>
                  <w:tcBorders>
                    <w:tl2br w:val="nil"/>
                    <w:tr2bl w:val="nil"/>
                  </w:tcBorders>
                  <w:shd w:val="clear" w:color="auto" w:fill="auto"/>
                  <w:noWrap/>
                  <w:vAlign w:val="center"/>
                </w:tcPr>
                <w:p w14:paraId="215D579C">
                  <w:pPr>
                    <w:jc w:val="center"/>
                    <w:rPr>
                      <w:color w:val="auto"/>
                      <w:szCs w:val="21"/>
                      <w:highlight w:val="none"/>
                    </w:rPr>
                  </w:pPr>
                  <w:r>
                    <w:rPr>
                      <w:rFonts w:hint="eastAsia"/>
                      <w:color w:val="auto"/>
                      <w:szCs w:val="21"/>
                      <w:highlight w:val="none"/>
                    </w:rPr>
                    <w:t>15</w:t>
                  </w:r>
                </w:p>
              </w:tc>
              <w:tc>
                <w:tcPr>
                  <w:tcW w:w="1094" w:type="dxa"/>
                  <w:tcBorders>
                    <w:top w:val="single" w:color="000000" w:sz="4" w:space="0"/>
                    <w:bottom w:val="single" w:color="000000" w:sz="4" w:space="0"/>
                  </w:tcBorders>
                  <w:shd w:val="clear" w:color="auto" w:fill="auto"/>
                  <w:noWrap/>
                  <w:vAlign w:val="center"/>
                </w:tcPr>
                <w:p w14:paraId="086C3C08">
                  <w:pPr>
                    <w:adjustRightInd w:val="0"/>
                    <w:snapToGrid w:val="0"/>
                    <w:jc w:val="center"/>
                    <w:rPr>
                      <w:rFonts w:hint="default" w:eastAsia="宋体"/>
                      <w:color w:val="auto"/>
                      <w:sz w:val="21"/>
                      <w:szCs w:val="21"/>
                      <w:highlight w:val="none"/>
                      <w:lang w:val="en-US" w:eastAsia="zh-CN"/>
                    </w:rPr>
                  </w:pPr>
                  <w:r>
                    <w:rPr>
                      <w:rFonts w:hint="eastAsia"/>
                      <w:bCs/>
                      <w:color w:val="auto"/>
                      <w:kern w:val="21"/>
                      <w:sz w:val="21"/>
                      <w:szCs w:val="21"/>
                      <w:highlight w:val="none"/>
                      <w:lang w:val="en-US" w:eastAsia="zh-CN"/>
                    </w:rPr>
                    <w:t>49</w:t>
                  </w:r>
                  <w:r>
                    <w:rPr>
                      <w:bCs/>
                      <w:color w:val="auto"/>
                      <w:kern w:val="21"/>
                      <w:sz w:val="21"/>
                      <w:szCs w:val="21"/>
                      <w:highlight w:val="none"/>
                    </w:rPr>
                    <w:t>.</w:t>
                  </w:r>
                  <w:r>
                    <w:rPr>
                      <w:rFonts w:hint="eastAsia"/>
                      <w:bCs/>
                      <w:color w:val="auto"/>
                      <w:kern w:val="21"/>
                      <w:sz w:val="21"/>
                      <w:szCs w:val="21"/>
                      <w:highlight w:val="none"/>
                      <w:lang w:val="en-US" w:eastAsia="zh-CN"/>
                    </w:rPr>
                    <w:t>39</w:t>
                  </w:r>
                </w:p>
              </w:tc>
              <w:tc>
                <w:tcPr>
                  <w:tcW w:w="1012" w:type="dxa"/>
                  <w:tcBorders>
                    <w:top w:val="single" w:color="000000" w:sz="4" w:space="0"/>
                    <w:bottom w:val="single" w:color="000000" w:sz="4" w:space="0"/>
                  </w:tcBorders>
                  <w:shd w:val="clear" w:color="auto" w:fill="auto"/>
                  <w:noWrap/>
                  <w:vAlign w:val="center"/>
                </w:tcPr>
                <w:p w14:paraId="67DF4119">
                  <w:pPr>
                    <w:adjustRightInd w:val="0"/>
                    <w:snapToGrid w:val="0"/>
                    <w:jc w:val="center"/>
                    <w:rPr>
                      <w:color w:val="auto"/>
                      <w:sz w:val="21"/>
                      <w:szCs w:val="21"/>
                      <w:highlight w:val="none"/>
                      <w:lang w:val="en-US"/>
                    </w:rPr>
                  </w:pPr>
                  <w:r>
                    <w:rPr>
                      <w:rFonts w:hint="eastAsia"/>
                      <w:bCs/>
                      <w:color w:val="auto"/>
                      <w:kern w:val="21"/>
                      <w:sz w:val="21"/>
                      <w:szCs w:val="21"/>
                      <w:highlight w:val="none"/>
                    </w:rPr>
                    <w:t>1</w:t>
                  </w:r>
                </w:p>
              </w:tc>
            </w:tr>
            <w:tr w14:paraId="668FA6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60" w:type="dxa"/>
                  <w:tcBorders>
                    <w:tl2br w:val="nil"/>
                    <w:tr2bl w:val="nil"/>
                  </w:tcBorders>
                  <w:shd w:val="clear" w:color="auto" w:fill="auto"/>
                  <w:noWrap/>
                  <w:vAlign w:val="center"/>
                </w:tcPr>
                <w:p w14:paraId="66BC27B8">
                  <w:pPr>
                    <w:pStyle w:val="81"/>
                    <w:spacing w:line="240" w:lineRule="auto"/>
                    <w:rPr>
                      <w:rFonts w:hint="default"/>
                      <w:color w:val="auto"/>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792" w:type="dxa"/>
                  <w:vMerge w:val="continue"/>
                  <w:tcBorders>
                    <w:tl2br w:val="nil"/>
                    <w:tr2bl w:val="nil"/>
                  </w:tcBorders>
                  <w:shd w:val="clear" w:color="auto" w:fill="auto"/>
                  <w:vAlign w:val="center"/>
                </w:tcPr>
                <w:p w14:paraId="39E1821D">
                  <w:pPr>
                    <w:pStyle w:val="91"/>
                    <w:rPr>
                      <w:color w:val="auto"/>
                      <w:highlight w:val="none"/>
                      <w:lang w:val="en-US"/>
                    </w:rPr>
                  </w:pPr>
                </w:p>
              </w:tc>
              <w:tc>
                <w:tcPr>
                  <w:tcW w:w="1802" w:type="dxa"/>
                  <w:tcBorders>
                    <w:tl2br w:val="nil"/>
                    <w:tr2bl w:val="nil"/>
                  </w:tcBorders>
                  <w:shd w:val="clear" w:color="auto" w:fill="auto"/>
                  <w:vAlign w:val="center"/>
                </w:tcPr>
                <w:p w14:paraId="02694D69">
                  <w:pPr>
                    <w:pStyle w:val="81"/>
                    <w:spacing w:line="240" w:lineRule="auto"/>
                    <w:rPr>
                      <w:rFonts w:hint="eastAsia" w:eastAsia="宋体"/>
                      <w:color w:val="auto"/>
                      <w:kern w:val="0"/>
                      <w:szCs w:val="21"/>
                      <w:highlight w:val="none"/>
                      <w:lang w:val="en-US" w:eastAsia="zh-CN"/>
                    </w:rPr>
                  </w:pPr>
                  <w:r>
                    <w:rPr>
                      <w:rFonts w:hint="eastAsia" w:ascii="Times New Roman" w:hAnsi="Times New Roman" w:eastAsia="宋体" w:cs="Times New Roman"/>
                      <w:color w:val="auto"/>
                      <w:sz w:val="21"/>
                      <w:szCs w:val="21"/>
                      <w:highlight w:val="none"/>
                      <w:lang w:val="en-US" w:eastAsia="zh-CN"/>
                    </w:rPr>
                    <w:t>测角度</w:t>
                  </w:r>
                </w:p>
              </w:tc>
              <w:tc>
                <w:tcPr>
                  <w:tcW w:w="692" w:type="dxa"/>
                  <w:tcBorders>
                    <w:tl2br w:val="nil"/>
                    <w:tr2bl w:val="nil"/>
                  </w:tcBorders>
                  <w:shd w:val="clear" w:color="auto" w:fill="auto"/>
                  <w:vAlign w:val="center"/>
                </w:tcPr>
                <w:p w14:paraId="3F0B1A30">
                  <w:pPr>
                    <w:widowControl/>
                    <w:jc w:val="center"/>
                    <w:textAlignment w:val="center"/>
                    <w:rPr>
                      <w:color w:val="auto"/>
                      <w:kern w:val="0"/>
                      <w:szCs w:val="21"/>
                      <w:highlight w:val="none"/>
                      <w:lang w:bidi="ar"/>
                    </w:rPr>
                  </w:pPr>
                  <w:r>
                    <w:rPr>
                      <w:color w:val="auto"/>
                      <w:kern w:val="0"/>
                      <w:szCs w:val="21"/>
                      <w:highlight w:val="none"/>
                      <w:lang w:bidi="ar"/>
                    </w:rPr>
                    <w:t>70</w:t>
                  </w:r>
                </w:p>
              </w:tc>
              <w:tc>
                <w:tcPr>
                  <w:tcW w:w="790" w:type="dxa"/>
                  <w:vMerge w:val="continue"/>
                  <w:tcBorders>
                    <w:tl2br w:val="nil"/>
                    <w:tr2bl w:val="nil"/>
                  </w:tcBorders>
                  <w:shd w:val="clear" w:color="auto" w:fill="auto"/>
                  <w:vAlign w:val="center"/>
                </w:tcPr>
                <w:p w14:paraId="41F6AE3B">
                  <w:pPr>
                    <w:pStyle w:val="91"/>
                    <w:rPr>
                      <w:color w:val="auto"/>
                      <w:highlight w:val="none"/>
                      <w:lang w:val="en-US"/>
                    </w:rPr>
                  </w:pPr>
                </w:p>
              </w:tc>
              <w:tc>
                <w:tcPr>
                  <w:tcW w:w="647" w:type="dxa"/>
                  <w:tcBorders>
                    <w:tl2br w:val="nil"/>
                    <w:tr2bl w:val="nil"/>
                  </w:tcBorders>
                  <w:shd w:val="clear" w:color="auto" w:fill="auto"/>
                  <w:vAlign w:val="center"/>
                </w:tcPr>
                <w:p w14:paraId="18D0A787">
                  <w:pPr>
                    <w:widowControl/>
                    <w:jc w:val="center"/>
                    <w:rPr>
                      <w:rFonts w:hint="default" w:ascii="Times New Roman" w:hAnsi="Times New Roman" w:eastAsia="宋体" w:cs="Times New Roman"/>
                      <w:color w:val="auto"/>
                      <w:sz w:val="21"/>
                      <w:szCs w:val="21"/>
                      <w:highlight w:val="none"/>
                    </w:rPr>
                  </w:pPr>
                  <w:r>
                    <w:rPr>
                      <w:rFonts w:hint="eastAsia"/>
                      <w:color w:val="auto"/>
                      <w:szCs w:val="21"/>
                      <w:highlight w:val="none"/>
                      <w:lang w:val="en-US" w:eastAsia="zh-CN"/>
                    </w:rPr>
                    <w:t>11</w:t>
                  </w:r>
                </w:p>
              </w:tc>
              <w:tc>
                <w:tcPr>
                  <w:tcW w:w="647" w:type="dxa"/>
                  <w:tcBorders>
                    <w:tl2br w:val="nil"/>
                    <w:tr2bl w:val="nil"/>
                  </w:tcBorders>
                  <w:shd w:val="clear" w:color="auto" w:fill="auto"/>
                  <w:vAlign w:val="center"/>
                </w:tcPr>
                <w:p w14:paraId="0401490E">
                  <w:pPr>
                    <w:widowControl/>
                    <w:jc w:val="center"/>
                    <w:textAlignment w:val="center"/>
                    <w:rPr>
                      <w:rFonts w:hint="eastAsia" w:eastAsia="宋体"/>
                      <w:color w:val="auto"/>
                      <w:kern w:val="0"/>
                      <w:szCs w:val="21"/>
                      <w:highlight w:val="none"/>
                      <w:lang w:eastAsia="zh-CN" w:bidi="ar"/>
                    </w:rPr>
                  </w:pPr>
                  <w:r>
                    <w:rPr>
                      <w:rFonts w:hint="eastAsia"/>
                      <w:color w:val="auto"/>
                      <w:kern w:val="0"/>
                      <w:szCs w:val="21"/>
                      <w:highlight w:val="none"/>
                      <w:lang w:val="en-US" w:eastAsia="zh-CN" w:bidi="ar"/>
                    </w:rPr>
                    <w:t>26</w:t>
                  </w:r>
                </w:p>
              </w:tc>
              <w:tc>
                <w:tcPr>
                  <w:tcW w:w="647" w:type="dxa"/>
                  <w:tcBorders>
                    <w:tl2br w:val="nil"/>
                    <w:tr2bl w:val="nil"/>
                  </w:tcBorders>
                  <w:shd w:val="clear" w:color="auto" w:fill="auto"/>
                  <w:noWrap/>
                  <w:vAlign w:val="center"/>
                </w:tcPr>
                <w:p w14:paraId="600BEF6E">
                  <w:pPr>
                    <w:jc w:val="center"/>
                    <w:rPr>
                      <w:rFonts w:hint="eastAsia"/>
                      <w:color w:val="auto"/>
                      <w:highlight w:val="none"/>
                      <w:lang w:val="en-US" w:eastAsia="zh-CN"/>
                    </w:rPr>
                  </w:pPr>
                  <w:r>
                    <w:rPr>
                      <w:rFonts w:hint="eastAsia"/>
                      <w:color w:val="auto"/>
                      <w:highlight w:val="none"/>
                      <w:lang w:val="en-US" w:eastAsia="zh-CN"/>
                    </w:rPr>
                    <w:t>0.5</w:t>
                  </w:r>
                </w:p>
              </w:tc>
              <w:tc>
                <w:tcPr>
                  <w:tcW w:w="938" w:type="dxa"/>
                  <w:tcBorders>
                    <w:tl2br w:val="nil"/>
                    <w:tr2bl w:val="nil"/>
                  </w:tcBorders>
                  <w:shd w:val="clear" w:color="auto" w:fill="auto"/>
                  <w:noWrap/>
                  <w:vAlign w:val="center"/>
                </w:tcPr>
                <w:p w14:paraId="68C981DC">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25</w:t>
                  </w:r>
                </w:p>
              </w:tc>
              <w:tc>
                <w:tcPr>
                  <w:tcW w:w="946" w:type="dxa"/>
                  <w:tcBorders>
                    <w:tl2br w:val="nil"/>
                    <w:tr2bl w:val="nil"/>
                  </w:tcBorders>
                  <w:shd w:val="clear" w:color="auto" w:fill="auto"/>
                  <w:noWrap/>
                  <w:vAlign w:val="center"/>
                </w:tcPr>
                <w:p w14:paraId="11EC819B">
                  <w:pPr>
                    <w:widowControl/>
                    <w:jc w:val="center"/>
                    <w:textAlignment w:val="center"/>
                    <w:rPr>
                      <w:color w:val="auto"/>
                      <w:kern w:val="0"/>
                      <w:szCs w:val="21"/>
                      <w:highlight w:val="none"/>
                      <w:lang w:bidi="ar"/>
                    </w:rPr>
                  </w:pPr>
                  <w:r>
                    <w:rPr>
                      <w:color w:val="auto"/>
                      <w:kern w:val="0"/>
                      <w:szCs w:val="21"/>
                      <w:highlight w:val="none"/>
                      <w:lang w:bidi="ar"/>
                    </w:rPr>
                    <w:t>3</w:t>
                  </w:r>
                  <w:r>
                    <w:rPr>
                      <w:rFonts w:hint="eastAsia"/>
                      <w:color w:val="auto"/>
                      <w:kern w:val="0"/>
                      <w:szCs w:val="21"/>
                      <w:highlight w:val="none"/>
                      <w:lang w:val="en-US" w:eastAsia="zh-CN" w:bidi="ar"/>
                    </w:rPr>
                    <w:t>2</w:t>
                  </w:r>
                  <w:r>
                    <w:rPr>
                      <w:color w:val="auto"/>
                      <w:kern w:val="0"/>
                      <w:szCs w:val="21"/>
                      <w:highlight w:val="none"/>
                      <w:lang w:bidi="ar"/>
                    </w:rPr>
                    <w:t>.21</w:t>
                  </w:r>
                </w:p>
              </w:tc>
              <w:tc>
                <w:tcPr>
                  <w:tcW w:w="886" w:type="dxa"/>
                  <w:vMerge w:val="continue"/>
                  <w:tcBorders>
                    <w:tl2br w:val="nil"/>
                    <w:tr2bl w:val="nil"/>
                  </w:tcBorders>
                  <w:shd w:val="clear" w:color="auto" w:fill="auto"/>
                  <w:noWrap/>
                  <w:vAlign w:val="center"/>
                </w:tcPr>
                <w:p w14:paraId="3E6EF7BA">
                  <w:pPr>
                    <w:jc w:val="center"/>
                    <w:rPr>
                      <w:rFonts w:hint="eastAsia"/>
                      <w:color w:val="auto"/>
                      <w:highlight w:val="none"/>
                    </w:rPr>
                  </w:pPr>
                </w:p>
              </w:tc>
              <w:tc>
                <w:tcPr>
                  <w:tcW w:w="946" w:type="dxa"/>
                  <w:tcBorders>
                    <w:tl2br w:val="nil"/>
                    <w:tr2bl w:val="nil"/>
                  </w:tcBorders>
                  <w:shd w:val="clear" w:color="auto" w:fill="auto"/>
                  <w:noWrap/>
                  <w:vAlign w:val="center"/>
                </w:tcPr>
                <w:p w14:paraId="2A665F3B">
                  <w:pPr>
                    <w:jc w:val="center"/>
                    <w:rPr>
                      <w:rFonts w:hint="eastAsia"/>
                      <w:color w:val="auto"/>
                      <w:szCs w:val="21"/>
                      <w:highlight w:val="none"/>
                    </w:rPr>
                  </w:pPr>
                  <w:r>
                    <w:rPr>
                      <w:rFonts w:hint="eastAsia"/>
                      <w:color w:val="auto"/>
                      <w:szCs w:val="21"/>
                      <w:highlight w:val="none"/>
                    </w:rPr>
                    <w:t>15</w:t>
                  </w:r>
                </w:p>
              </w:tc>
              <w:tc>
                <w:tcPr>
                  <w:tcW w:w="1094" w:type="dxa"/>
                  <w:tcBorders>
                    <w:top w:val="single" w:color="000000" w:sz="4" w:space="0"/>
                    <w:bottom w:val="single" w:color="000000" w:sz="4" w:space="0"/>
                  </w:tcBorders>
                  <w:shd w:val="clear" w:color="auto" w:fill="auto"/>
                  <w:noWrap/>
                  <w:vAlign w:val="center"/>
                </w:tcPr>
                <w:p w14:paraId="770A5896">
                  <w:pPr>
                    <w:adjustRightInd w:val="0"/>
                    <w:snapToGrid w:val="0"/>
                    <w:jc w:val="center"/>
                    <w:rPr>
                      <w:rFonts w:hint="eastAsia"/>
                      <w:bCs/>
                      <w:color w:val="auto"/>
                      <w:kern w:val="21"/>
                      <w:sz w:val="21"/>
                      <w:szCs w:val="21"/>
                      <w:highlight w:val="none"/>
                      <w:lang w:val="en-US" w:eastAsia="zh-CN"/>
                    </w:rPr>
                  </w:pPr>
                  <w:r>
                    <w:rPr>
                      <w:bCs/>
                      <w:color w:val="auto"/>
                      <w:kern w:val="21"/>
                      <w:sz w:val="21"/>
                      <w:szCs w:val="21"/>
                      <w:highlight w:val="none"/>
                    </w:rPr>
                    <w:t>5</w:t>
                  </w:r>
                  <w:r>
                    <w:rPr>
                      <w:rFonts w:hint="eastAsia"/>
                      <w:bCs/>
                      <w:color w:val="auto"/>
                      <w:kern w:val="21"/>
                      <w:sz w:val="21"/>
                      <w:szCs w:val="21"/>
                      <w:highlight w:val="none"/>
                      <w:lang w:val="en-US" w:eastAsia="zh-CN"/>
                    </w:rPr>
                    <w:t>2.03</w:t>
                  </w:r>
                </w:p>
              </w:tc>
              <w:tc>
                <w:tcPr>
                  <w:tcW w:w="1012" w:type="dxa"/>
                  <w:tcBorders>
                    <w:top w:val="single" w:color="000000" w:sz="4" w:space="0"/>
                    <w:bottom w:val="single" w:color="000000" w:sz="4" w:space="0"/>
                  </w:tcBorders>
                  <w:shd w:val="clear" w:color="auto" w:fill="auto"/>
                  <w:noWrap/>
                  <w:vAlign w:val="center"/>
                </w:tcPr>
                <w:p w14:paraId="5A17337B">
                  <w:pPr>
                    <w:adjustRightInd w:val="0"/>
                    <w:snapToGrid w:val="0"/>
                    <w:jc w:val="center"/>
                    <w:rPr>
                      <w:rFonts w:hint="eastAsia"/>
                      <w:bCs/>
                      <w:color w:val="auto"/>
                      <w:kern w:val="21"/>
                      <w:sz w:val="21"/>
                      <w:szCs w:val="21"/>
                      <w:highlight w:val="none"/>
                    </w:rPr>
                  </w:pPr>
                  <w:r>
                    <w:rPr>
                      <w:rFonts w:hint="eastAsia"/>
                      <w:bCs/>
                      <w:color w:val="auto"/>
                      <w:kern w:val="21"/>
                      <w:sz w:val="21"/>
                      <w:szCs w:val="21"/>
                      <w:highlight w:val="none"/>
                    </w:rPr>
                    <w:t>1</w:t>
                  </w:r>
                </w:p>
              </w:tc>
            </w:tr>
            <w:tr w14:paraId="708CFB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60" w:type="dxa"/>
                  <w:tcBorders>
                    <w:tl2br w:val="nil"/>
                    <w:tr2bl w:val="nil"/>
                  </w:tcBorders>
                  <w:shd w:val="clear" w:color="auto" w:fill="auto"/>
                  <w:noWrap/>
                  <w:vAlign w:val="center"/>
                </w:tcPr>
                <w:p w14:paraId="3125D87F">
                  <w:pPr>
                    <w:pStyle w:val="81"/>
                    <w:spacing w:line="240" w:lineRule="auto"/>
                    <w:rPr>
                      <w:rFonts w:hint="default"/>
                      <w:color w:val="auto"/>
                      <w:szCs w:val="21"/>
                      <w:highlight w:val="none"/>
                      <w:lang w:val="en-US" w:eastAsia="zh-CN"/>
                    </w:rPr>
                  </w:pPr>
                  <w:r>
                    <w:rPr>
                      <w:rFonts w:hint="eastAsia" w:ascii="Times New Roman" w:hAnsi="Times New Roman" w:cs="Times New Roman"/>
                      <w:color w:val="auto"/>
                      <w:sz w:val="21"/>
                      <w:szCs w:val="21"/>
                      <w:highlight w:val="none"/>
                      <w:lang w:val="en-US" w:eastAsia="zh-CN"/>
                    </w:rPr>
                    <w:t>7</w:t>
                  </w:r>
                </w:p>
              </w:tc>
              <w:tc>
                <w:tcPr>
                  <w:tcW w:w="792" w:type="dxa"/>
                  <w:vMerge w:val="continue"/>
                  <w:tcBorders>
                    <w:tl2br w:val="nil"/>
                    <w:tr2bl w:val="nil"/>
                  </w:tcBorders>
                  <w:shd w:val="clear" w:color="auto" w:fill="auto"/>
                  <w:vAlign w:val="center"/>
                </w:tcPr>
                <w:p w14:paraId="46C06489">
                  <w:pPr>
                    <w:pStyle w:val="91"/>
                    <w:rPr>
                      <w:color w:val="auto"/>
                      <w:highlight w:val="none"/>
                      <w:lang w:val="en-US"/>
                    </w:rPr>
                  </w:pPr>
                </w:p>
              </w:tc>
              <w:tc>
                <w:tcPr>
                  <w:tcW w:w="1802" w:type="dxa"/>
                  <w:tcBorders>
                    <w:tl2br w:val="nil"/>
                    <w:tr2bl w:val="nil"/>
                  </w:tcBorders>
                  <w:shd w:val="clear" w:color="auto" w:fill="auto"/>
                  <w:vAlign w:val="center"/>
                </w:tcPr>
                <w:p w14:paraId="399E3B4C">
                  <w:pPr>
                    <w:pStyle w:val="81"/>
                    <w:spacing w:line="240" w:lineRule="auto"/>
                    <w:rPr>
                      <w:rFonts w:hint="eastAsia" w:eastAsia="宋体"/>
                      <w:color w:val="auto"/>
                      <w:kern w:val="0"/>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显微镜</w:t>
                  </w:r>
                </w:p>
              </w:tc>
              <w:tc>
                <w:tcPr>
                  <w:tcW w:w="692" w:type="dxa"/>
                  <w:tcBorders>
                    <w:tl2br w:val="nil"/>
                    <w:tr2bl w:val="nil"/>
                  </w:tcBorders>
                  <w:shd w:val="clear" w:color="auto" w:fill="auto"/>
                  <w:vAlign w:val="center"/>
                </w:tcPr>
                <w:p w14:paraId="16A8D114">
                  <w:pPr>
                    <w:widowControl/>
                    <w:jc w:val="center"/>
                    <w:textAlignment w:val="center"/>
                    <w:rPr>
                      <w:color w:val="auto"/>
                      <w:kern w:val="0"/>
                      <w:szCs w:val="21"/>
                      <w:highlight w:val="none"/>
                      <w:lang w:bidi="ar"/>
                    </w:rPr>
                  </w:pPr>
                  <w:r>
                    <w:rPr>
                      <w:color w:val="auto"/>
                      <w:kern w:val="0"/>
                      <w:szCs w:val="21"/>
                      <w:highlight w:val="none"/>
                      <w:lang w:bidi="ar"/>
                    </w:rPr>
                    <w:t>70</w:t>
                  </w:r>
                </w:p>
              </w:tc>
              <w:tc>
                <w:tcPr>
                  <w:tcW w:w="790" w:type="dxa"/>
                  <w:vMerge w:val="continue"/>
                  <w:tcBorders>
                    <w:tl2br w:val="nil"/>
                    <w:tr2bl w:val="nil"/>
                  </w:tcBorders>
                  <w:shd w:val="clear" w:color="auto" w:fill="auto"/>
                  <w:vAlign w:val="center"/>
                </w:tcPr>
                <w:p w14:paraId="184B22D6">
                  <w:pPr>
                    <w:pStyle w:val="91"/>
                    <w:rPr>
                      <w:color w:val="auto"/>
                      <w:highlight w:val="none"/>
                      <w:lang w:val="en-US"/>
                    </w:rPr>
                  </w:pPr>
                </w:p>
              </w:tc>
              <w:tc>
                <w:tcPr>
                  <w:tcW w:w="647" w:type="dxa"/>
                  <w:tcBorders>
                    <w:tl2br w:val="nil"/>
                    <w:tr2bl w:val="nil"/>
                  </w:tcBorders>
                  <w:shd w:val="clear" w:color="auto" w:fill="auto"/>
                  <w:vAlign w:val="center"/>
                </w:tcPr>
                <w:p w14:paraId="1D370CFC">
                  <w:pPr>
                    <w:widowControl/>
                    <w:jc w:val="center"/>
                    <w:rPr>
                      <w:rFonts w:hint="default" w:ascii="Times New Roman" w:hAnsi="Times New Roman" w:eastAsia="宋体" w:cs="Times New Roman"/>
                      <w:color w:val="auto"/>
                      <w:sz w:val="21"/>
                      <w:szCs w:val="21"/>
                      <w:highlight w:val="none"/>
                    </w:rPr>
                  </w:pPr>
                  <w:r>
                    <w:rPr>
                      <w:rFonts w:hint="eastAsia"/>
                      <w:color w:val="auto"/>
                      <w:szCs w:val="21"/>
                      <w:highlight w:val="none"/>
                      <w:lang w:val="en-US" w:eastAsia="zh-CN"/>
                    </w:rPr>
                    <w:t>10</w:t>
                  </w:r>
                </w:p>
              </w:tc>
              <w:tc>
                <w:tcPr>
                  <w:tcW w:w="647" w:type="dxa"/>
                  <w:tcBorders>
                    <w:tl2br w:val="nil"/>
                    <w:tr2bl w:val="nil"/>
                  </w:tcBorders>
                  <w:shd w:val="clear" w:color="auto" w:fill="auto"/>
                  <w:vAlign w:val="center"/>
                </w:tcPr>
                <w:p w14:paraId="231ABD05">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26</w:t>
                  </w:r>
                  <w:r>
                    <w:rPr>
                      <w:color w:val="auto"/>
                      <w:kern w:val="0"/>
                      <w:szCs w:val="21"/>
                      <w:highlight w:val="none"/>
                      <w:lang w:bidi="ar"/>
                    </w:rPr>
                    <w:t xml:space="preserve"> </w:t>
                  </w:r>
                </w:p>
              </w:tc>
              <w:tc>
                <w:tcPr>
                  <w:tcW w:w="647" w:type="dxa"/>
                  <w:tcBorders>
                    <w:tl2br w:val="nil"/>
                    <w:tr2bl w:val="nil"/>
                  </w:tcBorders>
                  <w:shd w:val="clear" w:color="auto" w:fill="auto"/>
                  <w:noWrap/>
                  <w:vAlign w:val="center"/>
                </w:tcPr>
                <w:p w14:paraId="51BC8D74">
                  <w:pPr>
                    <w:jc w:val="center"/>
                    <w:rPr>
                      <w:rFonts w:hint="eastAsia"/>
                      <w:color w:val="auto"/>
                      <w:highlight w:val="none"/>
                      <w:lang w:val="en-US" w:eastAsia="zh-CN"/>
                    </w:rPr>
                  </w:pPr>
                  <w:r>
                    <w:rPr>
                      <w:rFonts w:hint="eastAsia"/>
                      <w:color w:val="auto"/>
                      <w:highlight w:val="none"/>
                      <w:lang w:val="en-US" w:eastAsia="zh-CN"/>
                    </w:rPr>
                    <w:t>0.5</w:t>
                  </w:r>
                </w:p>
              </w:tc>
              <w:tc>
                <w:tcPr>
                  <w:tcW w:w="938" w:type="dxa"/>
                  <w:tcBorders>
                    <w:tl2br w:val="nil"/>
                    <w:tr2bl w:val="nil"/>
                  </w:tcBorders>
                  <w:shd w:val="clear" w:color="auto" w:fill="auto"/>
                  <w:noWrap/>
                  <w:vAlign w:val="center"/>
                </w:tcPr>
                <w:p w14:paraId="317897F5">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26</w:t>
                  </w:r>
                </w:p>
              </w:tc>
              <w:tc>
                <w:tcPr>
                  <w:tcW w:w="946" w:type="dxa"/>
                  <w:tcBorders>
                    <w:tl2br w:val="nil"/>
                    <w:tr2bl w:val="nil"/>
                  </w:tcBorders>
                  <w:shd w:val="clear" w:color="auto" w:fill="auto"/>
                  <w:noWrap/>
                  <w:vAlign w:val="center"/>
                </w:tcPr>
                <w:p w14:paraId="3CB8217B">
                  <w:pPr>
                    <w:widowControl/>
                    <w:jc w:val="center"/>
                    <w:textAlignment w:val="center"/>
                    <w:rPr>
                      <w:color w:val="auto"/>
                      <w:kern w:val="0"/>
                      <w:szCs w:val="21"/>
                      <w:highlight w:val="none"/>
                      <w:lang w:bidi="ar"/>
                    </w:rPr>
                  </w:pPr>
                  <w:r>
                    <w:rPr>
                      <w:color w:val="auto"/>
                      <w:kern w:val="0"/>
                      <w:szCs w:val="21"/>
                      <w:highlight w:val="none"/>
                      <w:lang w:bidi="ar"/>
                    </w:rPr>
                    <w:t>31.62</w:t>
                  </w:r>
                </w:p>
              </w:tc>
              <w:tc>
                <w:tcPr>
                  <w:tcW w:w="886" w:type="dxa"/>
                  <w:vMerge w:val="continue"/>
                  <w:tcBorders>
                    <w:tl2br w:val="nil"/>
                    <w:tr2bl w:val="nil"/>
                  </w:tcBorders>
                  <w:shd w:val="clear" w:color="auto" w:fill="auto"/>
                  <w:noWrap/>
                  <w:vAlign w:val="center"/>
                </w:tcPr>
                <w:p w14:paraId="54039691">
                  <w:pPr>
                    <w:jc w:val="center"/>
                    <w:rPr>
                      <w:rFonts w:hint="eastAsia"/>
                      <w:color w:val="auto"/>
                      <w:highlight w:val="none"/>
                    </w:rPr>
                  </w:pPr>
                </w:p>
              </w:tc>
              <w:tc>
                <w:tcPr>
                  <w:tcW w:w="946" w:type="dxa"/>
                  <w:tcBorders>
                    <w:tl2br w:val="nil"/>
                    <w:tr2bl w:val="nil"/>
                  </w:tcBorders>
                  <w:shd w:val="clear" w:color="auto" w:fill="auto"/>
                  <w:noWrap/>
                  <w:vAlign w:val="center"/>
                </w:tcPr>
                <w:p w14:paraId="25331D9E">
                  <w:pPr>
                    <w:jc w:val="center"/>
                    <w:rPr>
                      <w:rFonts w:hint="eastAsia"/>
                      <w:color w:val="auto"/>
                      <w:szCs w:val="21"/>
                      <w:highlight w:val="none"/>
                    </w:rPr>
                  </w:pPr>
                  <w:r>
                    <w:rPr>
                      <w:rFonts w:hint="eastAsia"/>
                      <w:color w:val="auto"/>
                      <w:szCs w:val="21"/>
                      <w:highlight w:val="none"/>
                    </w:rPr>
                    <w:t>15</w:t>
                  </w:r>
                </w:p>
              </w:tc>
              <w:tc>
                <w:tcPr>
                  <w:tcW w:w="1094" w:type="dxa"/>
                  <w:tcBorders>
                    <w:top w:val="single" w:color="000000" w:sz="4" w:space="0"/>
                    <w:bottom w:val="single" w:color="000000" w:sz="4" w:space="0"/>
                  </w:tcBorders>
                  <w:shd w:val="clear" w:color="auto" w:fill="auto"/>
                  <w:noWrap/>
                  <w:vAlign w:val="center"/>
                </w:tcPr>
                <w:p w14:paraId="1627E600">
                  <w:pPr>
                    <w:adjustRightInd w:val="0"/>
                    <w:snapToGrid w:val="0"/>
                    <w:jc w:val="center"/>
                    <w:rPr>
                      <w:rFonts w:hint="eastAsia"/>
                      <w:bCs/>
                      <w:color w:val="auto"/>
                      <w:kern w:val="21"/>
                      <w:sz w:val="21"/>
                      <w:szCs w:val="21"/>
                      <w:highlight w:val="none"/>
                      <w:lang w:val="en-US" w:eastAsia="zh-CN"/>
                    </w:rPr>
                  </w:pPr>
                  <w:r>
                    <w:rPr>
                      <w:bCs/>
                      <w:color w:val="auto"/>
                      <w:kern w:val="21"/>
                      <w:sz w:val="21"/>
                      <w:szCs w:val="21"/>
                      <w:highlight w:val="none"/>
                    </w:rPr>
                    <w:t>4</w:t>
                  </w:r>
                  <w:r>
                    <w:rPr>
                      <w:rFonts w:hint="eastAsia"/>
                      <w:bCs/>
                      <w:color w:val="auto"/>
                      <w:kern w:val="21"/>
                      <w:sz w:val="21"/>
                      <w:szCs w:val="21"/>
                      <w:highlight w:val="none"/>
                      <w:lang w:val="en-US" w:eastAsia="zh-CN"/>
                    </w:rPr>
                    <w:t>8</w:t>
                  </w:r>
                  <w:r>
                    <w:rPr>
                      <w:bCs/>
                      <w:color w:val="auto"/>
                      <w:kern w:val="21"/>
                      <w:sz w:val="21"/>
                      <w:szCs w:val="21"/>
                      <w:highlight w:val="none"/>
                    </w:rPr>
                    <w:t>.4</w:t>
                  </w:r>
                  <w:r>
                    <w:rPr>
                      <w:rFonts w:hint="eastAsia"/>
                      <w:bCs/>
                      <w:color w:val="auto"/>
                      <w:kern w:val="21"/>
                      <w:sz w:val="21"/>
                      <w:szCs w:val="21"/>
                      <w:highlight w:val="none"/>
                      <w:lang w:val="en-US" w:eastAsia="zh-CN"/>
                    </w:rPr>
                    <w:t>4</w:t>
                  </w:r>
                </w:p>
              </w:tc>
              <w:tc>
                <w:tcPr>
                  <w:tcW w:w="1012" w:type="dxa"/>
                  <w:tcBorders>
                    <w:top w:val="single" w:color="000000" w:sz="4" w:space="0"/>
                    <w:bottom w:val="single" w:color="000000" w:sz="4" w:space="0"/>
                  </w:tcBorders>
                  <w:shd w:val="clear" w:color="auto" w:fill="auto"/>
                  <w:noWrap/>
                  <w:vAlign w:val="center"/>
                </w:tcPr>
                <w:p w14:paraId="2A506C92">
                  <w:pPr>
                    <w:adjustRightInd w:val="0"/>
                    <w:snapToGrid w:val="0"/>
                    <w:jc w:val="center"/>
                    <w:rPr>
                      <w:rFonts w:hint="eastAsia"/>
                      <w:bCs/>
                      <w:color w:val="auto"/>
                      <w:kern w:val="21"/>
                      <w:sz w:val="21"/>
                      <w:szCs w:val="21"/>
                      <w:highlight w:val="none"/>
                    </w:rPr>
                  </w:pPr>
                  <w:r>
                    <w:rPr>
                      <w:rFonts w:hint="eastAsia"/>
                      <w:bCs/>
                      <w:color w:val="auto"/>
                      <w:kern w:val="21"/>
                      <w:sz w:val="21"/>
                      <w:szCs w:val="21"/>
                      <w:highlight w:val="none"/>
                    </w:rPr>
                    <w:t>1</w:t>
                  </w:r>
                </w:p>
              </w:tc>
            </w:tr>
            <w:tr w14:paraId="32CD9B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60" w:type="dxa"/>
                  <w:tcBorders>
                    <w:tl2br w:val="nil"/>
                    <w:tr2bl w:val="nil"/>
                  </w:tcBorders>
                  <w:shd w:val="clear" w:color="auto" w:fill="auto"/>
                  <w:noWrap/>
                  <w:vAlign w:val="center"/>
                </w:tcPr>
                <w:p w14:paraId="014E740C">
                  <w:pPr>
                    <w:pStyle w:val="81"/>
                    <w:spacing w:line="240" w:lineRule="auto"/>
                    <w:rPr>
                      <w:rFonts w:hint="default"/>
                      <w:color w:val="auto"/>
                      <w:szCs w:val="21"/>
                      <w:highlight w:val="none"/>
                      <w:lang w:val="en-US" w:eastAsia="zh-CN"/>
                    </w:rPr>
                  </w:pPr>
                  <w:r>
                    <w:rPr>
                      <w:rFonts w:hint="eastAsia" w:ascii="Times New Roman" w:hAnsi="Times New Roman" w:cs="Times New Roman"/>
                      <w:color w:val="auto"/>
                      <w:sz w:val="21"/>
                      <w:szCs w:val="21"/>
                      <w:highlight w:val="none"/>
                      <w:lang w:val="en-US" w:eastAsia="zh-CN"/>
                    </w:rPr>
                    <w:t>8</w:t>
                  </w:r>
                </w:p>
              </w:tc>
              <w:tc>
                <w:tcPr>
                  <w:tcW w:w="792" w:type="dxa"/>
                  <w:vMerge w:val="continue"/>
                  <w:tcBorders>
                    <w:tl2br w:val="nil"/>
                    <w:tr2bl w:val="nil"/>
                  </w:tcBorders>
                  <w:shd w:val="clear" w:color="auto" w:fill="auto"/>
                  <w:vAlign w:val="center"/>
                </w:tcPr>
                <w:p w14:paraId="7CD11F96">
                  <w:pPr>
                    <w:pStyle w:val="91"/>
                    <w:rPr>
                      <w:color w:val="auto"/>
                      <w:highlight w:val="none"/>
                      <w:lang w:val="en-US"/>
                    </w:rPr>
                  </w:pPr>
                </w:p>
              </w:tc>
              <w:tc>
                <w:tcPr>
                  <w:tcW w:w="1802" w:type="dxa"/>
                  <w:tcBorders>
                    <w:tl2br w:val="nil"/>
                    <w:tr2bl w:val="nil"/>
                  </w:tcBorders>
                  <w:shd w:val="clear" w:color="auto" w:fill="auto"/>
                  <w:vAlign w:val="center"/>
                </w:tcPr>
                <w:p w14:paraId="3DAD9DA9">
                  <w:pPr>
                    <w:pStyle w:val="81"/>
                    <w:spacing w:line="240" w:lineRule="auto"/>
                    <w:rPr>
                      <w:rFonts w:hint="default" w:eastAsia="宋体"/>
                      <w:color w:val="auto"/>
                      <w:kern w:val="0"/>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千分尺</w:t>
                  </w:r>
                </w:p>
              </w:tc>
              <w:tc>
                <w:tcPr>
                  <w:tcW w:w="692" w:type="dxa"/>
                  <w:tcBorders>
                    <w:tl2br w:val="nil"/>
                    <w:tr2bl w:val="nil"/>
                  </w:tcBorders>
                  <w:shd w:val="clear" w:color="auto" w:fill="auto"/>
                  <w:vAlign w:val="center"/>
                </w:tcPr>
                <w:p w14:paraId="08DDB5B2">
                  <w:pPr>
                    <w:widowControl/>
                    <w:jc w:val="center"/>
                    <w:textAlignment w:val="center"/>
                    <w:rPr>
                      <w:color w:val="auto"/>
                      <w:kern w:val="0"/>
                      <w:szCs w:val="21"/>
                      <w:highlight w:val="none"/>
                      <w:lang w:bidi="ar"/>
                    </w:rPr>
                  </w:pPr>
                  <w:r>
                    <w:rPr>
                      <w:color w:val="auto"/>
                      <w:kern w:val="0"/>
                      <w:szCs w:val="21"/>
                      <w:highlight w:val="none"/>
                      <w:lang w:bidi="ar"/>
                    </w:rPr>
                    <w:t>70</w:t>
                  </w:r>
                </w:p>
              </w:tc>
              <w:tc>
                <w:tcPr>
                  <w:tcW w:w="790" w:type="dxa"/>
                  <w:vMerge w:val="continue"/>
                  <w:tcBorders>
                    <w:tl2br w:val="nil"/>
                    <w:tr2bl w:val="nil"/>
                  </w:tcBorders>
                  <w:shd w:val="clear" w:color="auto" w:fill="auto"/>
                  <w:vAlign w:val="center"/>
                </w:tcPr>
                <w:p w14:paraId="50927798">
                  <w:pPr>
                    <w:pStyle w:val="91"/>
                    <w:rPr>
                      <w:color w:val="auto"/>
                      <w:highlight w:val="none"/>
                      <w:lang w:val="en-US"/>
                    </w:rPr>
                  </w:pPr>
                </w:p>
              </w:tc>
              <w:tc>
                <w:tcPr>
                  <w:tcW w:w="647" w:type="dxa"/>
                  <w:tcBorders>
                    <w:tl2br w:val="nil"/>
                    <w:tr2bl w:val="nil"/>
                  </w:tcBorders>
                  <w:shd w:val="clear" w:color="auto" w:fill="auto"/>
                  <w:vAlign w:val="center"/>
                </w:tcPr>
                <w:p w14:paraId="5AB50BB6">
                  <w:pPr>
                    <w:widowControl/>
                    <w:jc w:val="center"/>
                    <w:rPr>
                      <w:rFonts w:hint="default" w:ascii="Times New Roman" w:hAnsi="Times New Roman" w:eastAsia="宋体" w:cs="Times New Roman"/>
                      <w:color w:val="auto"/>
                      <w:sz w:val="21"/>
                      <w:szCs w:val="21"/>
                      <w:highlight w:val="none"/>
                    </w:rPr>
                  </w:pPr>
                  <w:r>
                    <w:rPr>
                      <w:rFonts w:hint="eastAsia"/>
                      <w:color w:val="auto"/>
                      <w:szCs w:val="21"/>
                      <w:highlight w:val="none"/>
                      <w:lang w:val="en-US" w:eastAsia="zh-CN"/>
                    </w:rPr>
                    <w:t>10</w:t>
                  </w:r>
                </w:p>
              </w:tc>
              <w:tc>
                <w:tcPr>
                  <w:tcW w:w="647" w:type="dxa"/>
                  <w:tcBorders>
                    <w:tl2br w:val="nil"/>
                    <w:tr2bl w:val="nil"/>
                  </w:tcBorders>
                  <w:shd w:val="clear" w:color="auto" w:fill="auto"/>
                  <w:vAlign w:val="center"/>
                </w:tcPr>
                <w:p w14:paraId="78FD53D8">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2</w:t>
                  </w:r>
                  <w:r>
                    <w:rPr>
                      <w:color w:val="auto"/>
                      <w:kern w:val="0"/>
                      <w:szCs w:val="21"/>
                      <w:highlight w:val="none"/>
                      <w:lang w:bidi="ar"/>
                    </w:rPr>
                    <w:t xml:space="preserve">8 </w:t>
                  </w:r>
                </w:p>
              </w:tc>
              <w:tc>
                <w:tcPr>
                  <w:tcW w:w="647" w:type="dxa"/>
                  <w:tcBorders>
                    <w:tl2br w:val="nil"/>
                    <w:tr2bl w:val="nil"/>
                  </w:tcBorders>
                  <w:shd w:val="clear" w:color="auto" w:fill="auto"/>
                  <w:noWrap/>
                  <w:vAlign w:val="center"/>
                </w:tcPr>
                <w:p w14:paraId="32DFF667">
                  <w:pPr>
                    <w:jc w:val="center"/>
                    <w:rPr>
                      <w:rFonts w:hint="eastAsia"/>
                      <w:color w:val="auto"/>
                      <w:highlight w:val="none"/>
                      <w:lang w:val="en-US" w:eastAsia="zh-CN"/>
                    </w:rPr>
                  </w:pPr>
                  <w:r>
                    <w:rPr>
                      <w:rFonts w:hint="eastAsia"/>
                      <w:color w:val="auto"/>
                      <w:highlight w:val="none"/>
                      <w:lang w:val="en-US" w:eastAsia="zh-CN"/>
                    </w:rPr>
                    <w:t>0.5</w:t>
                  </w:r>
                </w:p>
              </w:tc>
              <w:tc>
                <w:tcPr>
                  <w:tcW w:w="938" w:type="dxa"/>
                  <w:tcBorders>
                    <w:tl2br w:val="nil"/>
                    <w:tr2bl w:val="nil"/>
                  </w:tcBorders>
                  <w:shd w:val="clear" w:color="auto" w:fill="auto"/>
                  <w:noWrap/>
                  <w:vAlign w:val="center"/>
                </w:tcPr>
                <w:p w14:paraId="4F1B7DA2">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28</w:t>
                  </w:r>
                </w:p>
              </w:tc>
              <w:tc>
                <w:tcPr>
                  <w:tcW w:w="946" w:type="dxa"/>
                  <w:tcBorders>
                    <w:tl2br w:val="nil"/>
                    <w:tr2bl w:val="nil"/>
                  </w:tcBorders>
                  <w:shd w:val="clear" w:color="auto" w:fill="auto"/>
                  <w:noWrap/>
                  <w:vAlign w:val="center"/>
                </w:tcPr>
                <w:p w14:paraId="75923A64">
                  <w:pPr>
                    <w:widowControl/>
                    <w:jc w:val="center"/>
                    <w:textAlignment w:val="center"/>
                    <w:rPr>
                      <w:rFonts w:hint="eastAsia" w:eastAsia="宋体"/>
                      <w:color w:val="auto"/>
                      <w:kern w:val="0"/>
                      <w:szCs w:val="21"/>
                      <w:highlight w:val="none"/>
                      <w:lang w:eastAsia="zh-CN" w:bidi="ar"/>
                    </w:rPr>
                  </w:pPr>
                  <w:r>
                    <w:rPr>
                      <w:color w:val="auto"/>
                      <w:kern w:val="0"/>
                      <w:szCs w:val="21"/>
                      <w:highlight w:val="none"/>
                      <w:lang w:bidi="ar"/>
                    </w:rPr>
                    <w:t>31.2</w:t>
                  </w:r>
                  <w:r>
                    <w:rPr>
                      <w:rFonts w:hint="eastAsia"/>
                      <w:color w:val="auto"/>
                      <w:kern w:val="0"/>
                      <w:szCs w:val="21"/>
                      <w:highlight w:val="none"/>
                      <w:lang w:val="en-US" w:eastAsia="zh-CN" w:bidi="ar"/>
                    </w:rPr>
                    <w:t>3</w:t>
                  </w:r>
                </w:p>
              </w:tc>
              <w:tc>
                <w:tcPr>
                  <w:tcW w:w="886" w:type="dxa"/>
                  <w:vMerge w:val="continue"/>
                  <w:tcBorders>
                    <w:tl2br w:val="nil"/>
                    <w:tr2bl w:val="nil"/>
                  </w:tcBorders>
                  <w:shd w:val="clear" w:color="auto" w:fill="auto"/>
                  <w:noWrap/>
                  <w:vAlign w:val="center"/>
                </w:tcPr>
                <w:p w14:paraId="623AA849">
                  <w:pPr>
                    <w:jc w:val="center"/>
                    <w:rPr>
                      <w:rFonts w:hint="eastAsia"/>
                      <w:color w:val="auto"/>
                      <w:highlight w:val="none"/>
                    </w:rPr>
                  </w:pPr>
                </w:p>
              </w:tc>
              <w:tc>
                <w:tcPr>
                  <w:tcW w:w="946" w:type="dxa"/>
                  <w:tcBorders>
                    <w:tl2br w:val="nil"/>
                    <w:tr2bl w:val="nil"/>
                  </w:tcBorders>
                  <w:shd w:val="clear" w:color="auto" w:fill="auto"/>
                  <w:noWrap/>
                  <w:vAlign w:val="center"/>
                </w:tcPr>
                <w:p w14:paraId="1E441D4C">
                  <w:pPr>
                    <w:jc w:val="center"/>
                    <w:rPr>
                      <w:rFonts w:hint="eastAsia"/>
                      <w:color w:val="auto"/>
                      <w:szCs w:val="21"/>
                      <w:highlight w:val="none"/>
                    </w:rPr>
                  </w:pPr>
                  <w:r>
                    <w:rPr>
                      <w:rFonts w:hint="eastAsia"/>
                      <w:color w:val="auto"/>
                      <w:szCs w:val="21"/>
                      <w:highlight w:val="none"/>
                    </w:rPr>
                    <w:t>15</w:t>
                  </w:r>
                </w:p>
              </w:tc>
              <w:tc>
                <w:tcPr>
                  <w:tcW w:w="1094" w:type="dxa"/>
                  <w:tcBorders>
                    <w:top w:val="single" w:color="000000" w:sz="4" w:space="0"/>
                    <w:bottom w:val="single" w:color="000000" w:sz="4" w:space="0"/>
                  </w:tcBorders>
                  <w:shd w:val="clear" w:color="auto" w:fill="auto"/>
                  <w:noWrap/>
                  <w:vAlign w:val="center"/>
                </w:tcPr>
                <w:p w14:paraId="4F056804">
                  <w:pPr>
                    <w:adjustRightInd w:val="0"/>
                    <w:snapToGrid w:val="0"/>
                    <w:jc w:val="center"/>
                    <w:rPr>
                      <w:rFonts w:hint="eastAsia"/>
                      <w:bCs/>
                      <w:color w:val="auto"/>
                      <w:kern w:val="21"/>
                      <w:sz w:val="21"/>
                      <w:szCs w:val="21"/>
                      <w:highlight w:val="none"/>
                      <w:lang w:val="en-US" w:eastAsia="zh-CN"/>
                    </w:rPr>
                  </w:pPr>
                  <w:r>
                    <w:rPr>
                      <w:bCs/>
                      <w:color w:val="auto"/>
                      <w:kern w:val="21"/>
                      <w:sz w:val="21"/>
                      <w:szCs w:val="21"/>
                      <w:highlight w:val="none"/>
                    </w:rPr>
                    <w:t>5</w:t>
                  </w:r>
                  <w:r>
                    <w:rPr>
                      <w:rFonts w:hint="eastAsia"/>
                      <w:bCs/>
                      <w:color w:val="auto"/>
                      <w:kern w:val="21"/>
                      <w:sz w:val="21"/>
                      <w:szCs w:val="21"/>
                      <w:highlight w:val="none"/>
                      <w:lang w:val="en-US" w:eastAsia="zh-CN"/>
                    </w:rPr>
                    <w:t>1</w:t>
                  </w:r>
                  <w:r>
                    <w:rPr>
                      <w:bCs/>
                      <w:color w:val="auto"/>
                      <w:kern w:val="21"/>
                      <w:sz w:val="21"/>
                      <w:szCs w:val="21"/>
                      <w:highlight w:val="none"/>
                    </w:rPr>
                    <w:t>.</w:t>
                  </w:r>
                  <w:r>
                    <w:rPr>
                      <w:rFonts w:hint="eastAsia"/>
                      <w:bCs/>
                      <w:color w:val="auto"/>
                      <w:kern w:val="21"/>
                      <w:sz w:val="21"/>
                      <w:szCs w:val="21"/>
                      <w:highlight w:val="none"/>
                      <w:lang w:val="en-US" w:eastAsia="zh-CN"/>
                    </w:rPr>
                    <w:t>43</w:t>
                  </w:r>
                </w:p>
              </w:tc>
              <w:tc>
                <w:tcPr>
                  <w:tcW w:w="1012" w:type="dxa"/>
                  <w:tcBorders>
                    <w:top w:val="single" w:color="000000" w:sz="4" w:space="0"/>
                    <w:bottom w:val="single" w:color="000000" w:sz="4" w:space="0"/>
                  </w:tcBorders>
                  <w:shd w:val="clear" w:color="auto" w:fill="auto"/>
                  <w:noWrap/>
                  <w:vAlign w:val="center"/>
                </w:tcPr>
                <w:p w14:paraId="12EB979A">
                  <w:pPr>
                    <w:adjustRightInd w:val="0"/>
                    <w:snapToGrid w:val="0"/>
                    <w:jc w:val="center"/>
                    <w:rPr>
                      <w:rFonts w:hint="eastAsia"/>
                      <w:bCs/>
                      <w:color w:val="auto"/>
                      <w:kern w:val="21"/>
                      <w:sz w:val="21"/>
                      <w:szCs w:val="21"/>
                      <w:highlight w:val="none"/>
                    </w:rPr>
                  </w:pPr>
                  <w:r>
                    <w:rPr>
                      <w:rFonts w:hint="eastAsia"/>
                      <w:bCs/>
                      <w:color w:val="auto"/>
                      <w:kern w:val="21"/>
                      <w:sz w:val="21"/>
                      <w:szCs w:val="21"/>
                      <w:highlight w:val="none"/>
                    </w:rPr>
                    <w:t>1</w:t>
                  </w:r>
                </w:p>
              </w:tc>
            </w:tr>
            <w:tr w14:paraId="306B47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60" w:type="dxa"/>
                  <w:tcBorders>
                    <w:tl2br w:val="nil"/>
                    <w:tr2bl w:val="nil"/>
                  </w:tcBorders>
                  <w:shd w:val="clear" w:color="auto" w:fill="auto"/>
                  <w:noWrap/>
                  <w:vAlign w:val="center"/>
                </w:tcPr>
                <w:p w14:paraId="2D83C23C">
                  <w:pPr>
                    <w:pStyle w:val="81"/>
                    <w:spacing w:line="240" w:lineRule="auto"/>
                    <w:rPr>
                      <w:rFonts w:hint="eastAsia"/>
                      <w:color w:val="auto"/>
                      <w:szCs w:val="21"/>
                      <w:highlight w:val="none"/>
                      <w:lang w:val="en-US" w:eastAsia="zh-CN"/>
                    </w:rPr>
                  </w:pPr>
                  <w:r>
                    <w:rPr>
                      <w:rFonts w:hint="eastAsia" w:ascii="Times New Roman" w:hAnsi="Times New Roman" w:cs="Times New Roman"/>
                      <w:color w:val="auto"/>
                      <w:sz w:val="21"/>
                      <w:szCs w:val="21"/>
                      <w:highlight w:val="none"/>
                      <w:lang w:val="en-US" w:eastAsia="zh-CN"/>
                    </w:rPr>
                    <w:t>9</w:t>
                  </w:r>
                </w:p>
              </w:tc>
              <w:tc>
                <w:tcPr>
                  <w:tcW w:w="792" w:type="dxa"/>
                  <w:vMerge w:val="continue"/>
                  <w:tcBorders>
                    <w:tl2br w:val="nil"/>
                    <w:tr2bl w:val="nil"/>
                  </w:tcBorders>
                  <w:shd w:val="clear" w:color="auto" w:fill="auto"/>
                  <w:vAlign w:val="center"/>
                </w:tcPr>
                <w:p w14:paraId="7CEE5D61">
                  <w:pPr>
                    <w:pStyle w:val="91"/>
                    <w:rPr>
                      <w:color w:val="auto"/>
                      <w:highlight w:val="none"/>
                      <w:lang w:val="en-US"/>
                    </w:rPr>
                  </w:pPr>
                </w:p>
              </w:tc>
              <w:tc>
                <w:tcPr>
                  <w:tcW w:w="1802" w:type="dxa"/>
                  <w:tcBorders>
                    <w:tl2br w:val="nil"/>
                    <w:tr2bl w:val="nil"/>
                  </w:tcBorders>
                  <w:shd w:val="clear" w:color="auto" w:fill="auto"/>
                  <w:vAlign w:val="center"/>
                </w:tcPr>
                <w:p w14:paraId="7661709C">
                  <w:pPr>
                    <w:pStyle w:val="81"/>
                    <w:spacing w:line="240" w:lineRule="auto"/>
                    <w:rPr>
                      <w:rFonts w:hint="eastAsia"/>
                      <w:color w:val="auto"/>
                      <w:kern w:val="0"/>
                      <w:szCs w:val="21"/>
                      <w:highlight w:val="none"/>
                      <w:lang w:val="en-US" w:eastAsia="zh-CN"/>
                    </w:rPr>
                  </w:pPr>
                  <w:r>
                    <w:rPr>
                      <w:rFonts w:hint="eastAsia" w:ascii="Times New Roman" w:hAnsi="Times New Roman" w:eastAsia="宋体" w:cs="Times New Roman"/>
                      <w:color w:val="auto"/>
                      <w:sz w:val="21"/>
                      <w:szCs w:val="21"/>
                      <w:highlight w:val="none"/>
                      <w:lang w:val="en-US" w:eastAsia="zh-CN"/>
                    </w:rPr>
                    <w:t>镀膜机</w:t>
                  </w:r>
                </w:p>
              </w:tc>
              <w:tc>
                <w:tcPr>
                  <w:tcW w:w="692" w:type="dxa"/>
                  <w:tcBorders>
                    <w:tl2br w:val="nil"/>
                    <w:tr2bl w:val="nil"/>
                  </w:tcBorders>
                  <w:shd w:val="clear" w:color="auto" w:fill="auto"/>
                  <w:vAlign w:val="center"/>
                </w:tcPr>
                <w:p w14:paraId="673F2DD5">
                  <w:pPr>
                    <w:widowControl/>
                    <w:jc w:val="center"/>
                    <w:textAlignment w:val="center"/>
                    <w:rPr>
                      <w:color w:val="auto"/>
                      <w:kern w:val="0"/>
                      <w:szCs w:val="21"/>
                      <w:highlight w:val="none"/>
                      <w:lang w:bidi="ar"/>
                    </w:rPr>
                  </w:pPr>
                  <w:r>
                    <w:rPr>
                      <w:color w:val="auto"/>
                      <w:kern w:val="0"/>
                      <w:szCs w:val="21"/>
                      <w:highlight w:val="none"/>
                      <w:lang w:bidi="ar"/>
                    </w:rPr>
                    <w:t>70</w:t>
                  </w:r>
                </w:p>
              </w:tc>
              <w:tc>
                <w:tcPr>
                  <w:tcW w:w="790" w:type="dxa"/>
                  <w:vMerge w:val="continue"/>
                  <w:tcBorders>
                    <w:tl2br w:val="nil"/>
                    <w:tr2bl w:val="nil"/>
                  </w:tcBorders>
                  <w:shd w:val="clear" w:color="auto" w:fill="auto"/>
                  <w:vAlign w:val="center"/>
                </w:tcPr>
                <w:p w14:paraId="691E08F4">
                  <w:pPr>
                    <w:pStyle w:val="91"/>
                    <w:rPr>
                      <w:color w:val="auto"/>
                      <w:highlight w:val="none"/>
                      <w:lang w:val="en-US"/>
                    </w:rPr>
                  </w:pPr>
                </w:p>
              </w:tc>
              <w:tc>
                <w:tcPr>
                  <w:tcW w:w="647" w:type="dxa"/>
                  <w:tcBorders>
                    <w:tl2br w:val="nil"/>
                    <w:tr2bl w:val="nil"/>
                  </w:tcBorders>
                  <w:shd w:val="clear" w:color="auto" w:fill="auto"/>
                  <w:vAlign w:val="center"/>
                </w:tcPr>
                <w:p w14:paraId="6753DBBD">
                  <w:pPr>
                    <w:widowControl/>
                    <w:jc w:val="center"/>
                    <w:rPr>
                      <w:rFonts w:hint="default" w:ascii="Times New Roman" w:hAnsi="Times New Roman" w:eastAsia="宋体" w:cs="Times New Roman"/>
                      <w:color w:val="auto"/>
                      <w:sz w:val="21"/>
                      <w:szCs w:val="21"/>
                      <w:highlight w:val="none"/>
                    </w:rPr>
                  </w:pPr>
                  <w:r>
                    <w:rPr>
                      <w:rFonts w:hint="eastAsia"/>
                      <w:color w:val="auto"/>
                      <w:szCs w:val="21"/>
                      <w:highlight w:val="none"/>
                      <w:lang w:val="en-US" w:eastAsia="zh-CN"/>
                    </w:rPr>
                    <w:t>10</w:t>
                  </w:r>
                </w:p>
              </w:tc>
              <w:tc>
                <w:tcPr>
                  <w:tcW w:w="647" w:type="dxa"/>
                  <w:tcBorders>
                    <w:tl2br w:val="nil"/>
                    <w:tr2bl w:val="nil"/>
                  </w:tcBorders>
                  <w:shd w:val="clear" w:color="auto" w:fill="auto"/>
                  <w:vAlign w:val="center"/>
                </w:tcPr>
                <w:p w14:paraId="60BCAC47">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2</w:t>
                  </w:r>
                  <w:r>
                    <w:rPr>
                      <w:color w:val="auto"/>
                      <w:kern w:val="0"/>
                      <w:szCs w:val="21"/>
                      <w:highlight w:val="none"/>
                      <w:lang w:bidi="ar"/>
                    </w:rPr>
                    <w:t xml:space="preserve">8 </w:t>
                  </w:r>
                </w:p>
              </w:tc>
              <w:tc>
                <w:tcPr>
                  <w:tcW w:w="647" w:type="dxa"/>
                  <w:tcBorders>
                    <w:tl2br w:val="nil"/>
                    <w:tr2bl w:val="nil"/>
                  </w:tcBorders>
                  <w:shd w:val="clear" w:color="auto" w:fill="auto"/>
                  <w:noWrap/>
                  <w:vAlign w:val="center"/>
                </w:tcPr>
                <w:p w14:paraId="3E32FFB4">
                  <w:pPr>
                    <w:jc w:val="center"/>
                    <w:rPr>
                      <w:rFonts w:hint="eastAsia"/>
                      <w:color w:val="auto"/>
                      <w:highlight w:val="none"/>
                      <w:lang w:val="en-US" w:eastAsia="zh-CN"/>
                    </w:rPr>
                  </w:pPr>
                  <w:r>
                    <w:rPr>
                      <w:rFonts w:hint="eastAsia"/>
                      <w:color w:val="auto"/>
                      <w:highlight w:val="none"/>
                      <w:lang w:val="en-US" w:eastAsia="zh-CN"/>
                    </w:rPr>
                    <w:t>0.5</w:t>
                  </w:r>
                </w:p>
              </w:tc>
              <w:tc>
                <w:tcPr>
                  <w:tcW w:w="938" w:type="dxa"/>
                  <w:tcBorders>
                    <w:tl2br w:val="nil"/>
                    <w:tr2bl w:val="nil"/>
                  </w:tcBorders>
                  <w:shd w:val="clear" w:color="auto" w:fill="auto"/>
                  <w:noWrap/>
                  <w:vAlign w:val="center"/>
                </w:tcPr>
                <w:p w14:paraId="1059A4FB">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25</w:t>
                  </w:r>
                </w:p>
              </w:tc>
              <w:tc>
                <w:tcPr>
                  <w:tcW w:w="946" w:type="dxa"/>
                  <w:tcBorders>
                    <w:tl2br w:val="nil"/>
                    <w:tr2bl w:val="nil"/>
                  </w:tcBorders>
                  <w:shd w:val="clear" w:color="auto" w:fill="auto"/>
                  <w:noWrap/>
                  <w:vAlign w:val="center"/>
                </w:tcPr>
                <w:p w14:paraId="03CDFE35">
                  <w:pPr>
                    <w:widowControl/>
                    <w:jc w:val="center"/>
                    <w:textAlignment w:val="center"/>
                    <w:rPr>
                      <w:color w:val="auto"/>
                      <w:kern w:val="0"/>
                      <w:szCs w:val="21"/>
                      <w:highlight w:val="none"/>
                      <w:lang w:bidi="ar"/>
                    </w:rPr>
                  </w:pPr>
                  <w:r>
                    <w:rPr>
                      <w:color w:val="auto"/>
                      <w:kern w:val="0"/>
                      <w:szCs w:val="21"/>
                      <w:highlight w:val="none"/>
                      <w:lang w:bidi="ar"/>
                    </w:rPr>
                    <w:t>3</w:t>
                  </w:r>
                  <w:r>
                    <w:rPr>
                      <w:rFonts w:hint="eastAsia"/>
                      <w:color w:val="auto"/>
                      <w:kern w:val="0"/>
                      <w:szCs w:val="21"/>
                      <w:highlight w:val="none"/>
                      <w:lang w:val="en-US" w:eastAsia="zh-CN" w:bidi="ar"/>
                    </w:rPr>
                    <w:t>2</w:t>
                  </w:r>
                  <w:r>
                    <w:rPr>
                      <w:color w:val="auto"/>
                      <w:kern w:val="0"/>
                      <w:szCs w:val="21"/>
                      <w:highlight w:val="none"/>
                      <w:lang w:bidi="ar"/>
                    </w:rPr>
                    <w:t>.21</w:t>
                  </w:r>
                </w:p>
              </w:tc>
              <w:tc>
                <w:tcPr>
                  <w:tcW w:w="886" w:type="dxa"/>
                  <w:vMerge w:val="continue"/>
                  <w:tcBorders>
                    <w:tl2br w:val="nil"/>
                    <w:tr2bl w:val="nil"/>
                  </w:tcBorders>
                  <w:shd w:val="clear" w:color="auto" w:fill="auto"/>
                  <w:noWrap/>
                  <w:vAlign w:val="center"/>
                </w:tcPr>
                <w:p w14:paraId="5EFFD336">
                  <w:pPr>
                    <w:jc w:val="center"/>
                    <w:rPr>
                      <w:rFonts w:hint="eastAsia"/>
                      <w:color w:val="auto"/>
                      <w:highlight w:val="none"/>
                    </w:rPr>
                  </w:pPr>
                </w:p>
              </w:tc>
              <w:tc>
                <w:tcPr>
                  <w:tcW w:w="946" w:type="dxa"/>
                  <w:tcBorders>
                    <w:tl2br w:val="nil"/>
                    <w:tr2bl w:val="nil"/>
                  </w:tcBorders>
                  <w:shd w:val="clear" w:color="auto" w:fill="auto"/>
                  <w:noWrap/>
                  <w:vAlign w:val="center"/>
                </w:tcPr>
                <w:p w14:paraId="43B9D225">
                  <w:pPr>
                    <w:jc w:val="center"/>
                    <w:rPr>
                      <w:rFonts w:hint="eastAsia"/>
                      <w:color w:val="auto"/>
                      <w:szCs w:val="21"/>
                      <w:highlight w:val="none"/>
                    </w:rPr>
                  </w:pPr>
                  <w:r>
                    <w:rPr>
                      <w:rFonts w:hint="eastAsia"/>
                      <w:color w:val="auto"/>
                      <w:szCs w:val="21"/>
                      <w:highlight w:val="none"/>
                    </w:rPr>
                    <w:t>15</w:t>
                  </w:r>
                </w:p>
              </w:tc>
              <w:tc>
                <w:tcPr>
                  <w:tcW w:w="1094" w:type="dxa"/>
                  <w:tcBorders>
                    <w:top w:val="single" w:color="000000" w:sz="4" w:space="0"/>
                    <w:bottom w:val="single" w:color="000000" w:sz="4" w:space="0"/>
                  </w:tcBorders>
                  <w:shd w:val="clear" w:color="auto" w:fill="auto"/>
                  <w:noWrap/>
                  <w:vAlign w:val="center"/>
                </w:tcPr>
                <w:p w14:paraId="48504805">
                  <w:pPr>
                    <w:adjustRightInd w:val="0"/>
                    <w:snapToGrid w:val="0"/>
                    <w:jc w:val="center"/>
                    <w:rPr>
                      <w:bCs/>
                      <w:color w:val="auto"/>
                      <w:kern w:val="21"/>
                      <w:sz w:val="21"/>
                      <w:szCs w:val="21"/>
                      <w:highlight w:val="none"/>
                    </w:rPr>
                  </w:pPr>
                  <w:r>
                    <w:rPr>
                      <w:bCs/>
                      <w:color w:val="auto"/>
                      <w:kern w:val="21"/>
                      <w:sz w:val="21"/>
                      <w:szCs w:val="21"/>
                      <w:highlight w:val="none"/>
                    </w:rPr>
                    <w:t>5</w:t>
                  </w:r>
                  <w:r>
                    <w:rPr>
                      <w:rFonts w:hint="eastAsia"/>
                      <w:bCs/>
                      <w:color w:val="auto"/>
                      <w:kern w:val="21"/>
                      <w:sz w:val="21"/>
                      <w:szCs w:val="21"/>
                      <w:highlight w:val="none"/>
                      <w:lang w:val="en-US" w:eastAsia="zh-CN"/>
                    </w:rPr>
                    <w:t>2.03</w:t>
                  </w:r>
                </w:p>
              </w:tc>
              <w:tc>
                <w:tcPr>
                  <w:tcW w:w="1012" w:type="dxa"/>
                  <w:tcBorders>
                    <w:top w:val="single" w:color="000000" w:sz="4" w:space="0"/>
                    <w:bottom w:val="single" w:color="000000" w:sz="4" w:space="0"/>
                  </w:tcBorders>
                  <w:shd w:val="clear" w:color="auto" w:fill="auto"/>
                  <w:noWrap/>
                  <w:vAlign w:val="center"/>
                </w:tcPr>
                <w:p w14:paraId="7E7FDC4A">
                  <w:pPr>
                    <w:adjustRightInd w:val="0"/>
                    <w:snapToGrid w:val="0"/>
                    <w:jc w:val="center"/>
                    <w:rPr>
                      <w:rFonts w:hint="eastAsia" w:eastAsia="宋体"/>
                      <w:bCs/>
                      <w:color w:val="auto"/>
                      <w:kern w:val="21"/>
                      <w:sz w:val="21"/>
                      <w:szCs w:val="21"/>
                      <w:highlight w:val="none"/>
                      <w:lang w:val="en-US" w:eastAsia="zh-CN"/>
                    </w:rPr>
                  </w:pPr>
                  <w:r>
                    <w:rPr>
                      <w:rFonts w:hint="eastAsia"/>
                      <w:bCs/>
                      <w:color w:val="auto"/>
                      <w:kern w:val="21"/>
                      <w:sz w:val="21"/>
                      <w:szCs w:val="21"/>
                      <w:highlight w:val="none"/>
                      <w:lang w:val="en-US" w:eastAsia="zh-CN"/>
                    </w:rPr>
                    <w:t>1</w:t>
                  </w:r>
                </w:p>
              </w:tc>
            </w:tr>
            <w:tr w14:paraId="24F195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60" w:type="dxa"/>
                  <w:tcBorders>
                    <w:tl2br w:val="nil"/>
                    <w:tr2bl w:val="nil"/>
                  </w:tcBorders>
                  <w:shd w:val="clear" w:color="auto" w:fill="auto"/>
                  <w:noWrap/>
                  <w:vAlign w:val="center"/>
                </w:tcPr>
                <w:p w14:paraId="10015F0F">
                  <w:pPr>
                    <w:pStyle w:val="81"/>
                    <w:spacing w:line="240" w:lineRule="auto"/>
                    <w:rPr>
                      <w:rFonts w:hint="default" w:eastAsiaTheme="minorEastAsia"/>
                      <w:color w:val="auto"/>
                      <w:kern w:val="0"/>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792" w:type="dxa"/>
                  <w:vMerge w:val="continue"/>
                  <w:tcBorders>
                    <w:tl2br w:val="nil"/>
                    <w:tr2bl w:val="nil"/>
                  </w:tcBorders>
                  <w:shd w:val="clear" w:color="auto" w:fill="auto"/>
                  <w:vAlign w:val="center"/>
                </w:tcPr>
                <w:p w14:paraId="48894B81">
                  <w:pPr>
                    <w:pStyle w:val="91"/>
                    <w:rPr>
                      <w:color w:val="auto"/>
                      <w:highlight w:val="none"/>
                      <w:lang w:val="en-US"/>
                    </w:rPr>
                  </w:pPr>
                </w:p>
              </w:tc>
              <w:tc>
                <w:tcPr>
                  <w:tcW w:w="1802" w:type="dxa"/>
                  <w:tcBorders>
                    <w:tl2br w:val="nil"/>
                    <w:tr2bl w:val="nil"/>
                  </w:tcBorders>
                  <w:shd w:val="clear" w:color="auto" w:fill="auto"/>
                  <w:vAlign w:val="center"/>
                </w:tcPr>
                <w:p w14:paraId="580D513A">
                  <w:pPr>
                    <w:pStyle w:val="81"/>
                    <w:spacing w:line="240" w:lineRule="auto"/>
                    <w:rPr>
                      <w:rFonts w:hint="eastAsia" w:ascii="宋体" w:hAnsi="宋体" w:cs="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镀膜机</w:t>
                  </w:r>
                </w:p>
              </w:tc>
              <w:tc>
                <w:tcPr>
                  <w:tcW w:w="692" w:type="dxa"/>
                  <w:tcBorders>
                    <w:tl2br w:val="nil"/>
                    <w:tr2bl w:val="nil"/>
                  </w:tcBorders>
                  <w:shd w:val="clear" w:color="auto" w:fill="auto"/>
                  <w:vAlign w:val="center"/>
                </w:tcPr>
                <w:p w14:paraId="6963AA42">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70</w:t>
                  </w:r>
                </w:p>
              </w:tc>
              <w:tc>
                <w:tcPr>
                  <w:tcW w:w="790" w:type="dxa"/>
                  <w:vMerge w:val="continue"/>
                  <w:tcBorders>
                    <w:tl2br w:val="nil"/>
                    <w:tr2bl w:val="nil"/>
                  </w:tcBorders>
                  <w:shd w:val="clear" w:color="auto" w:fill="auto"/>
                  <w:vAlign w:val="center"/>
                </w:tcPr>
                <w:p w14:paraId="3C23ECAF">
                  <w:pPr>
                    <w:pStyle w:val="91"/>
                    <w:rPr>
                      <w:color w:val="auto"/>
                      <w:highlight w:val="none"/>
                      <w:lang w:val="en-US"/>
                    </w:rPr>
                  </w:pPr>
                </w:p>
              </w:tc>
              <w:tc>
                <w:tcPr>
                  <w:tcW w:w="647" w:type="dxa"/>
                  <w:tcBorders>
                    <w:tl2br w:val="nil"/>
                    <w:tr2bl w:val="nil"/>
                  </w:tcBorders>
                  <w:shd w:val="clear" w:color="auto" w:fill="auto"/>
                  <w:vAlign w:val="center"/>
                </w:tcPr>
                <w:p w14:paraId="5EB05D7D">
                  <w:pPr>
                    <w:widowControl/>
                    <w:jc w:val="center"/>
                    <w:rPr>
                      <w:rFonts w:hint="eastAsia"/>
                      <w:color w:val="auto"/>
                      <w:szCs w:val="21"/>
                      <w:highlight w:val="none"/>
                      <w:lang w:val="en-US" w:eastAsia="zh-CN"/>
                    </w:rPr>
                  </w:pPr>
                  <w:r>
                    <w:rPr>
                      <w:rFonts w:hint="eastAsia"/>
                      <w:color w:val="auto"/>
                      <w:szCs w:val="21"/>
                      <w:highlight w:val="none"/>
                      <w:lang w:val="en-US" w:eastAsia="zh-CN"/>
                    </w:rPr>
                    <w:t>10</w:t>
                  </w:r>
                </w:p>
              </w:tc>
              <w:tc>
                <w:tcPr>
                  <w:tcW w:w="647" w:type="dxa"/>
                  <w:tcBorders>
                    <w:tl2br w:val="nil"/>
                    <w:tr2bl w:val="nil"/>
                  </w:tcBorders>
                  <w:shd w:val="clear" w:color="auto" w:fill="auto"/>
                  <w:vAlign w:val="center"/>
                </w:tcPr>
                <w:p w14:paraId="5ACA3D1D">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2</w:t>
                  </w:r>
                  <w:r>
                    <w:rPr>
                      <w:color w:val="auto"/>
                      <w:kern w:val="0"/>
                      <w:szCs w:val="21"/>
                      <w:highlight w:val="none"/>
                      <w:lang w:bidi="ar"/>
                    </w:rPr>
                    <w:t xml:space="preserve">8 </w:t>
                  </w:r>
                </w:p>
              </w:tc>
              <w:tc>
                <w:tcPr>
                  <w:tcW w:w="647" w:type="dxa"/>
                  <w:tcBorders>
                    <w:tl2br w:val="nil"/>
                    <w:tr2bl w:val="nil"/>
                  </w:tcBorders>
                  <w:shd w:val="clear" w:color="auto" w:fill="auto"/>
                  <w:noWrap/>
                  <w:vAlign w:val="center"/>
                </w:tcPr>
                <w:p w14:paraId="1447E7D7">
                  <w:pPr>
                    <w:jc w:val="center"/>
                    <w:rPr>
                      <w:rFonts w:hint="eastAsia"/>
                      <w:color w:val="auto"/>
                      <w:highlight w:val="none"/>
                      <w:lang w:val="en-US" w:eastAsia="zh-CN"/>
                    </w:rPr>
                  </w:pPr>
                  <w:r>
                    <w:rPr>
                      <w:rFonts w:hint="eastAsia"/>
                      <w:color w:val="auto"/>
                      <w:highlight w:val="none"/>
                      <w:lang w:val="en-US" w:eastAsia="zh-CN"/>
                    </w:rPr>
                    <w:t>0.5</w:t>
                  </w:r>
                </w:p>
              </w:tc>
              <w:tc>
                <w:tcPr>
                  <w:tcW w:w="938" w:type="dxa"/>
                  <w:tcBorders>
                    <w:tl2br w:val="nil"/>
                    <w:tr2bl w:val="nil"/>
                  </w:tcBorders>
                  <w:shd w:val="clear" w:color="auto" w:fill="auto"/>
                  <w:noWrap/>
                  <w:vAlign w:val="center"/>
                </w:tcPr>
                <w:p w14:paraId="752A45BB">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25</w:t>
                  </w:r>
                </w:p>
              </w:tc>
              <w:tc>
                <w:tcPr>
                  <w:tcW w:w="946" w:type="dxa"/>
                  <w:tcBorders>
                    <w:tl2br w:val="nil"/>
                    <w:tr2bl w:val="nil"/>
                  </w:tcBorders>
                  <w:shd w:val="clear" w:color="auto" w:fill="auto"/>
                  <w:noWrap/>
                  <w:vAlign w:val="center"/>
                </w:tcPr>
                <w:p w14:paraId="427B49D4">
                  <w:pPr>
                    <w:widowControl/>
                    <w:jc w:val="center"/>
                    <w:textAlignment w:val="center"/>
                    <w:rPr>
                      <w:color w:val="auto"/>
                      <w:kern w:val="0"/>
                      <w:szCs w:val="21"/>
                      <w:highlight w:val="none"/>
                      <w:lang w:bidi="ar"/>
                    </w:rPr>
                  </w:pPr>
                  <w:r>
                    <w:rPr>
                      <w:color w:val="auto"/>
                      <w:kern w:val="0"/>
                      <w:szCs w:val="21"/>
                      <w:highlight w:val="none"/>
                      <w:lang w:bidi="ar"/>
                    </w:rPr>
                    <w:t>3</w:t>
                  </w:r>
                  <w:r>
                    <w:rPr>
                      <w:rFonts w:hint="eastAsia"/>
                      <w:color w:val="auto"/>
                      <w:kern w:val="0"/>
                      <w:szCs w:val="21"/>
                      <w:highlight w:val="none"/>
                      <w:lang w:val="en-US" w:eastAsia="zh-CN" w:bidi="ar"/>
                    </w:rPr>
                    <w:t>2</w:t>
                  </w:r>
                  <w:r>
                    <w:rPr>
                      <w:color w:val="auto"/>
                      <w:kern w:val="0"/>
                      <w:szCs w:val="21"/>
                      <w:highlight w:val="none"/>
                      <w:lang w:bidi="ar"/>
                    </w:rPr>
                    <w:t>.21</w:t>
                  </w:r>
                </w:p>
              </w:tc>
              <w:tc>
                <w:tcPr>
                  <w:tcW w:w="886" w:type="dxa"/>
                  <w:vMerge w:val="continue"/>
                  <w:tcBorders>
                    <w:tl2br w:val="nil"/>
                    <w:tr2bl w:val="nil"/>
                  </w:tcBorders>
                  <w:shd w:val="clear" w:color="auto" w:fill="auto"/>
                  <w:noWrap/>
                  <w:vAlign w:val="center"/>
                </w:tcPr>
                <w:p w14:paraId="2DB58C91">
                  <w:pPr>
                    <w:jc w:val="center"/>
                    <w:rPr>
                      <w:rFonts w:hint="eastAsia"/>
                      <w:color w:val="auto"/>
                      <w:highlight w:val="none"/>
                    </w:rPr>
                  </w:pPr>
                </w:p>
              </w:tc>
              <w:tc>
                <w:tcPr>
                  <w:tcW w:w="946" w:type="dxa"/>
                  <w:shd w:val="clear" w:color="auto" w:fill="auto"/>
                  <w:noWrap/>
                  <w:vAlign w:val="center"/>
                </w:tcPr>
                <w:p w14:paraId="12EF6C04">
                  <w:pPr>
                    <w:jc w:val="center"/>
                    <w:rPr>
                      <w:rFonts w:hint="eastAsia"/>
                      <w:color w:val="auto"/>
                      <w:szCs w:val="21"/>
                      <w:highlight w:val="none"/>
                    </w:rPr>
                  </w:pPr>
                  <w:r>
                    <w:rPr>
                      <w:rFonts w:hint="eastAsia"/>
                      <w:color w:val="auto"/>
                      <w:szCs w:val="21"/>
                      <w:highlight w:val="none"/>
                    </w:rPr>
                    <w:t>15</w:t>
                  </w:r>
                </w:p>
              </w:tc>
              <w:tc>
                <w:tcPr>
                  <w:tcW w:w="1094" w:type="dxa"/>
                  <w:tcBorders>
                    <w:top w:val="single" w:color="000000" w:sz="4" w:space="0"/>
                    <w:bottom w:val="single" w:color="000000" w:sz="4" w:space="0"/>
                  </w:tcBorders>
                  <w:shd w:val="clear" w:color="auto" w:fill="auto"/>
                  <w:noWrap/>
                  <w:vAlign w:val="center"/>
                </w:tcPr>
                <w:p w14:paraId="36405C56">
                  <w:pPr>
                    <w:adjustRightInd w:val="0"/>
                    <w:snapToGrid w:val="0"/>
                    <w:jc w:val="center"/>
                    <w:rPr>
                      <w:bCs/>
                      <w:color w:val="auto"/>
                      <w:kern w:val="21"/>
                      <w:sz w:val="21"/>
                      <w:szCs w:val="21"/>
                      <w:highlight w:val="none"/>
                    </w:rPr>
                  </w:pPr>
                  <w:r>
                    <w:rPr>
                      <w:bCs/>
                      <w:color w:val="auto"/>
                      <w:kern w:val="21"/>
                      <w:sz w:val="21"/>
                      <w:szCs w:val="21"/>
                      <w:highlight w:val="none"/>
                    </w:rPr>
                    <w:t>5</w:t>
                  </w:r>
                  <w:r>
                    <w:rPr>
                      <w:rFonts w:hint="eastAsia"/>
                      <w:bCs/>
                      <w:color w:val="auto"/>
                      <w:kern w:val="21"/>
                      <w:sz w:val="21"/>
                      <w:szCs w:val="21"/>
                      <w:highlight w:val="none"/>
                      <w:lang w:val="en-US" w:eastAsia="zh-CN"/>
                    </w:rPr>
                    <w:t>2.03</w:t>
                  </w:r>
                </w:p>
              </w:tc>
              <w:tc>
                <w:tcPr>
                  <w:tcW w:w="1012" w:type="dxa"/>
                  <w:tcBorders>
                    <w:top w:val="single" w:color="000000" w:sz="4" w:space="0"/>
                    <w:bottom w:val="single" w:color="000000" w:sz="4" w:space="0"/>
                  </w:tcBorders>
                  <w:shd w:val="clear" w:color="auto" w:fill="auto"/>
                  <w:noWrap/>
                  <w:vAlign w:val="center"/>
                </w:tcPr>
                <w:p w14:paraId="4B7B8E5A">
                  <w:pPr>
                    <w:adjustRightInd w:val="0"/>
                    <w:snapToGrid w:val="0"/>
                    <w:jc w:val="center"/>
                    <w:rPr>
                      <w:rFonts w:hint="eastAsia"/>
                      <w:bCs/>
                      <w:color w:val="auto"/>
                      <w:kern w:val="21"/>
                      <w:sz w:val="21"/>
                      <w:szCs w:val="21"/>
                      <w:highlight w:val="none"/>
                      <w:lang w:val="en-US" w:eastAsia="zh-CN"/>
                    </w:rPr>
                  </w:pPr>
                  <w:r>
                    <w:rPr>
                      <w:rFonts w:hint="eastAsia"/>
                      <w:bCs/>
                      <w:color w:val="auto"/>
                      <w:kern w:val="21"/>
                      <w:sz w:val="21"/>
                      <w:szCs w:val="21"/>
                      <w:highlight w:val="none"/>
                      <w:lang w:val="en-US" w:eastAsia="zh-CN"/>
                    </w:rPr>
                    <w:t>1</w:t>
                  </w:r>
                </w:p>
              </w:tc>
            </w:tr>
            <w:tr w14:paraId="0FAF0C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60" w:type="dxa"/>
                  <w:tcBorders>
                    <w:tl2br w:val="nil"/>
                    <w:tr2bl w:val="nil"/>
                  </w:tcBorders>
                  <w:shd w:val="clear" w:color="auto" w:fill="auto"/>
                  <w:noWrap/>
                  <w:vAlign w:val="center"/>
                </w:tcPr>
                <w:p w14:paraId="01D8E99C">
                  <w:pPr>
                    <w:pStyle w:val="81"/>
                    <w:spacing w:line="240" w:lineRule="auto"/>
                    <w:rPr>
                      <w:rFonts w:hint="eastAsia" w:eastAsiaTheme="minorEastAsia"/>
                      <w:color w:val="auto"/>
                      <w:kern w:val="0"/>
                      <w:szCs w:val="21"/>
                      <w:highlight w:val="none"/>
                      <w:lang w:val="en-US" w:eastAsia="zh-CN"/>
                    </w:rPr>
                  </w:pPr>
                  <w:r>
                    <w:rPr>
                      <w:rFonts w:hint="eastAsia" w:ascii="Times New Roman" w:hAnsi="Times New Roman" w:cs="Times New Roman"/>
                      <w:color w:val="auto"/>
                      <w:sz w:val="21"/>
                      <w:szCs w:val="21"/>
                      <w:highlight w:val="none"/>
                      <w:lang w:val="en-US" w:eastAsia="zh-CN"/>
                    </w:rPr>
                    <w:t>11</w:t>
                  </w:r>
                </w:p>
              </w:tc>
              <w:tc>
                <w:tcPr>
                  <w:tcW w:w="792" w:type="dxa"/>
                  <w:vMerge w:val="continue"/>
                  <w:tcBorders>
                    <w:tl2br w:val="nil"/>
                    <w:tr2bl w:val="nil"/>
                  </w:tcBorders>
                  <w:shd w:val="clear" w:color="auto" w:fill="auto"/>
                  <w:vAlign w:val="center"/>
                </w:tcPr>
                <w:p w14:paraId="5393A6BA">
                  <w:pPr>
                    <w:pStyle w:val="91"/>
                    <w:rPr>
                      <w:color w:val="auto"/>
                      <w:highlight w:val="none"/>
                      <w:lang w:val="en-US"/>
                    </w:rPr>
                  </w:pPr>
                </w:p>
              </w:tc>
              <w:tc>
                <w:tcPr>
                  <w:tcW w:w="1802" w:type="dxa"/>
                  <w:tcBorders>
                    <w:tl2br w:val="nil"/>
                    <w:tr2bl w:val="nil"/>
                  </w:tcBorders>
                  <w:shd w:val="clear" w:color="auto" w:fill="auto"/>
                  <w:vAlign w:val="center"/>
                </w:tcPr>
                <w:p w14:paraId="72AB3EFC">
                  <w:pPr>
                    <w:pStyle w:val="81"/>
                    <w:spacing w:line="240" w:lineRule="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超声波</w:t>
                  </w:r>
                </w:p>
              </w:tc>
              <w:tc>
                <w:tcPr>
                  <w:tcW w:w="692" w:type="dxa"/>
                  <w:tcBorders>
                    <w:tl2br w:val="nil"/>
                    <w:tr2bl w:val="nil"/>
                  </w:tcBorders>
                  <w:shd w:val="clear" w:color="auto" w:fill="auto"/>
                  <w:vAlign w:val="center"/>
                </w:tcPr>
                <w:p w14:paraId="69661BB5">
                  <w:pPr>
                    <w:widowControl/>
                    <w:jc w:val="center"/>
                    <w:textAlignment w:val="center"/>
                    <w:rPr>
                      <w:rFonts w:hint="eastAsia"/>
                      <w:color w:val="auto"/>
                      <w:kern w:val="0"/>
                      <w:szCs w:val="21"/>
                      <w:highlight w:val="none"/>
                      <w:lang w:val="en-US" w:eastAsia="zh-CN" w:bidi="ar"/>
                    </w:rPr>
                  </w:pPr>
                  <w:r>
                    <w:rPr>
                      <w:color w:val="auto"/>
                      <w:kern w:val="0"/>
                      <w:szCs w:val="21"/>
                      <w:highlight w:val="none"/>
                      <w:lang w:bidi="ar"/>
                    </w:rPr>
                    <w:t>70</w:t>
                  </w:r>
                </w:p>
              </w:tc>
              <w:tc>
                <w:tcPr>
                  <w:tcW w:w="790" w:type="dxa"/>
                  <w:vMerge w:val="continue"/>
                  <w:tcBorders>
                    <w:tl2br w:val="nil"/>
                    <w:tr2bl w:val="nil"/>
                  </w:tcBorders>
                  <w:shd w:val="clear" w:color="auto" w:fill="auto"/>
                  <w:vAlign w:val="center"/>
                </w:tcPr>
                <w:p w14:paraId="7A9ED7E8">
                  <w:pPr>
                    <w:pStyle w:val="91"/>
                    <w:rPr>
                      <w:color w:val="auto"/>
                      <w:highlight w:val="none"/>
                      <w:lang w:val="en-US"/>
                    </w:rPr>
                  </w:pPr>
                </w:p>
              </w:tc>
              <w:tc>
                <w:tcPr>
                  <w:tcW w:w="647" w:type="dxa"/>
                  <w:tcBorders>
                    <w:tl2br w:val="nil"/>
                    <w:tr2bl w:val="nil"/>
                  </w:tcBorders>
                  <w:shd w:val="clear" w:color="auto" w:fill="auto"/>
                  <w:vAlign w:val="center"/>
                </w:tcPr>
                <w:p w14:paraId="1D38A7E8">
                  <w:pPr>
                    <w:widowControl/>
                    <w:jc w:val="center"/>
                    <w:rPr>
                      <w:rFonts w:hint="eastAsia"/>
                      <w:color w:val="auto"/>
                      <w:szCs w:val="21"/>
                      <w:highlight w:val="none"/>
                      <w:lang w:val="en-US" w:eastAsia="zh-CN"/>
                    </w:rPr>
                  </w:pPr>
                  <w:r>
                    <w:rPr>
                      <w:rFonts w:hint="eastAsia"/>
                      <w:color w:val="auto"/>
                      <w:szCs w:val="21"/>
                      <w:highlight w:val="none"/>
                      <w:lang w:val="en-US" w:eastAsia="zh-CN"/>
                    </w:rPr>
                    <w:t>10</w:t>
                  </w:r>
                </w:p>
              </w:tc>
              <w:tc>
                <w:tcPr>
                  <w:tcW w:w="647" w:type="dxa"/>
                  <w:tcBorders>
                    <w:tl2br w:val="nil"/>
                    <w:tr2bl w:val="nil"/>
                  </w:tcBorders>
                  <w:shd w:val="clear" w:color="auto" w:fill="auto"/>
                  <w:vAlign w:val="center"/>
                </w:tcPr>
                <w:p w14:paraId="4C37DDB8">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2</w:t>
                  </w:r>
                  <w:r>
                    <w:rPr>
                      <w:color w:val="auto"/>
                      <w:kern w:val="0"/>
                      <w:szCs w:val="21"/>
                      <w:highlight w:val="none"/>
                      <w:lang w:bidi="ar"/>
                    </w:rPr>
                    <w:t xml:space="preserve">8 </w:t>
                  </w:r>
                </w:p>
              </w:tc>
              <w:tc>
                <w:tcPr>
                  <w:tcW w:w="647" w:type="dxa"/>
                  <w:tcBorders>
                    <w:tl2br w:val="nil"/>
                    <w:tr2bl w:val="nil"/>
                  </w:tcBorders>
                  <w:shd w:val="clear" w:color="auto" w:fill="auto"/>
                  <w:noWrap/>
                  <w:vAlign w:val="center"/>
                </w:tcPr>
                <w:p w14:paraId="3D6E5DE5">
                  <w:pPr>
                    <w:pStyle w:val="91"/>
                    <w:rPr>
                      <w:rFonts w:hint="eastAsia"/>
                      <w:color w:val="auto"/>
                      <w:highlight w:val="none"/>
                      <w:lang w:val="en-US" w:eastAsia="zh-CN"/>
                    </w:rPr>
                  </w:pPr>
                  <w:r>
                    <w:rPr>
                      <w:rFonts w:hint="eastAsia"/>
                      <w:color w:val="auto"/>
                      <w:highlight w:val="none"/>
                      <w:lang w:val="en-US" w:eastAsia="zh-CN"/>
                    </w:rPr>
                    <w:t>0.5</w:t>
                  </w:r>
                </w:p>
              </w:tc>
              <w:tc>
                <w:tcPr>
                  <w:tcW w:w="938" w:type="dxa"/>
                  <w:tcBorders>
                    <w:tl2br w:val="nil"/>
                    <w:tr2bl w:val="nil"/>
                  </w:tcBorders>
                  <w:shd w:val="clear" w:color="auto" w:fill="auto"/>
                  <w:noWrap/>
                  <w:vAlign w:val="center"/>
                </w:tcPr>
                <w:p w14:paraId="6626B3B9">
                  <w:pPr>
                    <w:widowControl/>
                    <w:jc w:val="center"/>
                    <w:textAlignment w:val="center"/>
                    <w:rPr>
                      <w:rFonts w:hint="eastAsia"/>
                      <w:color w:val="auto"/>
                      <w:kern w:val="0"/>
                      <w:szCs w:val="21"/>
                      <w:highlight w:val="none"/>
                      <w:lang w:val="en-US" w:eastAsia="zh-CN" w:bidi="ar"/>
                    </w:rPr>
                  </w:pPr>
                  <w:r>
                    <w:rPr>
                      <w:color w:val="auto"/>
                      <w:kern w:val="0"/>
                      <w:szCs w:val="21"/>
                      <w:highlight w:val="none"/>
                      <w:lang w:bidi="ar"/>
                    </w:rPr>
                    <w:t>23</w:t>
                  </w:r>
                </w:p>
              </w:tc>
              <w:tc>
                <w:tcPr>
                  <w:tcW w:w="946" w:type="dxa"/>
                  <w:tcBorders>
                    <w:tl2br w:val="nil"/>
                    <w:tr2bl w:val="nil"/>
                  </w:tcBorders>
                  <w:shd w:val="clear" w:color="auto" w:fill="auto"/>
                  <w:noWrap/>
                  <w:vAlign w:val="center"/>
                </w:tcPr>
                <w:p w14:paraId="390F2C5B">
                  <w:pPr>
                    <w:widowControl/>
                    <w:jc w:val="center"/>
                    <w:textAlignment w:val="center"/>
                    <w:rPr>
                      <w:color w:val="auto"/>
                      <w:kern w:val="0"/>
                      <w:szCs w:val="21"/>
                      <w:highlight w:val="none"/>
                      <w:lang w:bidi="ar"/>
                    </w:rPr>
                  </w:pPr>
                  <w:r>
                    <w:rPr>
                      <w:color w:val="auto"/>
                      <w:kern w:val="0"/>
                      <w:szCs w:val="21"/>
                      <w:highlight w:val="none"/>
                      <w:lang w:bidi="ar"/>
                    </w:rPr>
                    <w:t>31.62</w:t>
                  </w:r>
                </w:p>
              </w:tc>
              <w:tc>
                <w:tcPr>
                  <w:tcW w:w="886" w:type="dxa"/>
                  <w:vMerge w:val="continue"/>
                  <w:tcBorders>
                    <w:tl2br w:val="nil"/>
                    <w:tr2bl w:val="nil"/>
                  </w:tcBorders>
                  <w:shd w:val="clear" w:color="auto" w:fill="auto"/>
                  <w:noWrap/>
                  <w:vAlign w:val="center"/>
                </w:tcPr>
                <w:p w14:paraId="1D938045">
                  <w:pPr>
                    <w:jc w:val="center"/>
                    <w:rPr>
                      <w:rFonts w:hint="eastAsia"/>
                      <w:color w:val="auto"/>
                      <w:highlight w:val="none"/>
                    </w:rPr>
                  </w:pPr>
                </w:p>
              </w:tc>
              <w:tc>
                <w:tcPr>
                  <w:tcW w:w="946" w:type="dxa"/>
                  <w:shd w:val="clear" w:color="auto" w:fill="auto"/>
                  <w:noWrap/>
                  <w:vAlign w:val="center"/>
                </w:tcPr>
                <w:p w14:paraId="68FF8864">
                  <w:pPr>
                    <w:jc w:val="center"/>
                    <w:rPr>
                      <w:rFonts w:hint="eastAsia"/>
                      <w:color w:val="auto"/>
                      <w:szCs w:val="21"/>
                      <w:highlight w:val="none"/>
                    </w:rPr>
                  </w:pPr>
                  <w:r>
                    <w:rPr>
                      <w:rFonts w:hint="eastAsia"/>
                      <w:color w:val="auto"/>
                      <w:szCs w:val="21"/>
                      <w:highlight w:val="none"/>
                    </w:rPr>
                    <w:t>15</w:t>
                  </w:r>
                </w:p>
              </w:tc>
              <w:tc>
                <w:tcPr>
                  <w:tcW w:w="1094" w:type="dxa"/>
                  <w:tcBorders>
                    <w:top w:val="single" w:color="000000" w:sz="4" w:space="0"/>
                    <w:bottom w:val="single" w:color="000000" w:sz="12" w:space="0"/>
                  </w:tcBorders>
                  <w:shd w:val="clear" w:color="auto" w:fill="auto"/>
                  <w:noWrap/>
                  <w:vAlign w:val="center"/>
                </w:tcPr>
                <w:p w14:paraId="2DDEDB48">
                  <w:pPr>
                    <w:adjustRightInd w:val="0"/>
                    <w:snapToGrid w:val="0"/>
                    <w:jc w:val="center"/>
                    <w:rPr>
                      <w:bCs/>
                      <w:color w:val="auto"/>
                      <w:kern w:val="21"/>
                      <w:sz w:val="21"/>
                      <w:szCs w:val="21"/>
                      <w:highlight w:val="none"/>
                    </w:rPr>
                  </w:pPr>
                  <w:r>
                    <w:rPr>
                      <w:bCs/>
                      <w:color w:val="auto"/>
                      <w:kern w:val="21"/>
                      <w:sz w:val="21"/>
                      <w:szCs w:val="21"/>
                      <w:highlight w:val="none"/>
                    </w:rPr>
                    <w:t>54.41</w:t>
                  </w:r>
                </w:p>
              </w:tc>
              <w:tc>
                <w:tcPr>
                  <w:tcW w:w="1012" w:type="dxa"/>
                  <w:tcBorders>
                    <w:top w:val="single" w:color="000000" w:sz="4" w:space="0"/>
                    <w:bottom w:val="single" w:color="000000" w:sz="12" w:space="0"/>
                  </w:tcBorders>
                  <w:shd w:val="clear" w:color="auto" w:fill="auto"/>
                  <w:noWrap/>
                  <w:vAlign w:val="center"/>
                </w:tcPr>
                <w:p w14:paraId="778D8E80">
                  <w:pPr>
                    <w:adjustRightInd w:val="0"/>
                    <w:snapToGrid w:val="0"/>
                    <w:jc w:val="center"/>
                    <w:rPr>
                      <w:rFonts w:hint="eastAsia"/>
                      <w:bCs/>
                      <w:color w:val="auto"/>
                      <w:kern w:val="21"/>
                      <w:sz w:val="21"/>
                      <w:szCs w:val="21"/>
                      <w:highlight w:val="none"/>
                      <w:lang w:val="en-US" w:eastAsia="zh-CN"/>
                    </w:rPr>
                  </w:pPr>
                  <w:r>
                    <w:rPr>
                      <w:rFonts w:hint="eastAsia"/>
                      <w:bCs/>
                      <w:color w:val="auto"/>
                      <w:kern w:val="21"/>
                      <w:sz w:val="21"/>
                      <w:szCs w:val="21"/>
                      <w:highlight w:val="none"/>
                    </w:rPr>
                    <w:t>1</w:t>
                  </w:r>
                </w:p>
              </w:tc>
            </w:tr>
          </w:tbl>
          <w:p w14:paraId="298C92A2">
            <w:pPr>
              <w:adjustRightInd w:val="0"/>
              <w:snapToGrid w:val="0"/>
              <w:rPr>
                <w:rFonts w:hint="eastAsia" w:eastAsiaTheme="minorEastAsia"/>
                <w:b/>
                <w:snapToGrid w:val="0"/>
                <w:color w:val="auto"/>
                <w:kern w:val="0"/>
                <w:szCs w:val="21"/>
                <w:highlight w:val="none"/>
                <w:lang w:eastAsia="zh-CN"/>
              </w:rPr>
            </w:pPr>
            <w:r>
              <w:rPr>
                <w:rFonts w:eastAsiaTheme="minorEastAsia"/>
                <w:b/>
                <w:snapToGrid w:val="0"/>
                <w:color w:val="auto"/>
                <w:kern w:val="0"/>
                <w:szCs w:val="21"/>
                <w:highlight w:val="none"/>
              </w:rPr>
              <w:t>注：以</w:t>
            </w:r>
            <w:r>
              <w:rPr>
                <w:rFonts w:hint="eastAsia" w:eastAsiaTheme="minorEastAsia"/>
                <w:b/>
                <w:snapToGrid w:val="0"/>
                <w:color w:val="auto"/>
                <w:kern w:val="0"/>
                <w:szCs w:val="21"/>
                <w:highlight w:val="none"/>
                <w:lang w:val="en-US" w:eastAsia="zh-CN"/>
              </w:rPr>
              <w:t>车间</w:t>
            </w:r>
            <w:r>
              <w:rPr>
                <w:rFonts w:eastAsiaTheme="minorEastAsia"/>
                <w:b/>
                <w:snapToGrid w:val="0"/>
                <w:color w:val="auto"/>
                <w:kern w:val="0"/>
                <w:szCs w:val="21"/>
                <w:highlight w:val="none"/>
              </w:rPr>
              <w:t>西南角为原点（0,0,0）</w:t>
            </w:r>
            <w:r>
              <w:rPr>
                <w:rFonts w:hint="eastAsia" w:eastAsiaTheme="minorEastAsia"/>
                <w:b/>
                <w:snapToGrid w:val="0"/>
                <w:color w:val="auto"/>
                <w:kern w:val="0"/>
                <w:szCs w:val="21"/>
                <w:highlight w:val="none"/>
                <w:lang w:eastAsia="zh-CN"/>
              </w:rPr>
              <w:t>，</w:t>
            </w:r>
            <w:r>
              <w:rPr>
                <w:rFonts w:hint="default" w:ascii="Times New Roman" w:hAnsi="Times New Roman" w:eastAsia="宋体" w:cs="Times New Roman"/>
                <w:b/>
                <w:bCs/>
                <w:color w:val="auto"/>
                <w:highlight w:val="none"/>
              </w:rPr>
              <w:t>东西方向为X，南北方向为Y，高度为Z。</w:t>
            </w:r>
          </w:p>
          <w:p w14:paraId="359FE20C">
            <w:pPr>
              <w:widowControl/>
              <w:autoSpaceDE w:val="0"/>
              <w:autoSpaceDN w:val="0"/>
              <w:adjustRightInd w:val="0"/>
              <w:snapToGrid w:val="0"/>
              <w:spacing w:line="360" w:lineRule="auto"/>
              <w:ind w:firstLine="420" w:firstLineChars="200"/>
              <w:jc w:val="left"/>
              <w:rPr>
                <w:rFonts w:eastAsiaTheme="minorEastAsia"/>
                <w:color w:val="auto"/>
                <w:highlight w:val="none"/>
              </w:rPr>
            </w:pPr>
          </w:p>
        </w:tc>
      </w:tr>
    </w:tbl>
    <w:p w14:paraId="093C8F71">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3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4"/>
        <w:gridCol w:w="8597"/>
      </w:tblGrid>
      <w:tr w14:paraId="443241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384" w:type="dxa"/>
            <w:tcMar>
              <w:left w:w="28" w:type="dxa"/>
              <w:right w:w="28" w:type="dxa"/>
            </w:tcMar>
            <w:vAlign w:val="center"/>
          </w:tcPr>
          <w:p w14:paraId="11BE75A2">
            <w:pPr>
              <w:pStyle w:val="33"/>
              <w:adjustRightInd w:val="0"/>
              <w:snapToGrid w:val="0"/>
              <w:spacing w:before="0" w:beforeAutospacing="0" w:after="0" w:afterAutospacing="0"/>
              <w:jc w:val="center"/>
              <w:rPr>
                <w:rFonts w:ascii="Times New Roman" w:hAnsi="Times New Roman" w:eastAsiaTheme="minorEastAsia"/>
                <w:b/>
                <w:color w:val="auto"/>
                <w:kern w:val="2"/>
                <w:sz w:val="21"/>
                <w:szCs w:val="21"/>
                <w:highlight w:val="none"/>
              </w:rPr>
            </w:pPr>
          </w:p>
        </w:tc>
        <w:tc>
          <w:tcPr>
            <w:tcW w:w="8597" w:type="dxa"/>
            <w:vAlign w:val="center"/>
          </w:tcPr>
          <w:p w14:paraId="5798CF6C">
            <w:pPr>
              <w:autoSpaceDE w:val="0"/>
              <w:autoSpaceDN w:val="0"/>
              <w:adjustRightInd w:val="0"/>
              <w:snapToGrid w:val="0"/>
              <w:spacing w:line="360" w:lineRule="auto"/>
              <w:ind w:firstLine="482" w:firstLineChars="200"/>
              <w:jc w:val="left"/>
              <w:rPr>
                <w:b/>
                <w:bCs/>
                <w:color w:val="auto"/>
                <w:kern w:val="0"/>
                <w:sz w:val="24"/>
                <w:highlight w:val="none"/>
              </w:rPr>
            </w:pPr>
            <w:r>
              <w:rPr>
                <w:b/>
                <w:bCs/>
                <w:color w:val="auto"/>
                <w:kern w:val="0"/>
                <w:sz w:val="24"/>
                <w:highlight w:val="none"/>
              </w:rPr>
              <w:t>2、噪声防治措施</w:t>
            </w:r>
          </w:p>
          <w:p w14:paraId="416AE7E4">
            <w:pPr>
              <w:autoSpaceDE w:val="0"/>
              <w:autoSpaceDN w:val="0"/>
              <w:adjustRightInd w:val="0"/>
              <w:snapToGrid w:val="0"/>
              <w:spacing w:line="360" w:lineRule="auto"/>
              <w:ind w:firstLine="480" w:firstLineChars="200"/>
              <w:rPr>
                <w:color w:val="auto"/>
                <w:kern w:val="0"/>
                <w:sz w:val="24"/>
                <w:highlight w:val="none"/>
              </w:rPr>
            </w:pPr>
            <w:r>
              <w:rPr>
                <w:color w:val="auto"/>
                <w:kern w:val="0"/>
                <w:sz w:val="24"/>
                <w:highlight w:val="none"/>
              </w:rPr>
              <w:t>（1）源头控制：在满足工艺设计的前提下，尽量选用满足国际标准的低噪声、低振动型号的设备，降低噪声源强。</w:t>
            </w:r>
          </w:p>
          <w:p w14:paraId="5725C2EB">
            <w:pPr>
              <w:autoSpaceDE w:val="0"/>
              <w:autoSpaceDN w:val="0"/>
              <w:adjustRightInd w:val="0"/>
              <w:snapToGrid w:val="0"/>
              <w:spacing w:line="360" w:lineRule="auto"/>
              <w:ind w:firstLine="480" w:firstLineChars="200"/>
              <w:rPr>
                <w:color w:val="auto"/>
                <w:kern w:val="0"/>
                <w:sz w:val="24"/>
                <w:highlight w:val="none"/>
              </w:rPr>
            </w:pPr>
            <w:r>
              <w:rPr>
                <w:color w:val="auto"/>
                <w:kern w:val="0"/>
                <w:sz w:val="24"/>
                <w:highlight w:val="none"/>
              </w:rPr>
              <w:t>（2）合理布局：充分考虑地形、厂房、声源及植物等影响因素，做到统筹规划，合理布局，将噪声源强较高的设备布置在远离厂界的位置，并远离办公区，加大噪声的距离衰减，同时处理设备尽可能安置在室内，对无法在室内布置的露天设备，均尽量远离厂界，并采取相应的防噪降噪措施。</w:t>
            </w:r>
          </w:p>
          <w:p w14:paraId="65661E69">
            <w:pPr>
              <w:autoSpaceDE w:val="0"/>
              <w:autoSpaceDN w:val="0"/>
              <w:adjustRightInd w:val="0"/>
              <w:snapToGrid w:val="0"/>
              <w:spacing w:line="360" w:lineRule="auto"/>
              <w:ind w:firstLine="480" w:firstLineChars="200"/>
              <w:rPr>
                <w:color w:val="auto"/>
                <w:kern w:val="0"/>
                <w:sz w:val="24"/>
                <w:highlight w:val="none"/>
              </w:rPr>
            </w:pPr>
            <w:r>
              <w:rPr>
                <w:color w:val="auto"/>
                <w:kern w:val="0"/>
                <w:sz w:val="24"/>
                <w:highlight w:val="none"/>
              </w:rPr>
              <w:t>（3）减震隔声等措施：针对不同的高噪声设备，采取针对性较强的措施：设备安装隔声罩、风机安装消声器、</w:t>
            </w:r>
            <w:r>
              <w:rPr>
                <w:rFonts w:hint="eastAsia"/>
                <w:color w:val="auto"/>
                <w:kern w:val="0"/>
                <w:sz w:val="24"/>
                <w:highlight w:val="none"/>
                <w:lang w:eastAsia="zh-CN"/>
              </w:rPr>
              <w:t>减振</w:t>
            </w:r>
            <w:r>
              <w:rPr>
                <w:color w:val="auto"/>
                <w:kern w:val="0"/>
                <w:sz w:val="24"/>
                <w:highlight w:val="none"/>
              </w:rPr>
              <w:t>底座等。对强噪声设备采用安装隔音、密闭等措施。管道设计中注意防振、防冲击，以减轻振动噪声。风管及流体输送应注意改善其流畅状况，减少空气动力噪声。</w:t>
            </w:r>
          </w:p>
          <w:p w14:paraId="05B45B1D">
            <w:pPr>
              <w:autoSpaceDE w:val="0"/>
              <w:autoSpaceDN w:val="0"/>
              <w:adjustRightInd w:val="0"/>
              <w:snapToGrid w:val="0"/>
              <w:spacing w:line="360" w:lineRule="auto"/>
              <w:ind w:firstLine="480" w:firstLineChars="200"/>
              <w:rPr>
                <w:color w:val="auto"/>
                <w:kern w:val="0"/>
                <w:sz w:val="24"/>
                <w:highlight w:val="none"/>
              </w:rPr>
            </w:pPr>
            <w:r>
              <w:rPr>
                <w:color w:val="auto"/>
                <w:kern w:val="0"/>
                <w:sz w:val="24"/>
                <w:highlight w:val="none"/>
              </w:rPr>
              <w:t>（4）强化生产管理</w:t>
            </w:r>
          </w:p>
          <w:p w14:paraId="0C846D9F">
            <w:pPr>
              <w:autoSpaceDE w:val="0"/>
              <w:autoSpaceDN w:val="0"/>
              <w:adjustRightInd w:val="0"/>
              <w:snapToGrid w:val="0"/>
              <w:spacing w:line="360" w:lineRule="auto"/>
              <w:ind w:firstLine="480" w:firstLineChars="200"/>
              <w:rPr>
                <w:color w:val="auto"/>
                <w:kern w:val="0"/>
                <w:sz w:val="24"/>
                <w:highlight w:val="none"/>
              </w:rPr>
            </w:pPr>
            <w:r>
              <w:rPr>
                <w:color w:val="auto"/>
                <w:kern w:val="0"/>
                <w:sz w:val="24"/>
                <w:highlight w:val="none"/>
              </w:rPr>
              <w:t>确保降噪设施的有效运行，并加强对生产设备的保养、检修与润滑，保证设备处于良好的运转状态。</w:t>
            </w:r>
          </w:p>
          <w:p w14:paraId="5E419EDA">
            <w:pPr>
              <w:autoSpaceDE w:val="0"/>
              <w:autoSpaceDN w:val="0"/>
              <w:adjustRightInd w:val="0"/>
              <w:snapToGrid w:val="0"/>
              <w:spacing w:line="360" w:lineRule="auto"/>
              <w:ind w:firstLine="480" w:firstLineChars="200"/>
              <w:rPr>
                <w:color w:val="auto"/>
                <w:kern w:val="0"/>
                <w:sz w:val="24"/>
                <w:highlight w:val="none"/>
              </w:rPr>
            </w:pPr>
            <w:r>
              <w:rPr>
                <w:color w:val="auto"/>
                <w:kern w:val="0"/>
                <w:sz w:val="24"/>
                <w:highlight w:val="none"/>
              </w:rPr>
              <w:t>综上，本项目噪声设备设计降噪量可达20~30dB（A）。</w:t>
            </w:r>
          </w:p>
          <w:p w14:paraId="01F5261F">
            <w:pPr>
              <w:autoSpaceDE w:val="0"/>
              <w:autoSpaceDN w:val="0"/>
              <w:adjustRightInd w:val="0"/>
              <w:snapToGrid w:val="0"/>
              <w:spacing w:line="360" w:lineRule="auto"/>
              <w:ind w:firstLine="482" w:firstLineChars="200"/>
              <w:rPr>
                <w:b/>
                <w:bCs/>
                <w:color w:val="auto"/>
                <w:kern w:val="0"/>
                <w:sz w:val="24"/>
                <w:highlight w:val="none"/>
              </w:rPr>
            </w:pPr>
            <w:r>
              <w:rPr>
                <w:b/>
                <w:bCs/>
                <w:color w:val="auto"/>
                <w:kern w:val="0"/>
                <w:sz w:val="24"/>
                <w:highlight w:val="none"/>
              </w:rPr>
              <w:t>3、达标分析</w:t>
            </w:r>
          </w:p>
          <w:p w14:paraId="32B0EFDC">
            <w:pPr>
              <w:spacing w:line="360" w:lineRule="auto"/>
              <w:ind w:firstLine="480" w:firstLineChars="200"/>
              <w:rPr>
                <w:color w:val="auto"/>
                <w:sz w:val="24"/>
                <w:szCs w:val="24"/>
                <w:highlight w:val="none"/>
                <w:lang w:bidi="ar"/>
              </w:rPr>
            </w:pPr>
            <w:r>
              <w:rPr>
                <w:rFonts w:hint="eastAsia"/>
                <w:color w:val="auto"/>
                <w:sz w:val="24"/>
                <w:szCs w:val="24"/>
                <w:highlight w:val="none"/>
                <w:lang w:bidi="ar"/>
              </w:rPr>
              <w:t>本项目仅考虑几何发散衰减，即将声源视为点声源，根据声环境评价导则（HJ2.4-20</w:t>
            </w:r>
            <w:r>
              <w:rPr>
                <w:color w:val="auto"/>
                <w:sz w:val="24"/>
                <w:szCs w:val="24"/>
                <w:highlight w:val="none"/>
                <w:lang w:bidi="ar"/>
              </w:rPr>
              <w:t>21</w:t>
            </w:r>
            <w:r>
              <w:rPr>
                <w:rFonts w:hint="eastAsia"/>
                <w:color w:val="auto"/>
                <w:sz w:val="24"/>
                <w:szCs w:val="24"/>
                <w:highlight w:val="none"/>
                <w:lang w:bidi="ar"/>
              </w:rPr>
              <w:t>）的规定，选取预测模式，应用过程中将根据具体情况作必要简化，计算过程如下：</w:t>
            </w:r>
          </w:p>
          <w:p w14:paraId="02A73EAF">
            <w:pPr>
              <w:spacing w:line="360" w:lineRule="auto"/>
              <w:ind w:firstLine="480" w:firstLineChars="200"/>
              <w:rPr>
                <w:color w:val="auto"/>
                <w:sz w:val="24"/>
                <w:szCs w:val="24"/>
                <w:highlight w:val="none"/>
                <w:lang w:bidi="ar"/>
              </w:rPr>
            </w:pPr>
            <w:r>
              <w:rPr>
                <w:rFonts w:hint="eastAsia"/>
                <w:color w:val="auto"/>
                <w:sz w:val="24"/>
                <w:szCs w:val="24"/>
                <w:highlight w:val="none"/>
                <w:lang w:bidi="ar"/>
              </w:rPr>
              <w:t>（1）声环境影响预测模式</w:t>
            </w:r>
          </w:p>
          <w:p w14:paraId="0B4A95BC">
            <w:pPr>
              <w:snapToGrid w:val="0"/>
              <w:spacing w:line="360" w:lineRule="auto"/>
              <w:jc w:val="center"/>
              <w:rPr>
                <w:color w:val="auto"/>
                <w:sz w:val="24"/>
                <w:szCs w:val="24"/>
                <w:highlight w:val="none"/>
                <w:lang w:bidi="ar"/>
              </w:rPr>
            </w:pPr>
            <w:r>
              <w:rPr>
                <w:rFonts w:hint="eastAsia"/>
                <w:color w:val="auto"/>
                <w:sz w:val="24"/>
                <w:szCs w:val="24"/>
                <w:highlight w:val="none"/>
                <w:lang w:bidi="ar"/>
              </w:rPr>
              <w:t>LA（r）=LA（r0）-A</w:t>
            </w:r>
          </w:p>
          <w:p w14:paraId="6121D2FD">
            <w:pPr>
              <w:snapToGrid w:val="0"/>
              <w:spacing w:line="360" w:lineRule="auto"/>
              <w:ind w:firstLine="480" w:firstLineChars="200"/>
              <w:rPr>
                <w:color w:val="auto"/>
                <w:sz w:val="24"/>
                <w:szCs w:val="24"/>
                <w:highlight w:val="none"/>
                <w:lang w:bidi="ar"/>
              </w:rPr>
            </w:pPr>
            <w:r>
              <w:rPr>
                <w:rFonts w:hint="eastAsia"/>
                <w:color w:val="auto"/>
                <w:sz w:val="24"/>
                <w:szCs w:val="24"/>
                <w:highlight w:val="none"/>
                <w:lang w:bidi="ar"/>
              </w:rPr>
              <w:t>式中：LA（r）——预测点r处A声级，dB(A)；</w:t>
            </w:r>
          </w:p>
          <w:p w14:paraId="30CECDB0">
            <w:pPr>
              <w:snapToGrid w:val="0"/>
              <w:spacing w:line="360" w:lineRule="auto"/>
              <w:ind w:firstLine="480" w:firstLineChars="200"/>
              <w:rPr>
                <w:color w:val="auto"/>
                <w:sz w:val="24"/>
                <w:szCs w:val="24"/>
                <w:highlight w:val="none"/>
                <w:lang w:bidi="ar"/>
              </w:rPr>
            </w:pPr>
            <w:r>
              <w:rPr>
                <w:rFonts w:hint="eastAsia"/>
                <w:color w:val="auto"/>
                <w:sz w:val="24"/>
                <w:szCs w:val="24"/>
                <w:highlight w:val="none"/>
                <w:lang w:bidi="ar"/>
              </w:rPr>
              <w:t>LA（r0）——r0处A声级，dB(A)；</w:t>
            </w:r>
          </w:p>
          <w:p w14:paraId="6A69F1FD">
            <w:pPr>
              <w:snapToGrid w:val="0"/>
              <w:spacing w:line="360" w:lineRule="auto"/>
              <w:ind w:firstLine="480" w:firstLineChars="200"/>
              <w:rPr>
                <w:color w:val="auto"/>
                <w:sz w:val="24"/>
                <w:szCs w:val="24"/>
                <w:highlight w:val="none"/>
                <w:lang w:bidi="ar"/>
              </w:rPr>
            </w:pPr>
            <w:r>
              <w:rPr>
                <w:rFonts w:hint="eastAsia"/>
                <w:color w:val="auto"/>
                <w:sz w:val="24"/>
                <w:szCs w:val="24"/>
                <w:highlight w:val="none"/>
                <w:lang w:bidi="ar"/>
              </w:rPr>
              <w:t>A——倍频带衰减，dB（A）；</w:t>
            </w:r>
          </w:p>
          <w:p w14:paraId="719E687F">
            <w:pPr>
              <w:snapToGrid w:val="0"/>
              <w:spacing w:line="360" w:lineRule="auto"/>
              <w:ind w:firstLine="480" w:firstLineChars="200"/>
              <w:rPr>
                <w:color w:val="auto"/>
                <w:sz w:val="24"/>
                <w:szCs w:val="24"/>
                <w:highlight w:val="none"/>
                <w:lang w:bidi="ar"/>
              </w:rPr>
            </w:pPr>
            <w:r>
              <w:rPr>
                <w:rFonts w:hint="eastAsia"/>
                <w:color w:val="auto"/>
                <w:sz w:val="24"/>
                <w:szCs w:val="24"/>
                <w:highlight w:val="none"/>
                <w:lang w:bidi="ar"/>
              </w:rPr>
              <w:t>（2）声源在预测点产生的等效声级贡献值(Leqg)计算公式</w:t>
            </w:r>
          </w:p>
          <w:p w14:paraId="68E8688F">
            <w:pPr>
              <w:pStyle w:val="19"/>
              <w:spacing w:before="0" w:after="0" w:line="240" w:lineRule="auto"/>
              <w:ind w:right="0"/>
              <w:jc w:val="center"/>
              <w:rPr>
                <w:color w:val="auto"/>
                <w:sz w:val="24"/>
                <w:szCs w:val="24"/>
                <w:highlight w:val="none"/>
                <w:lang w:bidi="ar"/>
              </w:rPr>
            </w:pPr>
            <w:r>
              <w:rPr>
                <w:rFonts w:hint="eastAsia"/>
                <w:color w:val="auto"/>
                <w:sz w:val="24"/>
                <w:szCs w:val="24"/>
                <w:highlight w:val="none"/>
                <w:lang w:bidi="ar"/>
              </w:rPr>
              <w:drawing>
                <wp:inline distT="0" distB="0" distL="0" distR="0">
                  <wp:extent cx="2093595" cy="495300"/>
                  <wp:effectExtent l="0" t="0" r="1905"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121897" cy="501954"/>
                          </a:xfrm>
                          <a:prstGeom prst="rect">
                            <a:avLst/>
                          </a:prstGeom>
                          <a:noFill/>
                          <a:ln>
                            <a:noFill/>
                          </a:ln>
                        </pic:spPr>
                      </pic:pic>
                    </a:graphicData>
                  </a:graphic>
                </wp:inline>
              </w:drawing>
            </w:r>
          </w:p>
          <w:p w14:paraId="0C98CA73">
            <w:pPr>
              <w:snapToGrid w:val="0"/>
              <w:spacing w:line="360" w:lineRule="auto"/>
              <w:ind w:firstLine="480" w:firstLineChars="200"/>
              <w:rPr>
                <w:color w:val="auto"/>
                <w:sz w:val="24"/>
                <w:szCs w:val="24"/>
                <w:highlight w:val="none"/>
                <w:lang w:bidi="ar"/>
              </w:rPr>
            </w:pPr>
            <w:r>
              <w:rPr>
                <w:rFonts w:hint="eastAsia"/>
                <w:color w:val="auto"/>
                <w:sz w:val="24"/>
                <w:szCs w:val="24"/>
                <w:highlight w:val="none"/>
                <w:lang w:bidi="ar"/>
              </w:rPr>
              <w:t>式中：Leqg——项目声源在预测点的等效声级贡献值，dB(A)；</w:t>
            </w:r>
          </w:p>
          <w:p w14:paraId="3030B064">
            <w:pPr>
              <w:snapToGrid w:val="0"/>
              <w:spacing w:line="360" w:lineRule="auto"/>
              <w:ind w:firstLine="480" w:firstLineChars="200"/>
              <w:rPr>
                <w:color w:val="auto"/>
                <w:sz w:val="24"/>
                <w:szCs w:val="24"/>
                <w:highlight w:val="none"/>
                <w:lang w:bidi="ar"/>
              </w:rPr>
            </w:pPr>
            <w:r>
              <w:rPr>
                <w:rFonts w:hint="eastAsia"/>
                <w:color w:val="auto"/>
                <w:sz w:val="24"/>
                <w:szCs w:val="24"/>
                <w:highlight w:val="none"/>
                <w:lang w:bidi="ar"/>
              </w:rPr>
              <w:t>LAi——i声源在预测点产生的A声级，dB(A)；</w:t>
            </w:r>
          </w:p>
          <w:p w14:paraId="0CD04C7A">
            <w:pPr>
              <w:snapToGrid w:val="0"/>
              <w:spacing w:line="360" w:lineRule="auto"/>
              <w:ind w:firstLine="480" w:firstLineChars="200"/>
              <w:rPr>
                <w:color w:val="auto"/>
                <w:sz w:val="24"/>
                <w:szCs w:val="24"/>
                <w:highlight w:val="none"/>
                <w:lang w:bidi="ar"/>
              </w:rPr>
            </w:pPr>
            <w:r>
              <w:rPr>
                <w:rFonts w:hint="eastAsia"/>
                <w:color w:val="auto"/>
                <w:sz w:val="24"/>
                <w:szCs w:val="24"/>
                <w:highlight w:val="none"/>
                <w:lang w:bidi="ar"/>
              </w:rPr>
              <w:t>T——预测计算的时间段，s；</w:t>
            </w:r>
          </w:p>
          <w:p w14:paraId="4BAB6292">
            <w:pPr>
              <w:snapToGrid w:val="0"/>
              <w:spacing w:line="360" w:lineRule="auto"/>
              <w:ind w:firstLine="480" w:firstLineChars="200"/>
              <w:rPr>
                <w:color w:val="auto"/>
                <w:sz w:val="24"/>
                <w:szCs w:val="24"/>
                <w:highlight w:val="none"/>
                <w:lang w:bidi="ar"/>
              </w:rPr>
            </w:pPr>
            <w:r>
              <w:rPr>
                <w:rFonts w:hint="eastAsia"/>
                <w:color w:val="auto"/>
                <w:sz w:val="24"/>
                <w:szCs w:val="24"/>
                <w:highlight w:val="none"/>
                <w:lang w:bidi="ar"/>
              </w:rPr>
              <w:t>ti——i声源在T时段内的运行时间，s。</w:t>
            </w:r>
          </w:p>
          <w:p w14:paraId="26DE1860">
            <w:pPr>
              <w:spacing w:line="360" w:lineRule="auto"/>
              <w:ind w:firstLine="480" w:firstLineChars="200"/>
              <w:rPr>
                <w:color w:val="auto"/>
                <w:sz w:val="24"/>
                <w:szCs w:val="24"/>
                <w:highlight w:val="none"/>
                <w:lang w:bidi="ar"/>
              </w:rPr>
            </w:pPr>
            <w:r>
              <w:rPr>
                <w:rFonts w:hint="eastAsia"/>
                <w:color w:val="auto"/>
                <w:sz w:val="24"/>
                <w:szCs w:val="24"/>
                <w:highlight w:val="none"/>
                <w:lang w:bidi="ar"/>
              </w:rPr>
              <w:t>（3）预测点的预测等效声级(Leq)计算公式</w:t>
            </w:r>
          </w:p>
          <w:p w14:paraId="63D4CB08">
            <w:pPr>
              <w:pStyle w:val="19"/>
              <w:spacing w:before="0" w:after="0" w:line="240" w:lineRule="auto"/>
              <w:ind w:right="0"/>
              <w:jc w:val="center"/>
              <w:rPr>
                <w:color w:val="auto"/>
                <w:sz w:val="24"/>
                <w:szCs w:val="24"/>
                <w:highlight w:val="none"/>
                <w:lang w:bidi="ar"/>
              </w:rPr>
            </w:pPr>
            <w:r>
              <w:rPr>
                <w:rFonts w:hint="eastAsia"/>
                <w:color w:val="auto"/>
                <w:sz w:val="24"/>
                <w:szCs w:val="24"/>
                <w:highlight w:val="none"/>
                <w:lang w:bidi="ar"/>
              </w:rPr>
              <w:drawing>
                <wp:inline distT="0" distB="0" distL="0" distR="0">
                  <wp:extent cx="2095500" cy="327660"/>
                  <wp:effectExtent l="0" t="0" r="0" b="1524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95500" cy="327660"/>
                          </a:xfrm>
                          <a:prstGeom prst="rect">
                            <a:avLst/>
                          </a:prstGeom>
                          <a:noFill/>
                          <a:ln>
                            <a:noFill/>
                          </a:ln>
                        </pic:spPr>
                      </pic:pic>
                    </a:graphicData>
                  </a:graphic>
                </wp:inline>
              </w:drawing>
            </w:r>
          </w:p>
          <w:p w14:paraId="7072B475">
            <w:pPr>
              <w:spacing w:line="360" w:lineRule="auto"/>
              <w:ind w:firstLine="480" w:firstLineChars="200"/>
              <w:rPr>
                <w:color w:val="auto"/>
                <w:sz w:val="24"/>
                <w:szCs w:val="24"/>
                <w:highlight w:val="none"/>
                <w:lang w:bidi="ar"/>
              </w:rPr>
            </w:pPr>
            <w:r>
              <w:rPr>
                <w:rFonts w:hint="eastAsia"/>
                <w:color w:val="auto"/>
                <w:sz w:val="24"/>
                <w:szCs w:val="24"/>
                <w:highlight w:val="none"/>
                <w:lang w:bidi="ar"/>
              </w:rPr>
              <w:t>式中：Leqg——项目声源在预测点的等效声级贡献值，dB(A)；</w:t>
            </w:r>
          </w:p>
          <w:p w14:paraId="4F16CA6D">
            <w:pPr>
              <w:spacing w:line="360" w:lineRule="auto"/>
              <w:ind w:firstLine="480" w:firstLineChars="200"/>
              <w:rPr>
                <w:color w:val="auto"/>
                <w:sz w:val="24"/>
                <w:szCs w:val="24"/>
                <w:highlight w:val="none"/>
                <w:lang w:bidi="ar"/>
              </w:rPr>
            </w:pPr>
            <w:r>
              <w:rPr>
                <w:rFonts w:hint="eastAsia"/>
                <w:color w:val="auto"/>
                <w:sz w:val="24"/>
                <w:szCs w:val="24"/>
                <w:highlight w:val="none"/>
                <w:lang w:bidi="ar"/>
              </w:rPr>
              <w:t>Leqb——预测点的背景值，dB(A)；</w:t>
            </w:r>
          </w:p>
          <w:p w14:paraId="0B7B2C06">
            <w:pPr>
              <w:spacing w:line="360" w:lineRule="auto"/>
              <w:ind w:firstLine="480" w:firstLineChars="200"/>
              <w:rPr>
                <w:color w:val="auto"/>
                <w:sz w:val="24"/>
                <w:szCs w:val="24"/>
                <w:highlight w:val="none"/>
                <w:lang w:bidi="ar"/>
              </w:rPr>
            </w:pPr>
            <w:r>
              <w:rPr>
                <w:rFonts w:hint="eastAsia"/>
                <w:color w:val="auto"/>
                <w:sz w:val="24"/>
                <w:szCs w:val="24"/>
                <w:highlight w:val="none"/>
                <w:lang w:bidi="ar"/>
              </w:rPr>
              <w:t>（4）在环境噪声预测中各噪声源作为点声源处理，故几何发散衰减：</w:t>
            </w:r>
          </w:p>
          <w:p w14:paraId="594FBEC1">
            <w:pPr>
              <w:spacing w:line="360" w:lineRule="auto"/>
              <w:ind w:firstLine="480" w:firstLineChars="200"/>
              <w:jc w:val="center"/>
              <w:rPr>
                <w:color w:val="auto"/>
                <w:sz w:val="24"/>
                <w:szCs w:val="24"/>
                <w:highlight w:val="none"/>
                <w:lang w:bidi="ar"/>
              </w:rPr>
            </w:pPr>
            <w:r>
              <w:rPr>
                <w:rFonts w:hint="eastAsia"/>
                <w:color w:val="auto"/>
                <w:sz w:val="24"/>
                <w:szCs w:val="24"/>
                <w:highlight w:val="none"/>
                <w:lang w:bidi="ar"/>
              </w:rPr>
              <w:t>Ldiv=20Lg（r/r0）</w:t>
            </w:r>
          </w:p>
          <w:p w14:paraId="4F1CADF3">
            <w:pPr>
              <w:spacing w:line="360" w:lineRule="auto"/>
              <w:ind w:firstLine="480" w:firstLineChars="200"/>
              <w:rPr>
                <w:color w:val="auto"/>
                <w:sz w:val="24"/>
                <w:szCs w:val="24"/>
                <w:highlight w:val="none"/>
                <w:lang w:bidi="ar"/>
              </w:rPr>
            </w:pPr>
            <w:r>
              <w:rPr>
                <w:rFonts w:hint="eastAsia"/>
                <w:color w:val="auto"/>
                <w:sz w:val="24"/>
                <w:szCs w:val="24"/>
                <w:highlight w:val="none"/>
                <w:lang w:bidi="ar"/>
              </w:rPr>
              <w:t>式中：r—预测点与噪声源的距离（m）；</w:t>
            </w:r>
          </w:p>
          <w:p w14:paraId="03C3DCE1">
            <w:pPr>
              <w:spacing w:line="360" w:lineRule="auto"/>
              <w:ind w:firstLine="480" w:firstLineChars="200"/>
              <w:rPr>
                <w:color w:val="auto"/>
                <w:sz w:val="24"/>
                <w:szCs w:val="24"/>
                <w:highlight w:val="none"/>
                <w:lang w:bidi="ar"/>
              </w:rPr>
            </w:pPr>
            <w:r>
              <w:rPr>
                <w:rFonts w:hint="eastAsia"/>
                <w:color w:val="auto"/>
                <w:sz w:val="24"/>
                <w:szCs w:val="24"/>
                <w:highlight w:val="none"/>
                <w:lang w:bidi="ar"/>
              </w:rPr>
              <w:t>r0—噪声合成点与噪声源的距离。</w:t>
            </w:r>
          </w:p>
          <w:p w14:paraId="4160E8DC">
            <w:pPr>
              <w:spacing w:line="360" w:lineRule="auto"/>
              <w:ind w:firstLine="480" w:firstLineChars="200"/>
              <w:rPr>
                <w:color w:val="auto"/>
                <w:sz w:val="24"/>
                <w:szCs w:val="24"/>
                <w:highlight w:val="none"/>
                <w:lang w:bidi="ar"/>
              </w:rPr>
            </w:pPr>
            <w:r>
              <w:rPr>
                <w:rFonts w:hint="eastAsia"/>
                <w:color w:val="auto"/>
                <w:sz w:val="24"/>
                <w:szCs w:val="24"/>
                <w:highlight w:val="none"/>
                <w:lang w:bidi="ar"/>
              </w:rPr>
              <w:t>根据声源衰减规律，选择距离噪声源较近厂界进行预测。主要噪声源及采取的治理措施以及对厂界噪声影响预测见表4-1</w:t>
            </w:r>
            <w:r>
              <w:rPr>
                <w:rFonts w:hint="eastAsia"/>
                <w:color w:val="auto"/>
                <w:sz w:val="24"/>
                <w:szCs w:val="24"/>
                <w:highlight w:val="none"/>
                <w:lang w:val="en-US" w:eastAsia="zh-CN" w:bidi="ar"/>
              </w:rPr>
              <w:t>3</w:t>
            </w:r>
            <w:r>
              <w:rPr>
                <w:rFonts w:hint="eastAsia"/>
                <w:color w:val="auto"/>
                <w:sz w:val="24"/>
                <w:szCs w:val="24"/>
                <w:highlight w:val="none"/>
                <w:lang w:bidi="ar"/>
              </w:rPr>
              <w:t>。</w:t>
            </w:r>
          </w:p>
          <w:p w14:paraId="324D972B">
            <w:pPr>
              <w:widowControl/>
              <w:autoSpaceDE w:val="0"/>
              <w:autoSpaceDN w:val="0"/>
              <w:adjustRightInd w:val="0"/>
              <w:snapToGrid w:val="0"/>
              <w:spacing w:line="360" w:lineRule="auto"/>
              <w:ind w:firstLine="420" w:firstLineChars="200"/>
              <w:jc w:val="left"/>
              <w:rPr>
                <w:rFonts w:eastAsiaTheme="minorEastAsia"/>
                <w:color w:val="auto"/>
                <w:highlight w:val="none"/>
              </w:rPr>
            </w:pPr>
          </w:p>
        </w:tc>
      </w:tr>
    </w:tbl>
    <w:p w14:paraId="3EBAADCD">
      <w:pPr>
        <w:adjustRightInd w:val="0"/>
        <w:snapToGrid w:val="0"/>
        <w:jc w:val="center"/>
        <w:rPr>
          <w:rFonts w:eastAsiaTheme="minorEastAsia"/>
          <w:b/>
          <w:bCs/>
          <w:color w:val="auto"/>
          <w:sz w:val="24"/>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7"/>
        <w:tblW w:w="506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2678"/>
      </w:tblGrid>
      <w:tr w14:paraId="2C242F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02" w:hRule="atLeast"/>
          <w:jc w:val="center"/>
        </w:trPr>
        <w:tc>
          <w:tcPr>
            <w:tcW w:w="240" w:type="pct"/>
            <w:tcMar>
              <w:left w:w="28" w:type="dxa"/>
              <w:right w:w="28" w:type="dxa"/>
            </w:tcMar>
            <w:vAlign w:val="center"/>
          </w:tcPr>
          <w:p w14:paraId="28D627F3">
            <w:pPr>
              <w:adjustRightInd w:val="0"/>
              <w:snapToGrid w:val="0"/>
              <w:jc w:val="center"/>
              <w:rPr>
                <w:rFonts w:eastAsiaTheme="minorEastAsia"/>
                <w:b/>
                <w:bCs/>
                <w:color w:val="auto"/>
                <w:sz w:val="24"/>
                <w:highlight w:val="none"/>
              </w:rPr>
            </w:pPr>
            <w:r>
              <w:rPr>
                <w:rFonts w:eastAsiaTheme="minorEastAsia"/>
                <w:b/>
                <w:bCs/>
                <w:color w:val="auto"/>
                <w:sz w:val="24"/>
                <w:highlight w:val="none"/>
              </w:rPr>
              <w:t>运营</w:t>
            </w:r>
          </w:p>
          <w:p w14:paraId="4BFE6FC5">
            <w:pPr>
              <w:adjustRightInd w:val="0"/>
              <w:snapToGrid w:val="0"/>
              <w:jc w:val="center"/>
              <w:rPr>
                <w:rFonts w:eastAsiaTheme="minorEastAsia"/>
                <w:b/>
                <w:bCs/>
                <w:color w:val="auto"/>
                <w:sz w:val="24"/>
                <w:highlight w:val="none"/>
              </w:rPr>
            </w:pPr>
            <w:r>
              <w:rPr>
                <w:rFonts w:eastAsiaTheme="minorEastAsia"/>
                <w:b/>
                <w:bCs/>
                <w:color w:val="auto"/>
                <w:sz w:val="24"/>
                <w:highlight w:val="none"/>
              </w:rPr>
              <w:t>期环</w:t>
            </w:r>
          </w:p>
          <w:p w14:paraId="7782ED24">
            <w:pPr>
              <w:adjustRightInd w:val="0"/>
              <w:snapToGrid w:val="0"/>
              <w:jc w:val="center"/>
              <w:rPr>
                <w:rFonts w:eastAsiaTheme="minorEastAsia"/>
                <w:b/>
                <w:bCs/>
                <w:color w:val="auto"/>
                <w:sz w:val="24"/>
                <w:highlight w:val="none"/>
              </w:rPr>
            </w:pPr>
            <w:r>
              <w:rPr>
                <w:rFonts w:eastAsiaTheme="minorEastAsia"/>
                <w:b/>
                <w:bCs/>
                <w:color w:val="auto"/>
                <w:sz w:val="24"/>
                <w:highlight w:val="none"/>
              </w:rPr>
              <w:t>境影</w:t>
            </w:r>
          </w:p>
          <w:p w14:paraId="7F05B206">
            <w:pPr>
              <w:adjustRightInd w:val="0"/>
              <w:snapToGrid w:val="0"/>
              <w:jc w:val="center"/>
              <w:rPr>
                <w:rFonts w:eastAsiaTheme="minorEastAsia"/>
                <w:b/>
                <w:bCs/>
                <w:color w:val="auto"/>
                <w:sz w:val="24"/>
                <w:highlight w:val="none"/>
              </w:rPr>
            </w:pPr>
            <w:r>
              <w:rPr>
                <w:rFonts w:eastAsiaTheme="minorEastAsia"/>
                <w:b/>
                <w:bCs/>
                <w:color w:val="auto"/>
                <w:sz w:val="24"/>
                <w:highlight w:val="none"/>
              </w:rPr>
              <w:t>响和</w:t>
            </w:r>
          </w:p>
          <w:p w14:paraId="103BFCF4">
            <w:pPr>
              <w:adjustRightInd w:val="0"/>
              <w:snapToGrid w:val="0"/>
              <w:jc w:val="center"/>
              <w:rPr>
                <w:rFonts w:eastAsiaTheme="minorEastAsia"/>
                <w:b/>
                <w:bCs/>
                <w:color w:val="auto"/>
                <w:sz w:val="24"/>
                <w:highlight w:val="none"/>
              </w:rPr>
            </w:pPr>
            <w:r>
              <w:rPr>
                <w:rFonts w:eastAsiaTheme="minorEastAsia"/>
                <w:b/>
                <w:bCs/>
                <w:color w:val="auto"/>
                <w:sz w:val="24"/>
                <w:highlight w:val="none"/>
              </w:rPr>
              <w:t>保护</w:t>
            </w:r>
          </w:p>
          <w:p w14:paraId="7D4D3DC2">
            <w:pPr>
              <w:adjustRightInd w:val="0"/>
              <w:snapToGrid w:val="0"/>
              <w:jc w:val="center"/>
              <w:rPr>
                <w:rFonts w:eastAsiaTheme="minorEastAsia"/>
                <w:b/>
                <w:bCs/>
                <w:color w:val="auto"/>
                <w:sz w:val="24"/>
                <w:highlight w:val="none"/>
              </w:rPr>
            </w:pPr>
            <w:r>
              <w:rPr>
                <w:rFonts w:eastAsiaTheme="minorEastAsia"/>
                <w:b/>
                <w:bCs/>
                <w:color w:val="auto"/>
                <w:sz w:val="24"/>
                <w:highlight w:val="none"/>
              </w:rPr>
              <w:t>措施</w:t>
            </w:r>
          </w:p>
        </w:tc>
        <w:tc>
          <w:tcPr>
            <w:tcW w:w="4759" w:type="pct"/>
            <w:vAlign w:val="top"/>
          </w:tcPr>
          <w:p w14:paraId="605360E4">
            <w:pPr>
              <w:adjustRightInd w:val="0"/>
              <w:snapToGrid w:val="0"/>
              <w:jc w:val="center"/>
              <w:rPr>
                <w:b/>
                <w:color w:val="auto"/>
                <w:kern w:val="0"/>
                <w:sz w:val="24"/>
                <w:szCs w:val="24"/>
                <w:highlight w:val="none"/>
                <w:lang w:bidi="ar"/>
              </w:rPr>
            </w:pPr>
            <w:r>
              <w:rPr>
                <w:rFonts w:hint="eastAsia"/>
                <w:b/>
                <w:color w:val="auto"/>
                <w:kern w:val="0"/>
                <w:sz w:val="24"/>
                <w:szCs w:val="24"/>
                <w:highlight w:val="none"/>
                <w:lang w:bidi="ar"/>
              </w:rPr>
              <w:t>表4-</w:t>
            </w:r>
            <w:r>
              <w:rPr>
                <w:b/>
                <w:color w:val="auto"/>
                <w:kern w:val="0"/>
                <w:sz w:val="24"/>
                <w:szCs w:val="24"/>
                <w:highlight w:val="none"/>
                <w:lang w:bidi="ar"/>
              </w:rPr>
              <w:t>1</w:t>
            </w:r>
            <w:r>
              <w:rPr>
                <w:rFonts w:hint="eastAsia"/>
                <w:b/>
                <w:color w:val="auto"/>
                <w:kern w:val="0"/>
                <w:sz w:val="24"/>
                <w:szCs w:val="24"/>
                <w:highlight w:val="none"/>
                <w:lang w:val="en-US" w:eastAsia="zh-CN" w:bidi="ar"/>
              </w:rPr>
              <w:t>3</w:t>
            </w:r>
            <w:r>
              <w:rPr>
                <w:b/>
                <w:color w:val="auto"/>
                <w:kern w:val="0"/>
                <w:sz w:val="24"/>
                <w:szCs w:val="24"/>
                <w:highlight w:val="none"/>
                <w:lang w:bidi="ar"/>
              </w:rPr>
              <w:t xml:space="preserve"> </w:t>
            </w:r>
            <w:r>
              <w:rPr>
                <w:rFonts w:hint="eastAsia"/>
                <w:b/>
                <w:color w:val="auto"/>
                <w:kern w:val="0"/>
                <w:sz w:val="24"/>
                <w:szCs w:val="24"/>
                <w:highlight w:val="none"/>
                <w:lang w:bidi="ar"/>
              </w:rPr>
              <w:t>工业企业声环境保护目标预测结果与达标分析表</w:t>
            </w:r>
          </w:p>
          <w:tbl>
            <w:tblPr>
              <w:tblStyle w:val="38"/>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1007"/>
              <w:gridCol w:w="821"/>
              <w:gridCol w:w="821"/>
              <w:gridCol w:w="821"/>
              <w:gridCol w:w="821"/>
              <w:gridCol w:w="611"/>
              <w:gridCol w:w="619"/>
              <w:gridCol w:w="960"/>
              <w:gridCol w:w="963"/>
              <w:gridCol w:w="821"/>
              <w:gridCol w:w="960"/>
              <w:gridCol w:w="664"/>
              <w:gridCol w:w="673"/>
              <w:gridCol w:w="763"/>
              <w:gridCol w:w="644"/>
            </w:tblGrid>
            <w:tr w14:paraId="0C608C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 w:type="pct"/>
                  <w:vMerge w:val="restart"/>
                  <w:tcBorders>
                    <w:top w:val="single" w:color="auto" w:sz="12" w:space="0"/>
                  </w:tcBorders>
                  <w:vAlign w:val="center"/>
                </w:tcPr>
                <w:p w14:paraId="49D051EE">
                  <w:pPr>
                    <w:adjustRightInd w:val="0"/>
                    <w:snapToGrid w:val="0"/>
                    <w:jc w:val="center"/>
                    <w:rPr>
                      <w:b/>
                      <w:color w:val="auto"/>
                      <w:kern w:val="21"/>
                      <w:sz w:val="21"/>
                      <w:szCs w:val="21"/>
                      <w:highlight w:val="none"/>
                    </w:rPr>
                  </w:pPr>
                  <w:r>
                    <w:rPr>
                      <w:rFonts w:hint="eastAsia"/>
                      <w:b/>
                      <w:color w:val="auto"/>
                      <w:kern w:val="21"/>
                      <w:sz w:val="21"/>
                      <w:szCs w:val="21"/>
                      <w:highlight w:val="none"/>
                    </w:rPr>
                    <w:t>序号</w:t>
                  </w:r>
                </w:p>
              </w:tc>
              <w:tc>
                <w:tcPr>
                  <w:tcW w:w="404" w:type="pct"/>
                  <w:vMerge w:val="restart"/>
                  <w:tcBorders>
                    <w:top w:val="single" w:color="auto" w:sz="12" w:space="0"/>
                  </w:tcBorders>
                  <w:vAlign w:val="center"/>
                </w:tcPr>
                <w:p w14:paraId="0B1FE6B7">
                  <w:pPr>
                    <w:adjustRightInd w:val="0"/>
                    <w:snapToGrid w:val="0"/>
                    <w:jc w:val="center"/>
                    <w:rPr>
                      <w:b/>
                      <w:color w:val="auto"/>
                      <w:kern w:val="21"/>
                      <w:sz w:val="21"/>
                      <w:szCs w:val="21"/>
                      <w:highlight w:val="none"/>
                    </w:rPr>
                  </w:pPr>
                  <w:r>
                    <w:rPr>
                      <w:rFonts w:hint="eastAsia"/>
                      <w:b/>
                      <w:color w:val="auto"/>
                      <w:kern w:val="21"/>
                      <w:sz w:val="21"/>
                      <w:szCs w:val="21"/>
                      <w:highlight w:val="none"/>
                    </w:rPr>
                    <w:t>声环境保护目标</w:t>
                  </w:r>
                </w:p>
              </w:tc>
              <w:tc>
                <w:tcPr>
                  <w:tcW w:w="658" w:type="pct"/>
                  <w:gridSpan w:val="2"/>
                  <w:tcBorders>
                    <w:top w:val="single" w:color="auto" w:sz="12" w:space="0"/>
                  </w:tcBorders>
                  <w:vAlign w:val="center"/>
                </w:tcPr>
                <w:p w14:paraId="0825525A">
                  <w:pPr>
                    <w:adjustRightInd w:val="0"/>
                    <w:snapToGrid w:val="0"/>
                    <w:jc w:val="center"/>
                    <w:rPr>
                      <w:b/>
                      <w:color w:val="auto"/>
                      <w:kern w:val="21"/>
                      <w:sz w:val="21"/>
                      <w:szCs w:val="21"/>
                      <w:highlight w:val="none"/>
                    </w:rPr>
                  </w:pPr>
                  <w:r>
                    <w:rPr>
                      <w:rFonts w:hint="eastAsia"/>
                      <w:b/>
                      <w:color w:val="auto"/>
                      <w:kern w:val="21"/>
                      <w:sz w:val="21"/>
                      <w:szCs w:val="21"/>
                      <w:highlight w:val="none"/>
                    </w:rPr>
                    <w:t>噪声背景值dB(A)</w:t>
                  </w:r>
                </w:p>
              </w:tc>
              <w:tc>
                <w:tcPr>
                  <w:tcW w:w="658" w:type="pct"/>
                  <w:gridSpan w:val="2"/>
                  <w:tcBorders>
                    <w:top w:val="single" w:color="auto" w:sz="12" w:space="0"/>
                  </w:tcBorders>
                  <w:vAlign w:val="center"/>
                </w:tcPr>
                <w:p w14:paraId="7D340AAD">
                  <w:pPr>
                    <w:adjustRightInd w:val="0"/>
                    <w:snapToGrid w:val="0"/>
                    <w:jc w:val="center"/>
                    <w:rPr>
                      <w:b/>
                      <w:color w:val="auto"/>
                      <w:kern w:val="21"/>
                      <w:sz w:val="21"/>
                      <w:szCs w:val="21"/>
                      <w:highlight w:val="none"/>
                    </w:rPr>
                  </w:pPr>
                  <w:r>
                    <w:rPr>
                      <w:rFonts w:hint="eastAsia"/>
                      <w:b/>
                      <w:color w:val="auto"/>
                      <w:kern w:val="21"/>
                      <w:sz w:val="21"/>
                      <w:szCs w:val="21"/>
                      <w:highlight w:val="none"/>
                    </w:rPr>
                    <w:t>噪声现状值dB(A)</w:t>
                  </w:r>
                </w:p>
              </w:tc>
              <w:tc>
                <w:tcPr>
                  <w:tcW w:w="493" w:type="pct"/>
                  <w:gridSpan w:val="2"/>
                  <w:tcBorders>
                    <w:top w:val="single" w:color="auto" w:sz="12" w:space="0"/>
                  </w:tcBorders>
                  <w:vAlign w:val="center"/>
                </w:tcPr>
                <w:p w14:paraId="35A1E5A7">
                  <w:pPr>
                    <w:adjustRightInd w:val="0"/>
                    <w:snapToGrid w:val="0"/>
                    <w:jc w:val="center"/>
                    <w:rPr>
                      <w:b/>
                      <w:color w:val="auto"/>
                      <w:kern w:val="21"/>
                      <w:sz w:val="21"/>
                      <w:szCs w:val="21"/>
                      <w:highlight w:val="none"/>
                    </w:rPr>
                  </w:pPr>
                  <w:r>
                    <w:rPr>
                      <w:rFonts w:hint="eastAsia"/>
                      <w:b/>
                      <w:color w:val="auto"/>
                      <w:kern w:val="21"/>
                      <w:sz w:val="21"/>
                      <w:szCs w:val="21"/>
                      <w:highlight w:val="none"/>
                    </w:rPr>
                    <w:t>噪声标准dB(A)</w:t>
                  </w:r>
                </w:p>
              </w:tc>
              <w:tc>
                <w:tcPr>
                  <w:tcW w:w="771" w:type="pct"/>
                  <w:gridSpan w:val="2"/>
                  <w:tcBorders>
                    <w:top w:val="single" w:color="auto" w:sz="12" w:space="0"/>
                  </w:tcBorders>
                  <w:vAlign w:val="center"/>
                </w:tcPr>
                <w:p w14:paraId="0659907F">
                  <w:pPr>
                    <w:adjustRightInd w:val="0"/>
                    <w:snapToGrid w:val="0"/>
                    <w:jc w:val="center"/>
                    <w:rPr>
                      <w:b/>
                      <w:color w:val="auto"/>
                      <w:kern w:val="21"/>
                      <w:sz w:val="21"/>
                      <w:szCs w:val="21"/>
                      <w:highlight w:val="none"/>
                    </w:rPr>
                  </w:pPr>
                  <w:r>
                    <w:rPr>
                      <w:rFonts w:hint="eastAsia"/>
                      <w:b/>
                      <w:color w:val="auto"/>
                      <w:kern w:val="21"/>
                      <w:sz w:val="21"/>
                      <w:szCs w:val="21"/>
                      <w:highlight w:val="none"/>
                    </w:rPr>
                    <w:t>噪声贡献值dB(A)</w:t>
                  </w:r>
                </w:p>
              </w:tc>
              <w:tc>
                <w:tcPr>
                  <w:tcW w:w="714" w:type="pct"/>
                  <w:gridSpan w:val="2"/>
                  <w:tcBorders>
                    <w:top w:val="single" w:color="auto" w:sz="12" w:space="0"/>
                  </w:tcBorders>
                  <w:vAlign w:val="center"/>
                </w:tcPr>
                <w:p w14:paraId="04B04928">
                  <w:pPr>
                    <w:adjustRightInd w:val="0"/>
                    <w:snapToGrid w:val="0"/>
                    <w:jc w:val="center"/>
                    <w:rPr>
                      <w:b/>
                      <w:color w:val="auto"/>
                      <w:kern w:val="21"/>
                      <w:sz w:val="21"/>
                      <w:szCs w:val="21"/>
                      <w:highlight w:val="none"/>
                    </w:rPr>
                  </w:pPr>
                  <w:r>
                    <w:rPr>
                      <w:rFonts w:hint="eastAsia"/>
                      <w:b/>
                      <w:color w:val="auto"/>
                      <w:kern w:val="21"/>
                      <w:sz w:val="21"/>
                      <w:szCs w:val="21"/>
                      <w:highlight w:val="none"/>
                    </w:rPr>
                    <w:t>噪声预测值dB(A)</w:t>
                  </w:r>
                </w:p>
              </w:tc>
              <w:tc>
                <w:tcPr>
                  <w:tcW w:w="536" w:type="pct"/>
                  <w:gridSpan w:val="2"/>
                  <w:tcBorders>
                    <w:top w:val="single" w:color="auto" w:sz="12" w:space="0"/>
                  </w:tcBorders>
                  <w:vAlign w:val="center"/>
                </w:tcPr>
                <w:p w14:paraId="57C7DDC4">
                  <w:pPr>
                    <w:adjustRightInd w:val="0"/>
                    <w:snapToGrid w:val="0"/>
                    <w:jc w:val="center"/>
                    <w:rPr>
                      <w:b/>
                      <w:color w:val="auto"/>
                      <w:kern w:val="21"/>
                      <w:sz w:val="21"/>
                      <w:szCs w:val="21"/>
                      <w:highlight w:val="none"/>
                    </w:rPr>
                  </w:pPr>
                  <w:r>
                    <w:rPr>
                      <w:rFonts w:hint="eastAsia"/>
                      <w:b/>
                      <w:color w:val="auto"/>
                      <w:kern w:val="21"/>
                      <w:sz w:val="21"/>
                      <w:szCs w:val="21"/>
                      <w:highlight w:val="none"/>
                    </w:rPr>
                    <w:t>较现状增量dB(A)</w:t>
                  </w:r>
                </w:p>
              </w:tc>
              <w:tc>
                <w:tcPr>
                  <w:tcW w:w="564" w:type="pct"/>
                  <w:gridSpan w:val="2"/>
                  <w:tcBorders>
                    <w:top w:val="single" w:color="auto" w:sz="12" w:space="0"/>
                  </w:tcBorders>
                  <w:vAlign w:val="center"/>
                </w:tcPr>
                <w:p w14:paraId="40D9F350">
                  <w:pPr>
                    <w:adjustRightInd w:val="0"/>
                    <w:snapToGrid w:val="0"/>
                    <w:jc w:val="center"/>
                    <w:rPr>
                      <w:b/>
                      <w:color w:val="auto"/>
                      <w:kern w:val="21"/>
                      <w:sz w:val="21"/>
                      <w:szCs w:val="21"/>
                      <w:highlight w:val="none"/>
                    </w:rPr>
                  </w:pPr>
                  <w:r>
                    <w:rPr>
                      <w:rFonts w:hint="eastAsia"/>
                      <w:b/>
                      <w:color w:val="auto"/>
                      <w:kern w:val="21"/>
                      <w:sz w:val="21"/>
                      <w:szCs w:val="21"/>
                      <w:highlight w:val="none"/>
                    </w:rPr>
                    <w:t>超标和达标情况</w:t>
                  </w:r>
                </w:p>
              </w:tc>
            </w:tr>
            <w:tr w14:paraId="6A6DE1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 w:type="pct"/>
                  <w:vMerge w:val="continue"/>
                  <w:tcBorders>
                    <w:bottom w:val="single" w:color="auto" w:sz="12" w:space="0"/>
                  </w:tcBorders>
                  <w:vAlign w:val="center"/>
                </w:tcPr>
                <w:p w14:paraId="37788B26">
                  <w:pPr>
                    <w:adjustRightInd w:val="0"/>
                    <w:snapToGrid w:val="0"/>
                    <w:jc w:val="center"/>
                    <w:rPr>
                      <w:b/>
                      <w:color w:val="auto"/>
                      <w:kern w:val="21"/>
                      <w:sz w:val="21"/>
                      <w:szCs w:val="21"/>
                      <w:highlight w:val="none"/>
                    </w:rPr>
                  </w:pPr>
                </w:p>
              </w:tc>
              <w:tc>
                <w:tcPr>
                  <w:tcW w:w="404" w:type="pct"/>
                  <w:vMerge w:val="continue"/>
                  <w:tcBorders>
                    <w:bottom w:val="single" w:color="auto" w:sz="12" w:space="0"/>
                  </w:tcBorders>
                  <w:vAlign w:val="center"/>
                </w:tcPr>
                <w:p w14:paraId="502A9DB7">
                  <w:pPr>
                    <w:adjustRightInd w:val="0"/>
                    <w:snapToGrid w:val="0"/>
                    <w:jc w:val="center"/>
                    <w:rPr>
                      <w:b/>
                      <w:color w:val="auto"/>
                      <w:kern w:val="21"/>
                      <w:sz w:val="21"/>
                      <w:szCs w:val="21"/>
                      <w:highlight w:val="none"/>
                    </w:rPr>
                  </w:pPr>
                </w:p>
              </w:tc>
              <w:tc>
                <w:tcPr>
                  <w:tcW w:w="329" w:type="pct"/>
                  <w:tcBorders>
                    <w:bottom w:val="single" w:color="auto" w:sz="12" w:space="0"/>
                  </w:tcBorders>
                  <w:vAlign w:val="center"/>
                </w:tcPr>
                <w:p w14:paraId="565AC792">
                  <w:pPr>
                    <w:adjustRightInd w:val="0"/>
                    <w:snapToGrid w:val="0"/>
                    <w:jc w:val="center"/>
                    <w:rPr>
                      <w:b/>
                      <w:color w:val="auto"/>
                      <w:kern w:val="21"/>
                      <w:sz w:val="21"/>
                      <w:szCs w:val="21"/>
                      <w:highlight w:val="none"/>
                    </w:rPr>
                  </w:pPr>
                  <w:r>
                    <w:rPr>
                      <w:rFonts w:hint="eastAsia"/>
                      <w:b/>
                      <w:color w:val="auto"/>
                      <w:kern w:val="21"/>
                      <w:sz w:val="21"/>
                      <w:szCs w:val="21"/>
                      <w:highlight w:val="none"/>
                    </w:rPr>
                    <w:t>昼间</w:t>
                  </w:r>
                </w:p>
              </w:tc>
              <w:tc>
                <w:tcPr>
                  <w:tcW w:w="329" w:type="pct"/>
                  <w:tcBorders>
                    <w:bottom w:val="single" w:color="auto" w:sz="12" w:space="0"/>
                  </w:tcBorders>
                  <w:vAlign w:val="center"/>
                </w:tcPr>
                <w:p w14:paraId="3E08B61B">
                  <w:pPr>
                    <w:adjustRightInd w:val="0"/>
                    <w:snapToGrid w:val="0"/>
                    <w:jc w:val="center"/>
                    <w:rPr>
                      <w:b/>
                      <w:color w:val="auto"/>
                      <w:kern w:val="21"/>
                      <w:sz w:val="21"/>
                      <w:szCs w:val="21"/>
                      <w:highlight w:val="none"/>
                    </w:rPr>
                  </w:pPr>
                  <w:r>
                    <w:rPr>
                      <w:rFonts w:hint="eastAsia"/>
                      <w:b/>
                      <w:color w:val="auto"/>
                      <w:kern w:val="21"/>
                      <w:sz w:val="21"/>
                      <w:szCs w:val="21"/>
                      <w:highlight w:val="none"/>
                    </w:rPr>
                    <w:t>夜间</w:t>
                  </w:r>
                </w:p>
              </w:tc>
              <w:tc>
                <w:tcPr>
                  <w:tcW w:w="329" w:type="pct"/>
                  <w:tcBorders>
                    <w:bottom w:val="single" w:color="auto" w:sz="12" w:space="0"/>
                  </w:tcBorders>
                  <w:vAlign w:val="center"/>
                </w:tcPr>
                <w:p w14:paraId="21BCA946">
                  <w:pPr>
                    <w:adjustRightInd w:val="0"/>
                    <w:snapToGrid w:val="0"/>
                    <w:jc w:val="center"/>
                    <w:rPr>
                      <w:b/>
                      <w:color w:val="auto"/>
                      <w:kern w:val="21"/>
                      <w:sz w:val="21"/>
                      <w:szCs w:val="21"/>
                      <w:highlight w:val="none"/>
                    </w:rPr>
                  </w:pPr>
                  <w:r>
                    <w:rPr>
                      <w:rFonts w:hint="eastAsia"/>
                      <w:b/>
                      <w:color w:val="auto"/>
                      <w:kern w:val="21"/>
                      <w:sz w:val="21"/>
                      <w:szCs w:val="21"/>
                      <w:highlight w:val="none"/>
                    </w:rPr>
                    <w:t>昼间</w:t>
                  </w:r>
                </w:p>
              </w:tc>
              <w:tc>
                <w:tcPr>
                  <w:tcW w:w="329" w:type="pct"/>
                  <w:tcBorders>
                    <w:bottom w:val="single" w:color="auto" w:sz="12" w:space="0"/>
                  </w:tcBorders>
                  <w:vAlign w:val="center"/>
                </w:tcPr>
                <w:p w14:paraId="0F1F5CCB">
                  <w:pPr>
                    <w:adjustRightInd w:val="0"/>
                    <w:snapToGrid w:val="0"/>
                    <w:jc w:val="center"/>
                    <w:rPr>
                      <w:b/>
                      <w:color w:val="auto"/>
                      <w:kern w:val="21"/>
                      <w:sz w:val="21"/>
                      <w:szCs w:val="21"/>
                      <w:highlight w:val="none"/>
                    </w:rPr>
                  </w:pPr>
                  <w:r>
                    <w:rPr>
                      <w:rFonts w:hint="eastAsia"/>
                      <w:b/>
                      <w:color w:val="auto"/>
                      <w:kern w:val="21"/>
                      <w:sz w:val="21"/>
                      <w:szCs w:val="21"/>
                      <w:highlight w:val="none"/>
                    </w:rPr>
                    <w:t>夜间</w:t>
                  </w:r>
                </w:p>
              </w:tc>
              <w:tc>
                <w:tcPr>
                  <w:tcW w:w="245" w:type="pct"/>
                  <w:tcBorders>
                    <w:bottom w:val="single" w:color="auto" w:sz="12" w:space="0"/>
                  </w:tcBorders>
                  <w:vAlign w:val="center"/>
                </w:tcPr>
                <w:p w14:paraId="23F25DFD">
                  <w:pPr>
                    <w:adjustRightInd w:val="0"/>
                    <w:snapToGrid w:val="0"/>
                    <w:jc w:val="center"/>
                    <w:rPr>
                      <w:b/>
                      <w:color w:val="auto"/>
                      <w:kern w:val="21"/>
                      <w:sz w:val="21"/>
                      <w:szCs w:val="21"/>
                      <w:highlight w:val="none"/>
                    </w:rPr>
                  </w:pPr>
                  <w:r>
                    <w:rPr>
                      <w:rFonts w:hint="eastAsia"/>
                      <w:b/>
                      <w:color w:val="auto"/>
                      <w:kern w:val="21"/>
                      <w:sz w:val="21"/>
                      <w:szCs w:val="21"/>
                      <w:highlight w:val="none"/>
                    </w:rPr>
                    <w:t>昼间</w:t>
                  </w:r>
                </w:p>
              </w:tc>
              <w:tc>
                <w:tcPr>
                  <w:tcW w:w="248" w:type="pct"/>
                  <w:tcBorders>
                    <w:bottom w:val="single" w:color="auto" w:sz="12" w:space="0"/>
                  </w:tcBorders>
                  <w:vAlign w:val="center"/>
                </w:tcPr>
                <w:p w14:paraId="5F4C3BA3">
                  <w:pPr>
                    <w:adjustRightInd w:val="0"/>
                    <w:snapToGrid w:val="0"/>
                    <w:jc w:val="center"/>
                    <w:rPr>
                      <w:b/>
                      <w:color w:val="auto"/>
                      <w:kern w:val="21"/>
                      <w:sz w:val="21"/>
                      <w:szCs w:val="21"/>
                      <w:highlight w:val="none"/>
                    </w:rPr>
                  </w:pPr>
                  <w:r>
                    <w:rPr>
                      <w:rFonts w:hint="eastAsia"/>
                      <w:b/>
                      <w:color w:val="auto"/>
                      <w:kern w:val="21"/>
                      <w:sz w:val="21"/>
                      <w:szCs w:val="21"/>
                      <w:highlight w:val="none"/>
                    </w:rPr>
                    <w:t>夜间</w:t>
                  </w:r>
                </w:p>
              </w:tc>
              <w:tc>
                <w:tcPr>
                  <w:tcW w:w="385" w:type="pct"/>
                  <w:tcBorders>
                    <w:bottom w:val="single" w:color="auto" w:sz="12" w:space="0"/>
                  </w:tcBorders>
                  <w:vAlign w:val="center"/>
                </w:tcPr>
                <w:p w14:paraId="003F1FD7">
                  <w:pPr>
                    <w:adjustRightInd w:val="0"/>
                    <w:snapToGrid w:val="0"/>
                    <w:jc w:val="center"/>
                    <w:rPr>
                      <w:b/>
                      <w:color w:val="auto"/>
                      <w:kern w:val="21"/>
                      <w:sz w:val="21"/>
                      <w:szCs w:val="21"/>
                      <w:highlight w:val="none"/>
                    </w:rPr>
                  </w:pPr>
                  <w:r>
                    <w:rPr>
                      <w:rFonts w:hint="eastAsia"/>
                      <w:b/>
                      <w:color w:val="auto"/>
                      <w:kern w:val="21"/>
                      <w:sz w:val="21"/>
                      <w:szCs w:val="21"/>
                      <w:highlight w:val="none"/>
                    </w:rPr>
                    <w:t>昼间</w:t>
                  </w:r>
                </w:p>
              </w:tc>
              <w:tc>
                <w:tcPr>
                  <w:tcW w:w="386" w:type="pct"/>
                  <w:tcBorders>
                    <w:bottom w:val="single" w:color="auto" w:sz="12" w:space="0"/>
                  </w:tcBorders>
                  <w:vAlign w:val="center"/>
                </w:tcPr>
                <w:p w14:paraId="1C4F6AC0">
                  <w:pPr>
                    <w:adjustRightInd w:val="0"/>
                    <w:snapToGrid w:val="0"/>
                    <w:jc w:val="center"/>
                    <w:rPr>
                      <w:b/>
                      <w:color w:val="auto"/>
                      <w:kern w:val="21"/>
                      <w:sz w:val="21"/>
                      <w:szCs w:val="21"/>
                      <w:highlight w:val="none"/>
                    </w:rPr>
                  </w:pPr>
                  <w:r>
                    <w:rPr>
                      <w:rFonts w:hint="eastAsia"/>
                      <w:b/>
                      <w:color w:val="auto"/>
                      <w:kern w:val="21"/>
                      <w:sz w:val="21"/>
                      <w:szCs w:val="21"/>
                      <w:highlight w:val="none"/>
                    </w:rPr>
                    <w:t>夜间</w:t>
                  </w:r>
                </w:p>
              </w:tc>
              <w:tc>
                <w:tcPr>
                  <w:tcW w:w="329" w:type="pct"/>
                  <w:tcBorders>
                    <w:bottom w:val="single" w:color="auto" w:sz="12" w:space="0"/>
                  </w:tcBorders>
                  <w:vAlign w:val="center"/>
                </w:tcPr>
                <w:p w14:paraId="492DB43F">
                  <w:pPr>
                    <w:adjustRightInd w:val="0"/>
                    <w:snapToGrid w:val="0"/>
                    <w:jc w:val="center"/>
                    <w:rPr>
                      <w:b/>
                      <w:color w:val="auto"/>
                      <w:kern w:val="21"/>
                      <w:sz w:val="21"/>
                      <w:szCs w:val="21"/>
                      <w:highlight w:val="none"/>
                    </w:rPr>
                  </w:pPr>
                  <w:r>
                    <w:rPr>
                      <w:rFonts w:hint="eastAsia"/>
                      <w:b/>
                      <w:color w:val="auto"/>
                      <w:kern w:val="21"/>
                      <w:sz w:val="21"/>
                      <w:szCs w:val="21"/>
                      <w:highlight w:val="none"/>
                    </w:rPr>
                    <w:t>昼间</w:t>
                  </w:r>
                </w:p>
              </w:tc>
              <w:tc>
                <w:tcPr>
                  <w:tcW w:w="385" w:type="pct"/>
                  <w:tcBorders>
                    <w:bottom w:val="single" w:color="auto" w:sz="12" w:space="0"/>
                  </w:tcBorders>
                  <w:vAlign w:val="center"/>
                </w:tcPr>
                <w:p w14:paraId="4F67F790">
                  <w:pPr>
                    <w:adjustRightInd w:val="0"/>
                    <w:snapToGrid w:val="0"/>
                    <w:jc w:val="center"/>
                    <w:rPr>
                      <w:b/>
                      <w:color w:val="auto"/>
                      <w:kern w:val="21"/>
                      <w:sz w:val="21"/>
                      <w:szCs w:val="21"/>
                      <w:highlight w:val="none"/>
                    </w:rPr>
                  </w:pPr>
                  <w:r>
                    <w:rPr>
                      <w:rFonts w:hint="eastAsia"/>
                      <w:b/>
                      <w:color w:val="auto"/>
                      <w:kern w:val="21"/>
                      <w:sz w:val="21"/>
                      <w:szCs w:val="21"/>
                      <w:highlight w:val="none"/>
                    </w:rPr>
                    <w:t>夜间</w:t>
                  </w:r>
                </w:p>
              </w:tc>
              <w:tc>
                <w:tcPr>
                  <w:tcW w:w="266" w:type="pct"/>
                  <w:tcBorders>
                    <w:bottom w:val="single" w:color="auto" w:sz="12" w:space="0"/>
                  </w:tcBorders>
                  <w:vAlign w:val="center"/>
                </w:tcPr>
                <w:p w14:paraId="07EDCC72">
                  <w:pPr>
                    <w:adjustRightInd w:val="0"/>
                    <w:snapToGrid w:val="0"/>
                    <w:jc w:val="center"/>
                    <w:rPr>
                      <w:b/>
                      <w:color w:val="auto"/>
                      <w:kern w:val="21"/>
                      <w:sz w:val="21"/>
                      <w:szCs w:val="21"/>
                      <w:highlight w:val="none"/>
                    </w:rPr>
                  </w:pPr>
                  <w:r>
                    <w:rPr>
                      <w:rFonts w:hint="eastAsia"/>
                      <w:b/>
                      <w:color w:val="auto"/>
                      <w:kern w:val="21"/>
                      <w:sz w:val="21"/>
                      <w:szCs w:val="21"/>
                      <w:highlight w:val="none"/>
                    </w:rPr>
                    <w:t>昼间</w:t>
                  </w:r>
                </w:p>
              </w:tc>
              <w:tc>
                <w:tcPr>
                  <w:tcW w:w="269" w:type="pct"/>
                  <w:tcBorders>
                    <w:bottom w:val="single" w:color="auto" w:sz="12" w:space="0"/>
                  </w:tcBorders>
                  <w:vAlign w:val="center"/>
                </w:tcPr>
                <w:p w14:paraId="1F11D029">
                  <w:pPr>
                    <w:adjustRightInd w:val="0"/>
                    <w:snapToGrid w:val="0"/>
                    <w:jc w:val="center"/>
                    <w:rPr>
                      <w:b/>
                      <w:color w:val="auto"/>
                      <w:kern w:val="21"/>
                      <w:sz w:val="21"/>
                      <w:szCs w:val="21"/>
                      <w:highlight w:val="none"/>
                    </w:rPr>
                  </w:pPr>
                  <w:r>
                    <w:rPr>
                      <w:rFonts w:hint="eastAsia"/>
                      <w:b/>
                      <w:color w:val="auto"/>
                      <w:kern w:val="21"/>
                      <w:sz w:val="21"/>
                      <w:szCs w:val="21"/>
                      <w:highlight w:val="none"/>
                    </w:rPr>
                    <w:t>夜间</w:t>
                  </w:r>
                </w:p>
              </w:tc>
              <w:tc>
                <w:tcPr>
                  <w:tcW w:w="306" w:type="pct"/>
                  <w:tcBorders>
                    <w:bottom w:val="single" w:color="auto" w:sz="12" w:space="0"/>
                  </w:tcBorders>
                  <w:vAlign w:val="center"/>
                </w:tcPr>
                <w:p w14:paraId="6E5A5F42">
                  <w:pPr>
                    <w:adjustRightInd w:val="0"/>
                    <w:snapToGrid w:val="0"/>
                    <w:jc w:val="center"/>
                    <w:rPr>
                      <w:b/>
                      <w:color w:val="auto"/>
                      <w:kern w:val="21"/>
                      <w:sz w:val="21"/>
                      <w:szCs w:val="21"/>
                      <w:highlight w:val="none"/>
                    </w:rPr>
                  </w:pPr>
                  <w:r>
                    <w:rPr>
                      <w:rFonts w:hint="eastAsia"/>
                      <w:b/>
                      <w:color w:val="auto"/>
                      <w:kern w:val="21"/>
                      <w:sz w:val="21"/>
                      <w:szCs w:val="21"/>
                      <w:highlight w:val="none"/>
                    </w:rPr>
                    <w:t>昼间</w:t>
                  </w:r>
                </w:p>
              </w:tc>
              <w:tc>
                <w:tcPr>
                  <w:tcW w:w="257" w:type="pct"/>
                  <w:tcBorders>
                    <w:bottom w:val="single" w:color="auto" w:sz="12" w:space="0"/>
                  </w:tcBorders>
                  <w:vAlign w:val="center"/>
                </w:tcPr>
                <w:p w14:paraId="0AD3615F">
                  <w:pPr>
                    <w:adjustRightInd w:val="0"/>
                    <w:snapToGrid w:val="0"/>
                    <w:jc w:val="center"/>
                    <w:rPr>
                      <w:b/>
                      <w:color w:val="auto"/>
                      <w:kern w:val="21"/>
                      <w:sz w:val="21"/>
                      <w:szCs w:val="21"/>
                      <w:highlight w:val="none"/>
                    </w:rPr>
                  </w:pPr>
                  <w:r>
                    <w:rPr>
                      <w:rFonts w:hint="eastAsia"/>
                      <w:b/>
                      <w:color w:val="auto"/>
                      <w:kern w:val="21"/>
                      <w:sz w:val="21"/>
                      <w:szCs w:val="21"/>
                      <w:highlight w:val="none"/>
                    </w:rPr>
                    <w:t>夜间</w:t>
                  </w:r>
                </w:p>
              </w:tc>
            </w:tr>
            <w:tr w14:paraId="194448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 w:type="pct"/>
                  <w:tcBorders>
                    <w:top w:val="single" w:color="auto" w:sz="12" w:space="0"/>
                    <w:bottom w:val="single" w:color="auto" w:sz="4" w:space="0"/>
                  </w:tcBorders>
                  <w:vAlign w:val="center"/>
                </w:tcPr>
                <w:p w14:paraId="5B28F9AC">
                  <w:pPr>
                    <w:adjustRightInd w:val="0"/>
                    <w:snapToGrid w:val="0"/>
                    <w:jc w:val="center"/>
                    <w:rPr>
                      <w:bCs/>
                      <w:color w:val="auto"/>
                      <w:kern w:val="21"/>
                      <w:sz w:val="21"/>
                      <w:szCs w:val="21"/>
                      <w:highlight w:val="none"/>
                    </w:rPr>
                  </w:pPr>
                  <w:r>
                    <w:rPr>
                      <w:rFonts w:hint="eastAsia"/>
                      <w:bCs/>
                      <w:color w:val="auto"/>
                      <w:kern w:val="21"/>
                      <w:sz w:val="21"/>
                      <w:szCs w:val="21"/>
                      <w:highlight w:val="none"/>
                    </w:rPr>
                    <w:t>1</w:t>
                  </w:r>
                </w:p>
              </w:tc>
              <w:tc>
                <w:tcPr>
                  <w:tcW w:w="404" w:type="pct"/>
                  <w:tcBorders>
                    <w:top w:val="single" w:color="auto" w:sz="12" w:space="0"/>
                    <w:bottom w:val="single" w:color="auto" w:sz="4" w:space="0"/>
                  </w:tcBorders>
                  <w:vAlign w:val="center"/>
                </w:tcPr>
                <w:p w14:paraId="4CA7DA56">
                  <w:pPr>
                    <w:adjustRightInd w:val="0"/>
                    <w:snapToGrid w:val="0"/>
                    <w:jc w:val="center"/>
                    <w:rPr>
                      <w:bCs/>
                      <w:color w:val="auto"/>
                      <w:kern w:val="21"/>
                      <w:sz w:val="21"/>
                      <w:szCs w:val="21"/>
                      <w:highlight w:val="none"/>
                    </w:rPr>
                  </w:pPr>
                  <w:r>
                    <w:rPr>
                      <w:rFonts w:hint="eastAsia"/>
                      <w:bCs/>
                      <w:color w:val="auto"/>
                      <w:kern w:val="21"/>
                      <w:sz w:val="21"/>
                      <w:szCs w:val="21"/>
                      <w:highlight w:val="none"/>
                    </w:rPr>
                    <w:t>东厂界</w:t>
                  </w:r>
                </w:p>
              </w:tc>
              <w:tc>
                <w:tcPr>
                  <w:tcW w:w="329" w:type="pct"/>
                  <w:tcBorders>
                    <w:top w:val="single" w:color="auto" w:sz="12" w:space="0"/>
                    <w:bottom w:val="single" w:color="auto" w:sz="4" w:space="0"/>
                  </w:tcBorders>
                  <w:vAlign w:val="center"/>
                </w:tcPr>
                <w:p w14:paraId="02EE89C0">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29" w:type="pct"/>
                  <w:tcBorders>
                    <w:top w:val="single" w:color="auto" w:sz="12" w:space="0"/>
                    <w:bottom w:val="single" w:color="auto" w:sz="4" w:space="0"/>
                  </w:tcBorders>
                  <w:vAlign w:val="center"/>
                </w:tcPr>
                <w:p w14:paraId="2C699250">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29" w:type="pct"/>
                  <w:tcBorders>
                    <w:top w:val="single" w:color="auto" w:sz="12" w:space="0"/>
                    <w:bottom w:val="single" w:color="auto" w:sz="4" w:space="0"/>
                  </w:tcBorders>
                  <w:vAlign w:val="center"/>
                </w:tcPr>
                <w:p w14:paraId="63C9BEF0">
                  <w:pPr>
                    <w:widowControl/>
                    <w:jc w:val="center"/>
                    <w:textAlignment w:val="center"/>
                    <w:rPr>
                      <w:bCs/>
                      <w:color w:val="auto"/>
                      <w:kern w:val="21"/>
                      <w:sz w:val="21"/>
                      <w:szCs w:val="21"/>
                      <w:highlight w:val="none"/>
                    </w:rPr>
                  </w:pPr>
                  <w:r>
                    <w:rPr>
                      <w:color w:val="auto"/>
                      <w:szCs w:val="21"/>
                      <w:highlight w:val="none"/>
                    </w:rPr>
                    <w:t>/</w:t>
                  </w:r>
                </w:p>
              </w:tc>
              <w:tc>
                <w:tcPr>
                  <w:tcW w:w="329" w:type="pct"/>
                  <w:tcBorders>
                    <w:top w:val="single" w:color="auto" w:sz="12" w:space="0"/>
                    <w:bottom w:val="single" w:color="auto" w:sz="4" w:space="0"/>
                  </w:tcBorders>
                  <w:vAlign w:val="center"/>
                </w:tcPr>
                <w:p w14:paraId="4710F853">
                  <w:pPr>
                    <w:widowControl/>
                    <w:jc w:val="center"/>
                    <w:textAlignment w:val="center"/>
                    <w:rPr>
                      <w:bCs/>
                      <w:color w:val="auto"/>
                      <w:kern w:val="21"/>
                      <w:sz w:val="21"/>
                      <w:szCs w:val="21"/>
                      <w:highlight w:val="none"/>
                    </w:rPr>
                  </w:pPr>
                  <w:r>
                    <w:rPr>
                      <w:color w:val="auto"/>
                      <w:szCs w:val="21"/>
                      <w:highlight w:val="none"/>
                    </w:rPr>
                    <w:t>/</w:t>
                  </w:r>
                </w:p>
              </w:tc>
              <w:tc>
                <w:tcPr>
                  <w:tcW w:w="245" w:type="pct"/>
                  <w:tcBorders>
                    <w:top w:val="single" w:color="auto" w:sz="12" w:space="0"/>
                    <w:bottom w:val="single" w:color="auto" w:sz="4" w:space="0"/>
                  </w:tcBorders>
                  <w:vAlign w:val="center"/>
                </w:tcPr>
                <w:p w14:paraId="506F8D10">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zh-CN"/>
                    </w:rPr>
                    <w:t>65</w:t>
                  </w:r>
                </w:p>
              </w:tc>
              <w:tc>
                <w:tcPr>
                  <w:tcW w:w="248" w:type="pct"/>
                  <w:tcBorders>
                    <w:top w:val="single" w:color="auto" w:sz="12" w:space="0"/>
                    <w:bottom w:val="single" w:color="auto" w:sz="4" w:space="0"/>
                  </w:tcBorders>
                  <w:vAlign w:val="center"/>
                </w:tcPr>
                <w:p w14:paraId="30A11F4F">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op w:val="single" w:color="auto" w:sz="12" w:space="0"/>
                    <w:bottom w:val="single" w:color="auto" w:sz="4" w:space="0"/>
                  </w:tcBorders>
                  <w:vAlign w:val="center"/>
                </w:tcPr>
                <w:p w14:paraId="267C8E48">
                  <w:pPr>
                    <w:adjustRightInd w:val="0"/>
                    <w:snapToGrid w:val="0"/>
                    <w:jc w:val="center"/>
                    <w:rPr>
                      <w:rFonts w:hint="eastAsia" w:eastAsia="宋体"/>
                      <w:bCs/>
                      <w:color w:val="auto"/>
                      <w:kern w:val="21"/>
                      <w:sz w:val="21"/>
                      <w:szCs w:val="21"/>
                      <w:highlight w:val="none"/>
                      <w:lang w:eastAsia="zh-CN"/>
                    </w:rPr>
                  </w:pPr>
                  <w:r>
                    <w:rPr>
                      <w:rFonts w:hint="eastAsia"/>
                      <w:bCs/>
                      <w:color w:val="auto"/>
                      <w:kern w:val="21"/>
                      <w:sz w:val="21"/>
                      <w:szCs w:val="21"/>
                      <w:highlight w:val="none"/>
                      <w:lang w:val="en-US" w:eastAsia="zh-CN"/>
                    </w:rPr>
                    <w:t>4</w:t>
                  </w:r>
                  <w:r>
                    <w:rPr>
                      <w:bCs/>
                      <w:color w:val="auto"/>
                      <w:kern w:val="21"/>
                      <w:sz w:val="21"/>
                      <w:szCs w:val="21"/>
                      <w:highlight w:val="none"/>
                    </w:rPr>
                    <w:t>3.4</w:t>
                  </w:r>
                  <w:r>
                    <w:rPr>
                      <w:rFonts w:hint="eastAsia"/>
                      <w:bCs/>
                      <w:color w:val="auto"/>
                      <w:kern w:val="21"/>
                      <w:sz w:val="21"/>
                      <w:szCs w:val="21"/>
                      <w:highlight w:val="none"/>
                      <w:lang w:val="en-US" w:eastAsia="zh-CN"/>
                    </w:rPr>
                    <w:t>6</w:t>
                  </w:r>
                </w:p>
              </w:tc>
              <w:tc>
                <w:tcPr>
                  <w:tcW w:w="386" w:type="pct"/>
                  <w:tcBorders>
                    <w:top w:val="single" w:color="auto" w:sz="12" w:space="0"/>
                    <w:bottom w:val="single" w:color="auto" w:sz="4" w:space="0"/>
                  </w:tcBorders>
                  <w:vAlign w:val="center"/>
                </w:tcPr>
                <w:p w14:paraId="77CA5D64">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29" w:type="pct"/>
                  <w:tcBorders>
                    <w:top w:val="single" w:color="auto" w:sz="12" w:space="0"/>
                    <w:bottom w:val="single" w:color="auto" w:sz="4" w:space="0"/>
                  </w:tcBorders>
                  <w:vAlign w:val="center"/>
                </w:tcPr>
                <w:p w14:paraId="2640B805">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op w:val="single" w:color="auto" w:sz="12" w:space="0"/>
                    <w:bottom w:val="single" w:color="auto" w:sz="4" w:space="0"/>
                  </w:tcBorders>
                  <w:vAlign w:val="center"/>
                </w:tcPr>
                <w:p w14:paraId="7EF33F4D">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266" w:type="pct"/>
                  <w:tcBorders>
                    <w:top w:val="single" w:color="auto" w:sz="12" w:space="0"/>
                    <w:bottom w:val="single" w:color="auto" w:sz="4" w:space="0"/>
                  </w:tcBorders>
                  <w:vAlign w:val="center"/>
                </w:tcPr>
                <w:p w14:paraId="30C1EFD3">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269" w:type="pct"/>
                  <w:tcBorders>
                    <w:top w:val="single" w:color="auto" w:sz="12" w:space="0"/>
                    <w:bottom w:val="single" w:color="auto" w:sz="4" w:space="0"/>
                  </w:tcBorders>
                  <w:vAlign w:val="center"/>
                </w:tcPr>
                <w:p w14:paraId="27B479BB">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06" w:type="pct"/>
                  <w:tcBorders>
                    <w:top w:val="single" w:color="auto" w:sz="12" w:space="0"/>
                    <w:bottom w:val="single" w:color="auto" w:sz="4" w:space="0"/>
                  </w:tcBorders>
                  <w:vAlign w:val="center"/>
                </w:tcPr>
                <w:p w14:paraId="1EA38B2D">
                  <w:pPr>
                    <w:adjustRightInd w:val="0"/>
                    <w:snapToGrid w:val="0"/>
                    <w:jc w:val="center"/>
                    <w:rPr>
                      <w:bCs/>
                      <w:color w:val="auto"/>
                      <w:kern w:val="21"/>
                      <w:sz w:val="21"/>
                      <w:szCs w:val="21"/>
                      <w:highlight w:val="none"/>
                    </w:rPr>
                  </w:pPr>
                  <w:r>
                    <w:rPr>
                      <w:rFonts w:hint="eastAsia"/>
                      <w:bCs/>
                      <w:color w:val="auto"/>
                      <w:kern w:val="21"/>
                      <w:sz w:val="21"/>
                      <w:szCs w:val="21"/>
                      <w:highlight w:val="none"/>
                    </w:rPr>
                    <w:t>达标</w:t>
                  </w:r>
                </w:p>
              </w:tc>
              <w:tc>
                <w:tcPr>
                  <w:tcW w:w="257" w:type="pct"/>
                  <w:tcBorders>
                    <w:top w:val="single" w:color="auto" w:sz="12" w:space="0"/>
                    <w:bottom w:val="single" w:color="auto" w:sz="4" w:space="0"/>
                  </w:tcBorders>
                  <w:vAlign w:val="center"/>
                </w:tcPr>
                <w:p w14:paraId="78C6F77E">
                  <w:pPr>
                    <w:adjustRightInd w:val="0"/>
                    <w:snapToGrid w:val="0"/>
                    <w:jc w:val="center"/>
                    <w:rPr>
                      <w:bCs/>
                      <w:color w:val="auto"/>
                      <w:kern w:val="21"/>
                      <w:sz w:val="21"/>
                      <w:szCs w:val="21"/>
                      <w:highlight w:val="none"/>
                    </w:rPr>
                  </w:pPr>
                  <w:r>
                    <w:rPr>
                      <w:rFonts w:hint="eastAsia"/>
                      <w:bCs/>
                      <w:color w:val="auto"/>
                      <w:kern w:val="21"/>
                      <w:sz w:val="21"/>
                      <w:szCs w:val="21"/>
                      <w:highlight w:val="none"/>
                    </w:rPr>
                    <w:t>达标</w:t>
                  </w:r>
                </w:p>
              </w:tc>
            </w:tr>
            <w:tr w14:paraId="2BEA99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 w:type="pct"/>
                  <w:tcBorders>
                    <w:top w:val="single" w:color="auto" w:sz="4" w:space="0"/>
                  </w:tcBorders>
                  <w:vAlign w:val="center"/>
                </w:tcPr>
                <w:p w14:paraId="372280F2">
                  <w:pPr>
                    <w:adjustRightInd w:val="0"/>
                    <w:snapToGrid w:val="0"/>
                    <w:jc w:val="center"/>
                    <w:rPr>
                      <w:bCs/>
                      <w:color w:val="auto"/>
                      <w:kern w:val="21"/>
                      <w:sz w:val="21"/>
                      <w:szCs w:val="21"/>
                      <w:highlight w:val="none"/>
                    </w:rPr>
                  </w:pPr>
                  <w:r>
                    <w:rPr>
                      <w:rFonts w:hint="eastAsia"/>
                      <w:bCs/>
                      <w:color w:val="auto"/>
                      <w:kern w:val="21"/>
                      <w:sz w:val="21"/>
                      <w:szCs w:val="21"/>
                      <w:highlight w:val="none"/>
                    </w:rPr>
                    <w:t>2</w:t>
                  </w:r>
                </w:p>
              </w:tc>
              <w:tc>
                <w:tcPr>
                  <w:tcW w:w="404" w:type="pct"/>
                  <w:tcBorders>
                    <w:top w:val="single" w:color="auto" w:sz="4" w:space="0"/>
                  </w:tcBorders>
                  <w:vAlign w:val="center"/>
                </w:tcPr>
                <w:p w14:paraId="6D488710">
                  <w:pPr>
                    <w:adjustRightInd w:val="0"/>
                    <w:snapToGrid w:val="0"/>
                    <w:jc w:val="center"/>
                    <w:rPr>
                      <w:bCs/>
                      <w:color w:val="auto"/>
                      <w:kern w:val="21"/>
                      <w:sz w:val="21"/>
                      <w:szCs w:val="21"/>
                      <w:highlight w:val="none"/>
                    </w:rPr>
                  </w:pPr>
                  <w:r>
                    <w:rPr>
                      <w:rFonts w:hint="eastAsia"/>
                      <w:bCs/>
                      <w:color w:val="auto"/>
                      <w:kern w:val="21"/>
                      <w:sz w:val="21"/>
                      <w:szCs w:val="21"/>
                      <w:highlight w:val="none"/>
                    </w:rPr>
                    <w:t>南厂界</w:t>
                  </w:r>
                </w:p>
              </w:tc>
              <w:tc>
                <w:tcPr>
                  <w:tcW w:w="329" w:type="pct"/>
                  <w:tcBorders>
                    <w:top w:val="single" w:color="auto" w:sz="4" w:space="0"/>
                  </w:tcBorders>
                  <w:vAlign w:val="center"/>
                </w:tcPr>
                <w:p w14:paraId="22063B27">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29" w:type="pct"/>
                  <w:tcBorders>
                    <w:top w:val="single" w:color="auto" w:sz="4" w:space="0"/>
                  </w:tcBorders>
                  <w:vAlign w:val="center"/>
                </w:tcPr>
                <w:p w14:paraId="3FA194F5">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29" w:type="pct"/>
                  <w:tcBorders>
                    <w:top w:val="single" w:color="auto" w:sz="4" w:space="0"/>
                  </w:tcBorders>
                  <w:vAlign w:val="center"/>
                </w:tcPr>
                <w:p w14:paraId="23633A34">
                  <w:pPr>
                    <w:widowControl/>
                    <w:jc w:val="center"/>
                    <w:textAlignment w:val="center"/>
                    <w:rPr>
                      <w:bCs/>
                      <w:color w:val="auto"/>
                      <w:kern w:val="21"/>
                      <w:sz w:val="21"/>
                      <w:szCs w:val="21"/>
                      <w:highlight w:val="none"/>
                    </w:rPr>
                  </w:pPr>
                  <w:r>
                    <w:rPr>
                      <w:color w:val="auto"/>
                      <w:szCs w:val="21"/>
                      <w:highlight w:val="none"/>
                    </w:rPr>
                    <w:t>/</w:t>
                  </w:r>
                </w:p>
              </w:tc>
              <w:tc>
                <w:tcPr>
                  <w:tcW w:w="329" w:type="pct"/>
                  <w:tcBorders>
                    <w:top w:val="single" w:color="auto" w:sz="4" w:space="0"/>
                  </w:tcBorders>
                  <w:vAlign w:val="center"/>
                </w:tcPr>
                <w:p w14:paraId="184CD952">
                  <w:pPr>
                    <w:widowControl/>
                    <w:jc w:val="center"/>
                    <w:textAlignment w:val="center"/>
                    <w:rPr>
                      <w:bCs/>
                      <w:color w:val="auto"/>
                      <w:kern w:val="21"/>
                      <w:sz w:val="21"/>
                      <w:szCs w:val="21"/>
                      <w:highlight w:val="none"/>
                    </w:rPr>
                  </w:pPr>
                  <w:r>
                    <w:rPr>
                      <w:color w:val="auto"/>
                      <w:szCs w:val="21"/>
                      <w:highlight w:val="none"/>
                    </w:rPr>
                    <w:t>/</w:t>
                  </w:r>
                </w:p>
              </w:tc>
              <w:tc>
                <w:tcPr>
                  <w:tcW w:w="245" w:type="pct"/>
                  <w:tcBorders>
                    <w:top w:val="single" w:color="auto" w:sz="4" w:space="0"/>
                  </w:tcBorders>
                  <w:vAlign w:val="center"/>
                </w:tcPr>
                <w:p w14:paraId="36BF87C7">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zh-CN"/>
                    </w:rPr>
                    <w:t>65</w:t>
                  </w:r>
                </w:p>
              </w:tc>
              <w:tc>
                <w:tcPr>
                  <w:tcW w:w="248" w:type="pct"/>
                  <w:tcBorders>
                    <w:top w:val="single" w:color="auto" w:sz="4" w:space="0"/>
                  </w:tcBorders>
                  <w:vAlign w:val="center"/>
                </w:tcPr>
                <w:p w14:paraId="6B0B5958">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op w:val="single" w:color="auto" w:sz="4" w:space="0"/>
                  </w:tcBorders>
                  <w:vAlign w:val="center"/>
                </w:tcPr>
                <w:p w14:paraId="7B6123FA">
                  <w:pPr>
                    <w:adjustRightInd w:val="0"/>
                    <w:snapToGrid w:val="0"/>
                    <w:jc w:val="center"/>
                    <w:rPr>
                      <w:bCs/>
                      <w:color w:val="auto"/>
                      <w:kern w:val="21"/>
                      <w:sz w:val="21"/>
                      <w:szCs w:val="21"/>
                      <w:highlight w:val="none"/>
                    </w:rPr>
                  </w:pPr>
                  <w:r>
                    <w:rPr>
                      <w:rFonts w:hint="eastAsia"/>
                      <w:bCs/>
                      <w:color w:val="auto"/>
                      <w:kern w:val="21"/>
                      <w:sz w:val="21"/>
                      <w:szCs w:val="21"/>
                      <w:highlight w:val="none"/>
                      <w:lang w:val="en-US" w:eastAsia="zh-CN"/>
                    </w:rPr>
                    <w:t>4</w:t>
                  </w:r>
                  <w:r>
                    <w:rPr>
                      <w:bCs/>
                      <w:color w:val="auto"/>
                      <w:kern w:val="21"/>
                      <w:sz w:val="21"/>
                      <w:szCs w:val="21"/>
                      <w:highlight w:val="none"/>
                    </w:rPr>
                    <w:t>2.</w:t>
                  </w:r>
                  <w:r>
                    <w:rPr>
                      <w:rFonts w:hint="eastAsia"/>
                      <w:bCs/>
                      <w:color w:val="auto"/>
                      <w:kern w:val="21"/>
                      <w:sz w:val="21"/>
                      <w:szCs w:val="21"/>
                      <w:highlight w:val="none"/>
                      <w:lang w:val="en-US" w:eastAsia="zh-CN"/>
                    </w:rPr>
                    <w:t>8</w:t>
                  </w:r>
                  <w:r>
                    <w:rPr>
                      <w:bCs/>
                      <w:color w:val="auto"/>
                      <w:kern w:val="21"/>
                      <w:sz w:val="21"/>
                      <w:szCs w:val="21"/>
                      <w:highlight w:val="none"/>
                    </w:rPr>
                    <w:t>6</w:t>
                  </w:r>
                </w:p>
              </w:tc>
              <w:tc>
                <w:tcPr>
                  <w:tcW w:w="386" w:type="pct"/>
                  <w:tcBorders>
                    <w:top w:val="single" w:color="auto" w:sz="4" w:space="0"/>
                  </w:tcBorders>
                  <w:vAlign w:val="center"/>
                </w:tcPr>
                <w:p w14:paraId="37B92444">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29" w:type="pct"/>
                  <w:tcBorders>
                    <w:top w:val="single" w:color="auto" w:sz="4" w:space="0"/>
                  </w:tcBorders>
                  <w:vAlign w:val="center"/>
                </w:tcPr>
                <w:p w14:paraId="6C152CE0">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op w:val="single" w:color="auto" w:sz="4" w:space="0"/>
                  </w:tcBorders>
                  <w:vAlign w:val="center"/>
                </w:tcPr>
                <w:p w14:paraId="0AE841B3">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266" w:type="pct"/>
                  <w:tcBorders>
                    <w:top w:val="single" w:color="auto" w:sz="4" w:space="0"/>
                  </w:tcBorders>
                  <w:vAlign w:val="center"/>
                </w:tcPr>
                <w:p w14:paraId="54F90961">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269" w:type="pct"/>
                  <w:tcBorders>
                    <w:top w:val="single" w:color="auto" w:sz="4" w:space="0"/>
                  </w:tcBorders>
                  <w:vAlign w:val="center"/>
                </w:tcPr>
                <w:p w14:paraId="12091EA8">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06" w:type="pct"/>
                  <w:tcBorders>
                    <w:top w:val="single" w:color="auto" w:sz="4" w:space="0"/>
                  </w:tcBorders>
                  <w:vAlign w:val="center"/>
                </w:tcPr>
                <w:p w14:paraId="0C0277A6">
                  <w:pPr>
                    <w:adjustRightInd w:val="0"/>
                    <w:snapToGrid w:val="0"/>
                    <w:jc w:val="center"/>
                    <w:rPr>
                      <w:bCs/>
                      <w:color w:val="auto"/>
                      <w:kern w:val="21"/>
                      <w:sz w:val="21"/>
                      <w:szCs w:val="21"/>
                      <w:highlight w:val="none"/>
                    </w:rPr>
                  </w:pPr>
                  <w:r>
                    <w:rPr>
                      <w:rFonts w:hint="eastAsia"/>
                      <w:bCs/>
                      <w:color w:val="auto"/>
                      <w:kern w:val="21"/>
                      <w:sz w:val="21"/>
                      <w:szCs w:val="21"/>
                      <w:highlight w:val="none"/>
                    </w:rPr>
                    <w:t>达标</w:t>
                  </w:r>
                </w:p>
              </w:tc>
              <w:tc>
                <w:tcPr>
                  <w:tcW w:w="257" w:type="pct"/>
                  <w:tcBorders>
                    <w:top w:val="single" w:color="auto" w:sz="4" w:space="0"/>
                  </w:tcBorders>
                  <w:vAlign w:val="center"/>
                </w:tcPr>
                <w:p w14:paraId="07596605">
                  <w:pPr>
                    <w:adjustRightInd w:val="0"/>
                    <w:snapToGrid w:val="0"/>
                    <w:jc w:val="center"/>
                    <w:rPr>
                      <w:bCs/>
                      <w:color w:val="auto"/>
                      <w:kern w:val="21"/>
                      <w:sz w:val="21"/>
                      <w:szCs w:val="21"/>
                      <w:highlight w:val="none"/>
                    </w:rPr>
                  </w:pPr>
                  <w:r>
                    <w:rPr>
                      <w:rFonts w:hint="eastAsia"/>
                      <w:bCs/>
                      <w:color w:val="auto"/>
                      <w:kern w:val="21"/>
                      <w:sz w:val="21"/>
                      <w:szCs w:val="21"/>
                      <w:highlight w:val="none"/>
                    </w:rPr>
                    <w:t>达标</w:t>
                  </w:r>
                </w:p>
              </w:tc>
            </w:tr>
            <w:tr w14:paraId="050583E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 w:type="pct"/>
                  <w:tcBorders>
                    <w:top w:val="single" w:color="auto" w:sz="4" w:space="0"/>
                  </w:tcBorders>
                  <w:vAlign w:val="center"/>
                </w:tcPr>
                <w:p w14:paraId="2E9C3296">
                  <w:pPr>
                    <w:adjustRightInd w:val="0"/>
                    <w:snapToGrid w:val="0"/>
                    <w:jc w:val="center"/>
                    <w:rPr>
                      <w:bCs/>
                      <w:color w:val="auto"/>
                      <w:kern w:val="21"/>
                      <w:sz w:val="21"/>
                      <w:szCs w:val="21"/>
                      <w:highlight w:val="none"/>
                    </w:rPr>
                  </w:pPr>
                  <w:r>
                    <w:rPr>
                      <w:rFonts w:hint="eastAsia"/>
                      <w:bCs/>
                      <w:color w:val="auto"/>
                      <w:kern w:val="21"/>
                      <w:sz w:val="21"/>
                      <w:szCs w:val="21"/>
                      <w:highlight w:val="none"/>
                    </w:rPr>
                    <w:t>3</w:t>
                  </w:r>
                </w:p>
              </w:tc>
              <w:tc>
                <w:tcPr>
                  <w:tcW w:w="404" w:type="pct"/>
                  <w:tcBorders>
                    <w:top w:val="single" w:color="auto" w:sz="4" w:space="0"/>
                  </w:tcBorders>
                  <w:vAlign w:val="center"/>
                </w:tcPr>
                <w:p w14:paraId="4474B988">
                  <w:pPr>
                    <w:adjustRightInd w:val="0"/>
                    <w:snapToGrid w:val="0"/>
                    <w:jc w:val="center"/>
                    <w:rPr>
                      <w:bCs/>
                      <w:color w:val="auto"/>
                      <w:kern w:val="21"/>
                      <w:sz w:val="21"/>
                      <w:szCs w:val="21"/>
                      <w:highlight w:val="none"/>
                    </w:rPr>
                  </w:pPr>
                  <w:r>
                    <w:rPr>
                      <w:rFonts w:hint="eastAsia"/>
                      <w:bCs/>
                      <w:color w:val="auto"/>
                      <w:kern w:val="21"/>
                      <w:sz w:val="21"/>
                      <w:szCs w:val="21"/>
                      <w:highlight w:val="none"/>
                    </w:rPr>
                    <w:t>西厂界</w:t>
                  </w:r>
                </w:p>
              </w:tc>
              <w:tc>
                <w:tcPr>
                  <w:tcW w:w="329" w:type="pct"/>
                  <w:tcBorders>
                    <w:top w:val="single" w:color="auto" w:sz="4" w:space="0"/>
                  </w:tcBorders>
                  <w:vAlign w:val="center"/>
                </w:tcPr>
                <w:p w14:paraId="391D86B6">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29" w:type="pct"/>
                  <w:tcBorders>
                    <w:top w:val="single" w:color="auto" w:sz="4" w:space="0"/>
                  </w:tcBorders>
                  <w:vAlign w:val="center"/>
                </w:tcPr>
                <w:p w14:paraId="08E82EB3">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29" w:type="pct"/>
                  <w:tcBorders>
                    <w:top w:val="single" w:color="auto" w:sz="4" w:space="0"/>
                  </w:tcBorders>
                  <w:vAlign w:val="center"/>
                </w:tcPr>
                <w:p w14:paraId="2A9911C6">
                  <w:pPr>
                    <w:widowControl/>
                    <w:jc w:val="center"/>
                    <w:textAlignment w:val="center"/>
                    <w:rPr>
                      <w:bCs/>
                      <w:color w:val="auto"/>
                      <w:kern w:val="21"/>
                      <w:sz w:val="21"/>
                      <w:szCs w:val="21"/>
                      <w:highlight w:val="none"/>
                    </w:rPr>
                  </w:pPr>
                  <w:r>
                    <w:rPr>
                      <w:color w:val="auto"/>
                      <w:szCs w:val="21"/>
                      <w:highlight w:val="none"/>
                    </w:rPr>
                    <w:t>/</w:t>
                  </w:r>
                </w:p>
              </w:tc>
              <w:tc>
                <w:tcPr>
                  <w:tcW w:w="329" w:type="pct"/>
                  <w:tcBorders>
                    <w:top w:val="single" w:color="auto" w:sz="4" w:space="0"/>
                  </w:tcBorders>
                  <w:vAlign w:val="center"/>
                </w:tcPr>
                <w:p w14:paraId="3F524895">
                  <w:pPr>
                    <w:widowControl/>
                    <w:jc w:val="center"/>
                    <w:textAlignment w:val="center"/>
                    <w:rPr>
                      <w:bCs/>
                      <w:color w:val="auto"/>
                      <w:kern w:val="21"/>
                      <w:sz w:val="21"/>
                      <w:szCs w:val="21"/>
                      <w:highlight w:val="none"/>
                    </w:rPr>
                  </w:pPr>
                  <w:r>
                    <w:rPr>
                      <w:color w:val="auto"/>
                      <w:szCs w:val="21"/>
                      <w:highlight w:val="none"/>
                    </w:rPr>
                    <w:t>/</w:t>
                  </w:r>
                </w:p>
              </w:tc>
              <w:tc>
                <w:tcPr>
                  <w:tcW w:w="245" w:type="pct"/>
                  <w:tcBorders>
                    <w:top w:val="single" w:color="auto" w:sz="4" w:space="0"/>
                  </w:tcBorders>
                  <w:vAlign w:val="center"/>
                </w:tcPr>
                <w:p w14:paraId="2F1FBFFA">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zh-CN"/>
                    </w:rPr>
                    <w:t>65</w:t>
                  </w:r>
                </w:p>
              </w:tc>
              <w:tc>
                <w:tcPr>
                  <w:tcW w:w="248" w:type="pct"/>
                  <w:tcBorders>
                    <w:top w:val="single" w:color="auto" w:sz="4" w:space="0"/>
                  </w:tcBorders>
                  <w:vAlign w:val="center"/>
                </w:tcPr>
                <w:p w14:paraId="251D1748">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op w:val="single" w:color="auto" w:sz="4" w:space="0"/>
                  </w:tcBorders>
                  <w:vAlign w:val="center"/>
                </w:tcPr>
                <w:p w14:paraId="3D89B958">
                  <w:pPr>
                    <w:adjustRightInd w:val="0"/>
                    <w:snapToGrid w:val="0"/>
                    <w:jc w:val="center"/>
                    <w:rPr>
                      <w:rFonts w:hint="default" w:eastAsia="宋体"/>
                      <w:bCs/>
                      <w:color w:val="auto"/>
                      <w:kern w:val="21"/>
                      <w:sz w:val="21"/>
                      <w:szCs w:val="21"/>
                      <w:highlight w:val="none"/>
                      <w:lang w:val="en-US" w:eastAsia="zh-CN"/>
                    </w:rPr>
                  </w:pPr>
                  <w:r>
                    <w:rPr>
                      <w:rFonts w:hint="eastAsia"/>
                      <w:bCs/>
                      <w:color w:val="auto"/>
                      <w:kern w:val="21"/>
                      <w:sz w:val="21"/>
                      <w:szCs w:val="21"/>
                      <w:highlight w:val="none"/>
                      <w:lang w:val="en-US" w:eastAsia="zh-CN"/>
                    </w:rPr>
                    <w:t>48</w:t>
                  </w:r>
                  <w:r>
                    <w:rPr>
                      <w:bCs/>
                      <w:color w:val="auto"/>
                      <w:kern w:val="21"/>
                      <w:sz w:val="21"/>
                      <w:szCs w:val="21"/>
                      <w:highlight w:val="none"/>
                    </w:rPr>
                    <w:t>.</w:t>
                  </w:r>
                  <w:r>
                    <w:rPr>
                      <w:rFonts w:hint="eastAsia"/>
                      <w:bCs/>
                      <w:color w:val="auto"/>
                      <w:kern w:val="21"/>
                      <w:sz w:val="21"/>
                      <w:szCs w:val="21"/>
                      <w:highlight w:val="none"/>
                      <w:lang w:val="en-US" w:eastAsia="zh-CN"/>
                    </w:rPr>
                    <w:t>39</w:t>
                  </w:r>
                </w:p>
              </w:tc>
              <w:tc>
                <w:tcPr>
                  <w:tcW w:w="386" w:type="pct"/>
                  <w:tcBorders>
                    <w:top w:val="single" w:color="auto" w:sz="4" w:space="0"/>
                  </w:tcBorders>
                  <w:vAlign w:val="center"/>
                </w:tcPr>
                <w:p w14:paraId="71C28AA7">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29" w:type="pct"/>
                  <w:tcBorders>
                    <w:top w:val="single" w:color="auto" w:sz="4" w:space="0"/>
                  </w:tcBorders>
                  <w:vAlign w:val="center"/>
                </w:tcPr>
                <w:p w14:paraId="74B1DF97">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op w:val="single" w:color="auto" w:sz="4" w:space="0"/>
                  </w:tcBorders>
                  <w:vAlign w:val="center"/>
                </w:tcPr>
                <w:p w14:paraId="7AE46A32">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266" w:type="pct"/>
                  <w:tcBorders>
                    <w:top w:val="single" w:color="auto" w:sz="4" w:space="0"/>
                  </w:tcBorders>
                  <w:vAlign w:val="center"/>
                </w:tcPr>
                <w:p w14:paraId="57377D77">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269" w:type="pct"/>
                  <w:tcBorders>
                    <w:top w:val="single" w:color="auto" w:sz="4" w:space="0"/>
                  </w:tcBorders>
                  <w:vAlign w:val="center"/>
                </w:tcPr>
                <w:p w14:paraId="743DE103">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06" w:type="pct"/>
                  <w:tcBorders>
                    <w:top w:val="single" w:color="auto" w:sz="4" w:space="0"/>
                  </w:tcBorders>
                  <w:vAlign w:val="center"/>
                </w:tcPr>
                <w:p w14:paraId="7A0B193F">
                  <w:pPr>
                    <w:adjustRightInd w:val="0"/>
                    <w:snapToGrid w:val="0"/>
                    <w:jc w:val="center"/>
                    <w:rPr>
                      <w:bCs/>
                      <w:color w:val="auto"/>
                      <w:kern w:val="21"/>
                      <w:sz w:val="21"/>
                      <w:szCs w:val="21"/>
                      <w:highlight w:val="none"/>
                    </w:rPr>
                  </w:pPr>
                  <w:r>
                    <w:rPr>
                      <w:rFonts w:hint="eastAsia"/>
                      <w:bCs/>
                      <w:color w:val="auto"/>
                      <w:kern w:val="21"/>
                      <w:sz w:val="21"/>
                      <w:szCs w:val="21"/>
                      <w:highlight w:val="none"/>
                    </w:rPr>
                    <w:t>达标</w:t>
                  </w:r>
                </w:p>
              </w:tc>
              <w:tc>
                <w:tcPr>
                  <w:tcW w:w="257" w:type="pct"/>
                  <w:tcBorders>
                    <w:top w:val="single" w:color="auto" w:sz="4" w:space="0"/>
                  </w:tcBorders>
                  <w:vAlign w:val="center"/>
                </w:tcPr>
                <w:p w14:paraId="4BFDF24D">
                  <w:pPr>
                    <w:adjustRightInd w:val="0"/>
                    <w:snapToGrid w:val="0"/>
                    <w:jc w:val="center"/>
                    <w:rPr>
                      <w:bCs/>
                      <w:color w:val="auto"/>
                      <w:kern w:val="21"/>
                      <w:sz w:val="21"/>
                      <w:szCs w:val="21"/>
                      <w:highlight w:val="none"/>
                    </w:rPr>
                  </w:pPr>
                  <w:r>
                    <w:rPr>
                      <w:rFonts w:hint="eastAsia"/>
                      <w:bCs/>
                      <w:color w:val="auto"/>
                      <w:kern w:val="21"/>
                      <w:sz w:val="21"/>
                      <w:szCs w:val="21"/>
                      <w:highlight w:val="none"/>
                    </w:rPr>
                    <w:t>达标</w:t>
                  </w:r>
                </w:p>
              </w:tc>
            </w:tr>
            <w:tr w14:paraId="37B44A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 w:type="pct"/>
                  <w:tcBorders>
                    <w:top w:val="single" w:color="auto" w:sz="4" w:space="0"/>
                    <w:bottom w:val="single" w:color="auto" w:sz="12" w:space="0"/>
                  </w:tcBorders>
                  <w:vAlign w:val="center"/>
                </w:tcPr>
                <w:p w14:paraId="34BD8870">
                  <w:pPr>
                    <w:adjustRightInd w:val="0"/>
                    <w:snapToGrid w:val="0"/>
                    <w:jc w:val="center"/>
                    <w:rPr>
                      <w:bCs/>
                      <w:color w:val="auto"/>
                      <w:kern w:val="21"/>
                      <w:sz w:val="21"/>
                      <w:szCs w:val="21"/>
                      <w:highlight w:val="none"/>
                    </w:rPr>
                  </w:pPr>
                  <w:r>
                    <w:rPr>
                      <w:rFonts w:hint="eastAsia"/>
                      <w:bCs/>
                      <w:color w:val="auto"/>
                      <w:kern w:val="21"/>
                      <w:sz w:val="21"/>
                      <w:szCs w:val="21"/>
                      <w:highlight w:val="none"/>
                    </w:rPr>
                    <w:t>4</w:t>
                  </w:r>
                </w:p>
              </w:tc>
              <w:tc>
                <w:tcPr>
                  <w:tcW w:w="404" w:type="pct"/>
                  <w:tcBorders>
                    <w:top w:val="single" w:color="auto" w:sz="4" w:space="0"/>
                    <w:bottom w:val="single" w:color="auto" w:sz="12" w:space="0"/>
                  </w:tcBorders>
                  <w:vAlign w:val="center"/>
                </w:tcPr>
                <w:p w14:paraId="0B5320BA">
                  <w:pPr>
                    <w:adjustRightInd w:val="0"/>
                    <w:snapToGrid w:val="0"/>
                    <w:jc w:val="center"/>
                    <w:rPr>
                      <w:bCs/>
                      <w:color w:val="auto"/>
                      <w:kern w:val="21"/>
                      <w:sz w:val="21"/>
                      <w:szCs w:val="21"/>
                      <w:highlight w:val="none"/>
                    </w:rPr>
                  </w:pPr>
                  <w:r>
                    <w:rPr>
                      <w:rFonts w:hint="eastAsia"/>
                      <w:bCs/>
                      <w:color w:val="auto"/>
                      <w:kern w:val="21"/>
                      <w:sz w:val="21"/>
                      <w:szCs w:val="21"/>
                      <w:highlight w:val="none"/>
                    </w:rPr>
                    <w:t>北厂界</w:t>
                  </w:r>
                </w:p>
              </w:tc>
              <w:tc>
                <w:tcPr>
                  <w:tcW w:w="329" w:type="pct"/>
                  <w:tcBorders>
                    <w:top w:val="single" w:color="auto" w:sz="4" w:space="0"/>
                    <w:bottom w:val="single" w:color="auto" w:sz="12" w:space="0"/>
                  </w:tcBorders>
                  <w:vAlign w:val="center"/>
                </w:tcPr>
                <w:p w14:paraId="4630A13B">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29" w:type="pct"/>
                  <w:tcBorders>
                    <w:top w:val="single" w:color="auto" w:sz="4" w:space="0"/>
                    <w:bottom w:val="single" w:color="auto" w:sz="12" w:space="0"/>
                  </w:tcBorders>
                  <w:vAlign w:val="center"/>
                </w:tcPr>
                <w:p w14:paraId="0CD7D193">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29" w:type="pct"/>
                  <w:tcBorders>
                    <w:top w:val="single" w:color="auto" w:sz="4" w:space="0"/>
                    <w:bottom w:val="single" w:color="auto" w:sz="12" w:space="0"/>
                  </w:tcBorders>
                  <w:vAlign w:val="center"/>
                </w:tcPr>
                <w:p w14:paraId="185D557C">
                  <w:pPr>
                    <w:widowControl/>
                    <w:jc w:val="center"/>
                    <w:textAlignment w:val="center"/>
                    <w:rPr>
                      <w:bCs/>
                      <w:color w:val="auto"/>
                      <w:kern w:val="21"/>
                      <w:sz w:val="21"/>
                      <w:szCs w:val="21"/>
                      <w:highlight w:val="none"/>
                    </w:rPr>
                  </w:pPr>
                  <w:r>
                    <w:rPr>
                      <w:color w:val="auto"/>
                      <w:szCs w:val="21"/>
                      <w:highlight w:val="none"/>
                    </w:rPr>
                    <w:t>/</w:t>
                  </w:r>
                </w:p>
              </w:tc>
              <w:tc>
                <w:tcPr>
                  <w:tcW w:w="329" w:type="pct"/>
                  <w:tcBorders>
                    <w:top w:val="single" w:color="auto" w:sz="4" w:space="0"/>
                    <w:bottom w:val="single" w:color="auto" w:sz="12" w:space="0"/>
                  </w:tcBorders>
                  <w:vAlign w:val="center"/>
                </w:tcPr>
                <w:p w14:paraId="718837BD">
                  <w:pPr>
                    <w:widowControl/>
                    <w:jc w:val="center"/>
                    <w:textAlignment w:val="center"/>
                    <w:rPr>
                      <w:bCs/>
                      <w:color w:val="auto"/>
                      <w:kern w:val="21"/>
                      <w:sz w:val="21"/>
                      <w:szCs w:val="21"/>
                      <w:highlight w:val="none"/>
                    </w:rPr>
                  </w:pPr>
                  <w:r>
                    <w:rPr>
                      <w:color w:val="auto"/>
                      <w:szCs w:val="21"/>
                      <w:highlight w:val="none"/>
                    </w:rPr>
                    <w:t>/</w:t>
                  </w:r>
                </w:p>
              </w:tc>
              <w:tc>
                <w:tcPr>
                  <w:tcW w:w="245" w:type="pct"/>
                  <w:tcBorders>
                    <w:top w:val="single" w:color="auto" w:sz="4" w:space="0"/>
                    <w:bottom w:val="single" w:color="auto" w:sz="12" w:space="0"/>
                  </w:tcBorders>
                  <w:vAlign w:val="center"/>
                </w:tcPr>
                <w:p w14:paraId="64CF8606">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zh-CN"/>
                    </w:rPr>
                    <w:t>65</w:t>
                  </w:r>
                </w:p>
              </w:tc>
              <w:tc>
                <w:tcPr>
                  <w:tcW w:w="248" w:type="pct"/>
                  <w:tcBorders>
                    <w:top w:val="single" w:color="auto" w:sz="4" w:space="0"/>
                    <w:bottom w:val="single" w:color="auto" w:sz="12" w:space="0"/>
                  </w:tcBorders>
                  <w:vAlign w:val="center"/>
                </w:tcPr>
                <w:p w14:paraId="3F0F649A">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op w:val="single" w:color="auto" w:sz="4" w:space="0"/>
                    <w:bottom w:val="single" w:color="auto" w:sz="12" w:space="0"/>
                  </w:tcBorders>
                  <w:vAlign w:val="center"/>
                </w:tcPr>
                <w:p w14:paraId="3CBD8E3B">
                  <w:pPr>
                    <w:adjustRightInd w:val="0"/>
                    <w:snapToGrid w:val="0"/>
                    <w:jc w:val="center"/>
                    <w:rPr>
                      <w:bCs/>
                      <w:color w:val="auto"/>
                      <w:kern w:val="21"/>
                      <w:sz w:val="21"/>
                      <w:szCs w:val="21"/>
                      <w:highlight w:val="none"/>
                    </w:rPr>
                  </w:pPr>
                  <w:r>
                    <w:rPr>
                      <w:rFonts w:hint="eastAsia"/>
                      <w:bCs/>
                      <w:color w:val="auto"/>
                      <w:kern w:val="21"/>
                      <w:sz w:val="21"/>
                      <w:szCs w:val="21"/>
                      <w:highlight w:val="none"/>
                      <w:lang w:val="en-US" w:eastAsia="zh-CN"/>
                    </w:rPr>
                    <w:t>4</w:t>
                  </w:r>
                  <w:r>
                    <w:rPr>
                      <w:bCs/>
                      <w:color w:val="auto"/>
                      <w:kern w:val="21"/>
                      <w:sz w:val="21"/>
                      <w:szCs w:val="21"/>
                      <w:highlight w:val="none"/>
                    </w:rPr>
                    <w:t>1.87</w:t>
                  </w:r>
                </w:p>
              </w:tc>
              <w:tc>
                <w:tcPr>
                  <w:tcW w:w="386" w:type="pct"/>
                  <w:tcBorders>
                    <w:top w:val="single" w:color="auto" w:sz="4" w:space="0"/>
                    <w:bottom w:val="single" w:color="auto" w:sz="12" w:space="0"/>
                  </w:tcBorders>
                  <w:vAlign w:val="center"/>
                </w:tcPr>
                <w:p w14:paraId="6403ACAD">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29" w:type="pct"/>
                  <w:tcBorders>
                    <w:top w:val="single" w:color="auto" w:sz="4" w:space="0"/>
                    <w:bottom w:val="single" w:color="auto" w:sz="12" w:space="0"/>
                  </w:tcBorders>
                  <w:vAlign w:val="center"/>
                </w:tcPr>
                <w:p w14:paraId="3C372846">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op w:val="single" w:color="auto" w:sz="4" w:space="0"/>
                    <w:bottom w:val="single" w:color="auto" w:sz="12" w:space="0"/>
                  </w:tcBorders>
                  <w:vAlign w:val="center"/>
                </w:tcPr>
                <w:p w14:paraId="53CA4EC4">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266" w:type="pct"/>
                  <w:tcBorders>
                    <w:top w:val="single" w:color="auto" w:sz="4" w:space="0"/>
                    <w:bottom w:val="single" w:color="auto" w:sz="12" w:space="0"/>
                  </w:tcBorders>
                  <w:vAlign w:val="center"/>
                </w:tcPr>
                <w:p w14:paraId="5B9D181F">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269" w:type="pct"/>
                  <w:tcBorders>
                    <w:top w:val="single" w:color="auto" w:sz="4" w:space="0"/>
                    <w:bottom w:val="single" w:color="auto" w:sz="12" w:space="0"/>
                  </w:tcBorders>
                  <w:vAlign w:val="center"/>
                </w:tcPr>
                <w:p w14:paraId="0BBF6D71">
                  <w:pPr>
                    <w:widowControl/>
                    <w:jc w:val="center"/>
                    <w:textAlignment w:val="center"/>
                    <w:rPr>
                      <w:bCs/>
                      <w:color w:val="auto"/>
                      <w:kern w:val="21"/>
                      <w:sz w:val="21"/>
                      <w:szCs w:val="21"/>
                      <w:highlight w:val="none"/>
                    </w:rPr>
                  </w:pPr>
                  <w:r>
                    <w:rPr>
                      <w:rFonts w:hint="default" w:ascii="Times New Roman" w:hAnsi="Times New Roman" w:cs="Times New Roman"/>
                      <w:color w:val="auto"/>
                      <w:sz w:val="21"/>
                      <w:szCs w:val="21"/>
                      <w:highlight w:val="none"/>
                      <w:lang w:val="en-US" w:eastAsia="zh-CN"/>
                    </w:rPr>
                    <w:t>/</w:t>
                  </w:r>
                </w:p>
              </w:tc>
              <w:tc>
                <w:tcPr>
                  <w:tcW w:w="306" w:type="pct"/>
                  <w:tcBorders>
                    <w:top w:val="single" w:color="auto" w:sz="4" w:space="0"/>
                    <w:bottom w:val="single" w:color="auto" w:sz="12" w:space="0"/>
                  </w:tcBorders>
                  <w:vAlign w:val="center"/>
                </w:tcPr>
                <w:p w14:paraId="7F0D1D4A">
                  <w:pPr>
                    <w:adjustRightInd w:val="0"/>
                    <w:snapToGrid w:val="0"/>
                    <w:jc w:val="center"/>
                    <w:rPr>
                      <w:bCs/>
                      <w:color w:val="auto"/>
                      <w:kern w:val="21"/>
                      <w:sz w:val="21"/>
                      <w:szCs w:val="21"/>
                      <w:highlight w:val="none"/>
                    </w:rPr>
                  </w:pPr>
                  <w:r>
                    <w:rPr>
                      <w:rFonts w:hint="eastAsia"/>
                      <w:bCs/>
                      <w:color w:val="auto"/>
                      <w:kern w:val="21"/>
                      <w:sz w:val="21"/>
                      <w:szCs w:val="21"/>
                      <w:highlight w:val="none"/>
                    </w:rPr>
                    <w:t>达标</w:t>
                  </w:r>
                </w:p>
              </w:tc>
              <w:tc>
                <w:tcPr>
                  <w:tcW w:w="257" w:type="pct"/>
                  <w:tcBorders>
                    <w:top w:val="single" w:color="auto" w:sz="4" w:space="0"/>
                    <w:bottom w:val="single" w:color="auto" w:sz="12" w:space="0"/>
                  </w:tcBorders>
                  <w:vAlign w:val="center"/>
                </w:tcPr>
                <w:p w14:paraId="4217F895">
                  <w:pPr>
                    <w:adjustRightInd w:val="0"/>
                    <w:snapToGrid w:val="0"/>
                    <w:jc w:val="center"/>
                    <w:rPr>
                      <w:bCs/>
                      <w:color w:val="auto"/>
                      <w:kern w:val="21"/>
                      <w:sz w:val="21"/>
                      <w:szCs w:val="21"/>
                      <w:highlight w:val="none"/>
                    </w:rPr>
                  </w:pPr>
                  <w:r>
                    <w:rPr>
                      <w:rFonts w:hint="eastAsia"/>
                      <w:bCs/>
                      <w:color w:val="auto"/>
                      <w:kern w:val="21"/>
                      <w:sz w:val="21"/>
                      <w:szCs w:val="21"/>
                      <w:highlight w:val="none"/>
                    </w:rPr>
                    <w:t>达标</w:t>
                  </w:r>
                </w:p>
              </w:tc>
            </w:tr>
          </w:tbl>
          <w:p w14:paraId="2C3330B4">
            <w:pPr>
              <w:adjustRightInd w:val="0"/>
              <w:snapToGrid w:val="0"/>
              <w:spacing w:line="360" w:lineRule="auto"/>
              <w:ind w:firstLine="480" w:firstLineChars="200"/>
              <w:rPr>
                <w:color w:val="auto"/>
                <w:sz w:val="24"/>
                <w:highlight w:val="none"/>
              </w:rPr>
            </w:pPr>
            <w:r>
              <w:rPr>
                <w:color w:val="auto"/>
                <w:sz w:val="24"/>
                <w:highlight w:val="none"/>
              </w:rPr>
              <w:t>本项目</w:t>
            </w:r>
            <w:r>
              <w:rPr>
                <w:rFonts w:hint="eastAsia"/>
                <w:color w:val="auto"/>
                <w:sz w:val="24"/>
                <w:highlight w:val="none"/>
                <w:lang w:eastAsia="zh-CN"/>
              </w:rPr>
              <w:t>只在昼间生产，夜间不生产。本项目</w:t>
            </w:r>
            <w:r>
              <w:rPr>
                <w:rFonts w:hint="eastAsia"/>
                <w:color w:val="auto"/>
                <w:sz w:val="24"/>
                <w:highlight w:val="none"/>
                <w:lang w:val="en-US" w:eastAsia="zh-CN"/>
              </w:rPr>
              <w:t>建成后，</w:t>
            </w:r>
            <w:r>
              <w:rPr>
                <w:color w:val="auto"/>
                <w:sz w:val="24"/>
                <w:highlight w:val="none"/>
              </w:rPr>
              <w:t>对厂界的噪声贡献值均满足《工业企业厂界环境噪声排放标准》（GB12348-2008）3类标准要求，即昼间≤65dB(A)，对周边声环境影响较小。</w:t>
            </w:r>
          </w:p>
          <w:p w14:paraId="181CBF7C">
            <w:pPr>
              <w:spacing w:line="360" w:lineRule="auto"/>
              <w:ind w:firstLine="482" w:firstLineChars="200"/>
              <w:rPr>
                <w:rFonts w:hint="default" w:ascii="Times New Roman" w:hAnsi="Times New Roman" w:cs="Times New Roman"/>
                <w:b/>
                <w:bCs/>
                <w:color w:val="auto"/>
                <w:sz w:val="24"/>
                <w:highlight w:val="none"/>
              </w:rPr>
            </w:pPr>
            <w:r>
              <w:rPr>
                <w:rFonts w:hint="eastAsia" w:ascii="Times New Roman" w:hAnsi="Times New Roman" w:cs="Times New Roman"/>
                <w:b/>
                <w:bCs/>
                <w:color w:val="auto"/>
                <w:sz w:val="24"/>
                <w:highlight w:val="none"/>
                <w:lang w:val="en-US" w:eastAsia="zh-CN"/>
              </w:rPr>
              <w:t>4、</w:t>
            </w:r>
            <w:r>
              <w:rPr>
                <w:rFonts w:hint="default" w:ascii="Times New Roman" w:hAnsi="Times New Roman" w:cs="Times New Roman"/>
                <w:b/>
                <w:bCs/>
                <w:color w:val="auto"/>
                <w:sz w:val="24"/>
                <w:highlight w:val="none"/>
              </w:rPr>
              <w:t>噪声防治措施及投资表</w:t>
            </w:r>
          </w:p>
          <w:p w14:paraId="41D35612">
            <w:pPr>
              <w:adjustRightInd w:val="0"/>
              <w:snapToGrid w:val="0"/>
              <w:spacing w:before="120" w:beforeLines="5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表4-1</w:t>
            </w:r>
            <w:r>
              <w:rPr>
                <w:rFonts w:hint="eastAsia" w:cs="Times New Roman"/>
                <w:b/>
                <w:bCs/>
                <w:color w:val="auto"/>
                <w:sz w:val="24"/>
                <w:highlight w:val="none"/>
                <w:lang w:val="en-US" w:eastAsia="zh-CN"/>
              </w:rPr>
              <w:t>4</w:t>
            </w:r>
            <w:r>
              <w:rPr>
                <w:rFonts w:hint="default" w:ascii="Times New Roman" w:hAnsi="Times New Roman" w:cs="Times New Roman"/>
                <w:b/>
                <w:bCs/>
                <w:color w:val="auto"/>
                <w:sz w:val="24"/>
                <w:highlight w:val="none"/>
              </w:rPr>
              <w:t xml:space="preserve"> 工业企业噪声防治措施及投资表</w:t>
            </w:r>
          </w:p>
          <w:tbl>
            <w:tblPr>
              <w:tblStyle w:val="3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36"/>
              <w:gridCol w:w="2657"/>
              <w:gridCol w:w="2657"/>
              <w:gridCol w:w="3312"/>
            </w:tblGrid>
            <w:tr w14:paraId="60A7C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pct"/>
                  <w:noWrap w:val="0"/>
                  <w:vAlign w:val="center"/>
                </w:tcPr>
                <w:p w14:paraId="1D4DDA5B">
                  <w:pPr>
                    <w:adjustRightInd w:val="0"/>
                    <w:snapToGrid w:val="0"/>
                    <w:spacing w:before="120" w:beforeLines="5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噪声防治措施名称（类型）</w:t>
                  </w:r>
                </w:p>
              </w:tc>
              <w:tc>
                <w:tcPr>
                  <w:tcW w:w="1066" w:type="pct"/>
                  <w:noWrap w:val="0"/>
                  <w:vAlign w:val="center"/>
                </w:tcPr>
                <w:p w14:paraId="2EB134D3">
                  <w:pPr>
                    <w:adjustRightInd w:val="0"/>
                    <w:snapToGrid w:val="0"/>
                    <w:spacing w:before="120" w:beforeLines="5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噪声防治措施规模</w:t>
                  </w:r>
                </w:p>
              </w:tc>
              <w:tc>
                <w:tcPr>
                  <w:tcW w:w="1066" w:type="pct"/>
                  <w:noWrap w:val="0"/>
                  <w:vAlign w:val="center"/>
                </w:tcPr>
                <w:p w14:paraId="5D8E11E4">
                  <w:pPr>
                    <w:adjustRightInd w:val="0"/>
                    <w:snapToGrid w:val="0"/>
                    <w:spacing w:before="120" w:beforeLines="5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噪声防治措施效果</w:t>
                  </w:r>
                </w:p>
              </w:tc>
              <w:tc>
                <w:tcPr>
                  <w:tcW w:w="1329" w:type="pct"/>
                  <w:noWrap w:val="0"/>
                  <w:vAlign w:val="center"/>
                </w:tcPr>
                <w:p w14:paraId="5EA8EEA6">
                  <w:pPr>
                    <w:adjustRightInd w:val="0"/>
                    <w:snapToGrid w:val="0"/>
                    <w:spacing w:before="120" w:beforeLines="5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噪声防治措施投资/万元</w:t>
                  </w:r>
                </w:p>
              </w:tc>
            </w:tr>
            <w:tr w14:paraId="6D9015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pct"/>
                  <w:noWrap w:val="0"/>
                  <w:vAlign w:val="center"/>
                </w:tcPr>
                <w:p w14:paraId="64534A52">
                  <w:pPr>
                    <w:adjustRightInd w:val="0"/>
                    <w:snapToGrid w:val="0"/>
                    <w:spacing w:before="120" w:beforeLines="5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优先选用低噪声设备，隔声垫，距离衰减</w:t>
                  </w:r>
                </w:p>
              </w:tc>
              <w:tc>
                <w:tcPr>
                  <w:tcW w:w="1066" w:type="pct"/>
                  <w:noWrap w:val="0"/>
                  <w:vAlign w:val="center"/>
                </w:tcPr>
                <w:p w14:paraId="560CF628">
                  <w:pPr>
                    <w:adjustRightInd w:val="0"/>
                    <w:snapToGrid w:val="0"/>
                    <w:spacing w:before="120" w:beforeLines="5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66" w:type="pct"/>
                  <w:noWrap w:val="0"/>
                  <w:vAlign w:val="center"/>
                </w:tcPr>
                <w:p w14:paraId="1A392DDC">
                  <w:pPr>
                    <w:adjustRightInd w:val="0"/>
                    <w:snapToGrid w:val="0"/>
                    <w:spacing w:before="120" w:beforeLines="5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≥25dB（A）</w:t>
                  </w:r>
                </w:p>
              </w:tc>
              <w:tc>
                <w:tcPr>
                  <w:tcW w:w="1329" w:type="pct"/>
                  <w:noWrap w:val="0"/>
                  <w:vAlign w:val="center"/>
                </w:tcPr>
                <w:p w14:paraId="704F8C41">
                  <w:pPr>
                    <w:adjustRightInd w:val="0"/>
                    <w:snapToGrid w:val="0"/>
                    <w:spacing w:before="120" w:beforeLines="50"/>
                    <w:jc w:val="center"/>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val="en-US" w:eastAsia="zh-CN"/>
                    </w:rPr>
                    <w:t>5</w:t>
                  </w:r>
                </w:p>
              </w:tc>
            </w:tr>
          </w:tbl>
          <w:p w14:paraId="3F258EA7">
            <w:pPr>
              <w:pStyle w:val="47"/>
              <w:rPr>
                <w:rFonts w:hAnsi="Times New Roman" w:cs="Times New Roman" w:eastAsiaTheme="minorEastAsia"/>
                <w:color w:val="auto"/>
                <w:highlight w:val="none"/>
              </w:rPr>
            </w:pPr>
          </w:p>
        </w:tc>
      </w:tr>
    </w:tbl>
    <w:p w14:paraId="27A0091A">
      <w:pPr>
        <w:adjustRightInd w:val="0"/>
        <w:snapToGrid w:val="0"/>
        <w:jc w:val="center"/>
        <w:rPr>
          <w:rFonts w:eastAsiaTheme="minorEastAsia"/>
          <w:b/>
          <w:bCs/>
          <w:color w:val="auto"/>
          <w:sz w:val="24"/>
          <w:highlight w:val="none"/>
        </w:rPr>
        <w:sectPr>
          <w:pgSz w:w="16840" w:h="11907" w:orient="landscape"/>
          <w:pgMar w:top="1531" w:right="1701" w:bottom="1531" w:left="2126" w:header="851" w:footer="851" w:gutter="0"/>
          <w:pgBorders>
            <w:top w:val="none" w:sz="0" w:space="0"/>
            <w:left w:val="none" w:sz="0" w:space="0"/>
            <w:bottom w:val="none" w:sz="0" w:space="0"/>
            <w:right w:val="none" w:sz="0" w:space="0"/>
          </w:pgBorders>
          <w:cols w:space="720" w:num="1"/>
          <w:docGrid w:linePitch="312" w:charSpace="0"/>
        </w:sectPr>
      </w:pPr>
    </w:p>
    <w:tbl>
      <w:tblPr>
        <w:tblStyle w:val="37"/>
        <w:tblW w:w="510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0"/>
        <w:gridCol w:w="8737"/>
      </w:tblGrid>
      <w:tr w14:paraId="4734A2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66" w:hRule="atLeast"/>
          <w:jc w:val="center"/>
        </w:trPr>
        <w:tc>
          <w:tcPr>
            <w:tcW w:w="240" w:type="pct"/>
            <w:tcMar>
              <w:left w:w="28" w:type="dxa"/>
              <w:right w:w="28" w:type="dxa"/>
            </w:tcMar>
            <w:vAlign w:val="center"/>
          </w:tcPr>
          <w:p w14:paraId="3A4D3DD2">
            <w:pPr>
              <w:adjustRightInd w:val="0"/>
              <w:snapToGrid w:val="0"/>
              <w:jc w:val="center"/>
              <w:rPr>
                <w:rFonts w:eastAsiaTheme="minorEastAsia"/>
                <w:b/>
                <w:bCs/>
                <w:color w:val="auto"/>
                <w:sz w:val="24"/>
                <w:highlight w:val="none"/>
              </w:rPr>
            </w:pPr>
            <w:r>
              <w:rPr>
                <w:rFonts w:eastAsiaTheme="minorEastAsia"/>
                <w:b/>
                <w:bCs/>
                <w:color w:val="auto"/>
                <w:sz w:val="24"/>
                <w:highlight w:val="none"/>
              </w:rPr>
              <w:t>运营</w:t>
            </w:r>
          </w:p>
          <w:p w14:paraId="32B5D63A">
            <w:pPr>
              <w:adjustRightInd w:val="0"/>
              <w:snapToGrid w:val="0"/>
              <w:jc w:val="center"/>
              <w:rPr>
                <w:rFonts w:eastAsiaTheme="minorEastAsia"/>
                <w:b/>
                <w:bCs/>
                <w:color w:val="auto"/>
                <w:sz w:val="24"/>
                <w:highlight w:val="none"/>
              </w:rPr>
            </w:pPr>
            <w:r>
              <w:rPr>
                <w:rFonts w:eastAsiaTheme="minorEastAsia"/>
                <w:b/>
                <w:bCs/>
                <w:color w:val="auto"/>
                <w:sz w:val="24"/>
                <w:highlight w:val="none"/>
              </w:rPr>
              <w:t>期环</w:t>
            </w:r>
          </w:p>
          <w:p w14:paraId="2ED6BB6F">
            <w:pPr>
              <w:adjustRightInd w:val="0"/>
              <w:snapToGrid w:val="0"/>
              <w:jc w:val="center"/>
              <w:rPr>
                <w:rFonts w:eastAsiaTheme="minorEastAsia"/>
                <w:b/>
                <w:bCs/>
                <w:color w:val="auto"/>
                <w:sz w:val="24"/>
                <w:highlight w:val="none"/>
              </w:rPr>
            </w:pPr>
            <w:r>
              <w:rPr>
                <w:rFonts w:eastAsiaTheme="minorEastAsia"/>
                <w:b/>
                <w:bCs/>
                <w:color w:val="auto"/>
                <w:sz w:val="24"/>
                <w:highlight w:val="none"/>
              </w:rPr>
              <w:t>境影</w:t>
            </w:r>
          </w:p>
          <w:p w14:paraId="5990B2B6">
            <w:pPr>
              <w:adjustRightInd w:val="0"/>
              <w:snapToGrid w:val="0"/>
              <w:jc w:val="center"/>
              <w:rPr>
                <w:rFonts w:eastAsiaTheme="minorEastAsia"/>
                <w:b/>
                <w:bCs/>
                <w:color w:val="auto"/>
                <w:sz w:val="24"/>
                <w:highlight w:val="none"/>
              </w:rPr>
            </w:pPr>
            <w:r>
              <w:rPr>
                <w:rFonts w:eastAsiaTheme="minorEastAsia"/>
                <w:b/>
                <w:bCs/>
                <w:color w:val="auto"/>
                <w:sz w:val="24"/>
                <w:highlight w:val="none"/>
              </w:rPr>
              <w:t>响和</w:t>
            </w:r>
          </w:p>
          <w:p w14:paraId="69FF8EB8">
            <w:pPr>
              <w:adjustRightInd w:val="0"/>
              <w:snapToGrid w:val="0"/>
              <w:jc w:val="center"/>
              <w:rPr>
                <w:rFonts w:eastAsiaTheme="minorEastAsia"/>
                <w:b/>
                <w:bCs/>
                <w:color w:val="auto"/>
                <w:sz w:val="24"/>
                <w:highlight w:val="none"/>
              </w:rPr>
            </w:pPr>
            <w:r>
              <w:rPr>
                <w:rFonts w:eastAsiaTheme="minorEastAsia"/>
                <w:b/>
                <w:bCs/>
                <w:color w:val="auto"/>
                <w:sz w:val="24"/>
                <w:highlight w:val="none"/>
              </w:rPr>
              <w:t>保护</w:t>
            </w:r>
          </w:p>
          <w:p w14:paraId="2D40EFE7">
            <w:pPr>
              <w:adjustRightInd w:val="0"/>
              <w:snapToGrid w:val="0"/>
              <w:jc w:val="center"/>
              <w:rPr>
                <w:rFonts w:eastAsiaTheme="minorEastAsia"/>
                <w:b/>
                <w:bCs/>
                <w:color w:val="auto"/>
                <w:sz w:val="24"/>
                <w:highlight w:val="none"/>
              </w:rPr>
            </w:pPr>
            <w:r>
              <w:rPr>
                <w:rFonts w:eastAsiaTheme="minorEastAsia"/>
                <w:b/>
                <w:bCs/>
                <w:color w:val="auto"/>
                <w:sz w:val="24"/>
                <w:highlight w:val="none"/>
              </w:rPr>
              <w:t>措施</w:t>
            </w:r>
          </w:p>
        </w:tc>
        <w:tc>
          <w:tcPr>
            <w:tcW w:w="4759" w:type="pct"/>
            <w:vAlign w:val="center"/>
          </w:tcPr>
          <w:p w14:paraId="748FD550">
            <w:pPr>
              <w:widowControl/>
              <w:adjustRightInd w:val="0"/>
              <w:snapToGrid w:val="0"/>
              <w:spacing w:before="120" w:beforeLines="50" w:line="360" w:lineRule="auto"/>
              <w:ind w:firstLine="482" w:firstLineChars="200"/>
              <w:jc w:val="left"/>
              <w:rPr>
                <w:rFonts w:eastAsiaTheme="minorEastAsia"/>
                <w:b/>
                <w:color w:val="auto"/>
                <w:kern w:val="0"/>
                <w:sz w:val="24"/>
                <w:highlight w:val="none"/>
                <w:lang w:bidi="en-US"/>
              </w:rPr>
            </w:pPr>
            <w:r>
              <w:rPr>
                <w:rFonts w:hint="eastAsia" w:eastAsiaTheme="minorEastAsia"/>
                <w:b/>
                <w:color w:val="auto"/>
                <w:kern w:val="0"/>
                <w:sz w:val="24"/>
                <w:highlight w:val="none"/>
                <w:lang w:val="en-US" w:eastAsia="zh-CN" w:bidi="en-US"/>
              </w:rPr>
              <w:t>5</w:t>
            </w:r>
            <w:r>
              <w:rPr>
                <w:rFonts w:eastAsiaTheme="minorEastAsia"/>
                <w:b/>
                <w:color w:val="auto"/>
                <w:kern w:val="0"/>
                <w:sz w:val="24"/>
                <w:highlight w:val="none"/>
                <w:lang w:bidi="en-US"/>
              </w:rPr>
              <w:t>、噪声源监测</w:t>
            </w:r>
          </w:p>
          <w:p w14:paraId="08B00C18">
            <w:pPr>
              <w:widowControl/>
              <w:adjustRightInd w:val="0"/>
              <w:snapToGrid w:val="0"/>
              <w:spacing w:line="360" w:lineRule="auto"/>
              <w:ind w:left="19" w:firstLine="472" w:firstLineChars="197"/>
              <w:jc w:val="left"/>
              <w:rPr>
                <w:rFonts w:eastAsiaTheme="minorEastAsia"/>
                <w:color w:val="auto"/>
                <w:kern w:val="0"/>
                <w:sz w:val="24"/>
                <w:highlight w:val="none"/>
              </w:rPr>
            </w:pPr>
            <w:r>
              <w:rPr>
                <w:rFonts w:eastAsiaTheme="minorEastAsia"/>
                <w:color w:val="auto"/>
                <w:kern w:val="0"/>
                <w:sz w:val="24"/>
                <w:highlight w:val="none"/>
              </w:rPr>
              <w:t>根据《排污单位自行监测技术指南 总则》（HJ 819-2017），结合项目特点，环境监测应包括对厂界噪声的例行监测。监测的实施可以根据实际情况由厂方自测或委托有资质的环境监测单位监测。</w:t>
            </w:r>
          </w:p>
          <w:p w14:paraId="5F6D7120">
            <w:pPr>
              <w:widowControl/>
              <w:adjustRightInd w:val="0"/>
              <w:snapToGrid w:val="0"/>
              <w:ind w:firstLine="482" w:firstLineChars="200"/>
              <w:jc w:val="center"/>
              <w:rPr>
                <w:rFonts w:eastAsiaTheme="minorEastAsia"/>
                <w:b/>
                <w:bCs/>
                <w:color w:val="auto"/>
                <w:kern w:val="0"/>
                <w:sz w:val="24"/>
                <w:highlight w:val="none"/>
                <w:lang w:bidi="en-US"/>
              </w:rPr>
            </w:pPr>
            <w:r>
              <w:rPr>
                <w:rFonts w:eastAsiaTheme="minorEastAsia"/>
                <w:b/>
                <w:bCs/>
                <w:color w:val="auto"/>
                <w:kern w:val="0"/>
                <w:sz w:val="24"/>
                <w:highlight w:val="none"/>
                <w:lang w:bidi="en-US"/>
              </w:rPr>
              <w:t>表4-</w:t>
            </w:r>
            <w:r>
              <w:rPr>
                <w:rFonts w:hint="eastAsia" w:eastAsiaTheme="minorEastAsia"/>
                <w:b/>
                <w:bCs/>
                <w:color w:val="auto"/>
                <w:kern w:val="0"/>
                <w:sz w:val="24"/>
                <w:highlight w:val="none"/>
                <w:lang w:bidi="en-US"/>
              </w:rPr>
              <w:t>1</w:t>
            </w:r>
            <w:r>
              <w:rPr>
                <w:rFonts w:hint="eastAsia" w:eastAsiaTheme="minorEastAsia"/>
                <w:b/>
                <w:bCs/>
                <w:color w:val="auto"/>
                <w:kern w:val="0"/>
                <w:sz w:val="24"/>
                <w:highlight w:val="none"/>
                <w:lang w:val="en-US" w:eastAsia="zh-CN" w:bidi="en-US"/>
              </w:rPr>
              <w:t>5</w:t>
            </w:r>
            <w:r>
              <w:rPr>
                <w:rFonts w:eastAsiaTheme="minorEastAsia"/>
                <w:b/>
                <w:bCs/>
                <w:color w:val="auto"/>
                <w:kern w:val="0"/>
                <w:sz w:val="24"/>
                <w:highlight w:val="none"/>
                <w:lang w:bidi="en-US"/>
              </w:rPr>
              <w:t xml:space="preserve">  </w:t>
            </w:r>
            <w:r>
              <w:rPr>
                <w:rFonts w:hint="eastAsia" w:eastAsiaTheme="minorEastAsia"/>
                <w:b/>
                <w:bCs/>
                <w:color w:val="auto"/>
                <w:kern w:val="0"/>
                <w:sz w:val="24"/>
                <w:highlight w:val="none"/>
                <w:lang w:val="en-US" w:eastAsia="zh-CN" w:bidi="en-US"/>
              </w:rPr>
              <w:t>本</w:t>
            </w:r>
            <w:r>
              <w:rPr>
                <w:rFonts w:eastAsiaTheme="minorEastAsia"/>
                <w:b/>
                <w:bCs/>
                <w:color w:val="auto"/>
                <w:kern w:val="0"/>
                <w:sz w:val="24"/>
                <w:highlight w:val="none"/>
                <w:lang w:bidi="en-US"/>
              </w:rPr>
              <w:t>项目噪声监测计划表</w:t>
            </w:r>
          </w:p>
          <w:tbl>
            <w:tblPr>
              <w:tblStyle w:val="3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1596"/>
              <w:gridCol w:w="1671"/>
              <w:gridCol w:w="1562"/>
              <w:gridCol w:w="3692"/>
            </w:tblGrid>
            <w:tr w14:paraId="5E61BB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936" w:type="pct"/>
                  <w:vAlign w:val="center"/>
                </w:tcPr>
                <w:p w14:paraId="61E55DA0">
                  <w:pPr>
                    <w:widowControl/>
                    <w:adjustRightInd w:val="0"/>
                    <w:snapToGrid w:val="0"/>
                    <w:jc w:val="center"/>
                    <w:rPr>
                      <w:rFonts w:eastAsiaTheme="minorEastAsia"/>
                      <w:b/>
                      <w:bCs/>
                      <w:color w:val="auto"/>
                      <w:kern w:val="0"/>
                      <w:szCs w:val="21"/>
                      <w:highlight w:val="none"/>
                      <w:lang w:bidi="en-US"/>
                    </w:rPr>
                  </w:pPr>
                  <w:r>
                    <w:rPr>
                      <w:rFonts w:eastAsiaTheme="minorEastAsia"/>
                      <w:b/>
                      <w:bCs/>
                      <w:color w:val="auto"/>
                      <w:kern w:val="0"/>
                      <w:szCs w:val="21"/>
                      <w:highlight w:val="none"/>
                      <w:lang w:bidi="en-US"/>
                    </w:rPr>
                    <w:t>监测点位</w:t>
                  </w:r>
                </w:p>
              </w:tc>
              <w:tc>
                <w:tcPr>
                  <w:tcW w:w="980" w:type="pct"/>
                  <w:vAlign w:val="center"/>
                </w:tcPr>
                <w:p w14:paraId="1D76029E">
                  <w:pPr>
                    <w:widowControl/>
                    <w:adjustRightInd w:val="0"/>
                    <w:snapToGrid w:val="0"/>
                    <w:jc w:val="center"/>
                    <w:rPr>
                      <w:rFonts w:eastAsiaTheme="minorEastAsia"/>
                      <w:b/>
                      <w:bCs/>
                      <w:color w:val="auto"/>
                      <w:kern w:val="0"/>
                      <w:szCs w:val="21"/>
                      <w:highlight w:val="none"/>
                      <w:lang w:bidi="en-US"/>
                    </w:rPr>
                  </w:pPr>
                  <w:r>
                    <w:rPr>
                      <w:rFonts w:eastAsiaTheme="minorEastAsia"/>
                      <w:b/>
                      <w:bCs/>
                      <w:color w:val="auto"/>
                      <w:kern w:val="0"/>
                      <w:szCs w:val="21"/>
                      <w:highlight w:val="none"/>
                      <w:lang w:bidi="en-US"/>
                    </w:rPr>
                    <w:t>监测指标</w:t>
                  </w:r>
                </w:p>
              </w:tc>
              <w:tc>
                <w:tcPr>
                  <w:tcW w:w="916" w:type="pct"/>
                  <w:vAlign w:val="center"/>
                </w:tcPr>
                <w:p w14:paraId="0E841E01">
                  <w:pPr>
                    <w:widowControl/>
                    <w:adjustRightInd w:val="0"/>
                    <w:snapToGrid w:val="0"/>
                    <w:jc w:val="center"/>
                    <w:rPr>
                      <w:rFonts w:eastAsiaTheme="minorEastAsia"/>
                      <w:b/>
                      <w:bCs/>
                      <w:color w:val="auto"/>
                      <w:kern w:val="0"/>
                      <w:szCs w:val="21"/>
                      <w:highlight w:val="none"/>
                      <w:lang w:bidi="en-US"/>
                    </w:rPr>
                  </w:pPr>
                  <w:r>
                    <w:rPr>
                      <w:rFonts w:eastAsiaTheme="minorEastAsia"/>
                      <w:b/>
                      <w:bCs/>
                      <w:color w:val="auto"/>
                      <w:kern w:val="0"/>
                      <w:szCs w:val="21"/>
                      <w:highlight w:val="none"/>
                      <w:lang w:bidi="en-US"/>
                    </w:rPr>
                    <w:t>监测频次</w:t>
                  </w:r>
                </w:p>
              </w:tc>
              <w:tc>
                <w:tcPr>
                  <w:tcW w:w="2166" w:type="pct"/>
                  <w:vAlign w:val="center"/>
                </w:tcPr>
                <w:p w14:paraId="07634060">
                  <w:pPr>
                    <w:widowControl/>
                    <w:adjustRightInd w:val="0"/>
                    <w:snapToGrid w:val="0"/>
                    <w:jc w:val="center"/>
                    <w:rPr>
                      <w:rFonts w:eastAsiaTheme="minorEastAsia"/>
                      <w:b/>
                      <w:bCs/>
                      <w:color w:val="auto"/>
                      <w:kern w:val="0"/>
                      <w:szCs w:val="21"/>
                      <w:highlight w:val="none"/>
                      <w:lang w:bidi="en-US"/>
                    </w:rPr>
                  </w:pPr>
                  <w:r>
                    <w:rPr>
                      <w:rFonts w:eastAsiaTheme="minorEastAsia"/>
                      <w:b/>
                      <w:bCs/>
                      <w:color w:val="auto"/>
                      <w:kern w:val="0"/>
                      <w:szCs w:val="21"/>
                      <w:highlight w:val="none"/>
                      <w:lang w:bidi="en-US"/>
                    </w:rPr>
                    <w:t>执行排放标准</w:t>
                  </w:r>
                </w:p>
              </w:tc>
            </w:tr>
            <w:tr w14:paraId="16BD7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936" w:type="pct"/>
                  <w:vAlign w:val="center"/>
                </w:tcPr>
                <w:p w14:paraId="7C203855">
                  <w:pPr>
                    <w:widowControl/>
                    <w:adjustRightInd w:val="0"/>
                    <w:snapToGrid w:val="0"/>
                    <w:jc w:val="center"/>
                    <w:rPr>
                      <w:rFonts w:eastAsiaTheme="minorEastAsia"/>
                      <w:color w:val="auto"/>
                      <w:kern w:val="0"/>
                      <w:szCs w:val="21"/>
                      <w:highlight w:val="none"/>
                      <w:lang w:bidi="en-US"/>
                    </w:rPr>
                  </w:pPr>
                  <w:r>
                    <w:rPr>
                      <w:rFonts w:eastAsiaTheme="minorEastAsia"/>
                      <w:color w:val="auto"/>
                      <w:kern w:val="0"/>
                      <w:szCs w:val="21"/>
                      <w:highlight w:val="none"/>
                      <w:lang w:bidi="en-US"/>
                    </w:rPr>
                    <w:t>厂界四周</w:t>
                  </w:r>
                </w:p>
              </w:tc>
              <w:tc>
                <w:tcPr>
                  <w:tcW w:w="980" w:type="pct"/>
                  <w:vAlign w:val="center"/>
                </w:tcPr>
                <w:p w14:paraId="27CA4703">
                  <w:pPr>
                    <w:widowControl/>
                    <w:adjustRightInd w:val="0"/>
                    <w:snapToGrid w:val="0"/>
                    <w:jc w:val="center"/>
                    <w:rPr>
                      <w:rFonts w:eastAsiaTheme="minorEastAsia"/>
                      <w:color w:val="auto"/>
                      <w:kern w:val="0"/>
                      <w:szCs w:val="21"/>
                      <w:highlight w:val="none"/>
                      <w:lang w:bidi="en-US"/>
                    </w:rPr>
                  </w:pPr>
                  <w:r>
                    <w:rPr>
                      <w:rFonts w:eastAsiaTheme="minorEastAsia"/>
                      <w:color w:val="auto"/>
                      <w:kern w:val="0"/>
                      <w:szCs w:val="21"/>
                      <w:highlight w:val="none"/>
                      <w:lang w:bidi="en-US"/>
                    </w:rPr>
                    <w:t>等效连续A声级</w:t>
                  </w:r>
                </w:p>
              </w:tc>
              <w:tc>
                <w:tcPr>
                  <w:tcW w:w="916" w:type="pct"/>
                  <w:vAlign w:val="center"/>
                </w:tcPr>
                <w:p w14:paraId="4CE99B67">
                  <w:pPr>
                    <w:widowControl/>
                    <w:adjustRightInd w:val="0"/>
                    <w:snapToGrid w:val="0"/>
                    <w:jc w:val="center"/>
                    <w:rPr>
                      <w:rFonts w:eastAsiaTheme="minorEastAsia"/>
                      <w:color w:val="auto"/>
                      <w:kern w:val="0"/>
                      <w:szCs w:val="21"/>
                      <w:highlight w:val="none"/>
                      <w:lang w:bidi="en-US"/>
                    </w:rPr>
                  </w:pPr>
                  <w:r>
                    <w:rPr>
                      <w:rFonts w:eastAsiaTheme="minorEastAsia"/>
                      <w:color w:val="auto"/>
                      <w:kern w:val="0"/>
                      <w:szCs w:val="21"/>
                      <w:highlight w:val="none"/>
                      <w:lang w:bidi="en-US"/>
                    </w:rPr>
                    <w:t>1次/季度</w:t>
                  </w:r>
                </w:p>
              </w:tc>
              <w:tc>
                <w:tcPr>
                  <w:tcW w:w="2166" w:type="pct"/>
                  <w:vAlign w:val="center"/>
                </w:tcPr>
                <w:p w14:paraId="3B104F3F">
                  <w:pPr>
                    <w:widowControl/>
                    <w:adjustRightInd w:val="0"/>
                    <w:snapToGrid w:val="0"/>
                    <w:jc w:val="center"/>
                    <w:rPr>
                      <w:rFonts w:eastAsiaTheme="minorEastAsia"/>
                      <w:color w:val="auto"/>
                      <w:kern w:val="0"/>
                      <w:szCs w:val="21"/>
                      <w:highlight w:val="none"/>
                      <w:lang w:bidi="en-US"/>
                    </w:rPr>
                  </w:pPr>
                  <w:r>
                    <w:rPr>
                      <w:rFonts w:eastAsiaTheme="minorEastAsia"/>
                      <w:color w:val="auto"/>
                      <w:kern w:val="0"/>
                      <w:szCs w:val="21"/>
                      <w:highlight w:val="none"/>
                      <w:lang w:bidi="en-US"/>
                    </w:rPr>
                    <w:t>《工业企业厂界环境噪声排放标准》（GB12348-2008）中的3类标准</w:t>
                  </w:r>
                </w:p>
              </w:tc>
            </w:tr>
          </w:tbl>
          <w:p w14:paraId="1DD1624D">
            <w:pPr>
              <w:widowControl/>
              <w:autoSpaceDE w:val="0"/>
              <w:autoSpaceDN w:val="0"/>
              <w:adjustRightInd w:val="0"/>
              <w:snapToGrid w:val="0"/>
              <w:spacing w:before="120" w:beforeLines="50" w:line="360" w:lineRule="auto"/>
              <w:jc w:val="left"/>
              <w:rPr>
                <w:rFonts w:eastAsiaTheme="minorEastAsia"/>
                <w:b/>
                <w:color w:val="auto"/>
                <w:kern w:val="0"/>
                <w:sz w:val="24"/>
                <w:highlight w:val="none"/>
              </w:rPr>
            </w:pPr>
            <w:r>
              <w:rPr>
                <w:rFonts w:eastAsiaTheme="minorEastAsia"/>
                <w:b/>
                <w:color w:val="auto"/>
                <w:kern w:val="0"/>
                <w:sz w:val="24"/>
                <w:highlight w:val="none"/>
              </w:rPr>
              <w:t>（四）固体废物</w:t>
            </w:r>
          </w:p>
          <w:p w14:paraId="29AE2A4F">
            <w:pPr>
              <w:widowControl/>
              <w:autoSpaceDE w:val="0"/>
              <w:autoSpaceDN w:val="0"/>
              <w:adjustRightInd w:val="0"/>
              <w:snapToGrid w:val="0"/>
              <w:spacing w:line="360" w:lineRule="auto"/>
              <w:ind w:firstLine="482" w:firstLineChars="200"/>
              <w:jc w:val="left"/>
              <w:rPr>
                <w:rFonts w:eastAsiaTheme="minorEastAsia"/>
                <w:b/>
                <w:color w:val="auto"/>
                <w:kern w:val="0"/>
                <w:sz w:val="24"/>
                <w:highlight w:val="none"/>
              </w:rPr>
            </w:pPr>
            <w:r>
              <w:rPr>
                <w:rFonts w:eastAsiaTheme="minorEastAsia"/>
                <w:b/>
                <w:color w:val="auto"/>
                <w:kern w:val="0"/>
                <w:sz w:val="24"/>
                <w:highlight w:val="none"/>
              </w:rPr>
              <w:t>1、固体废物产生环节及源强分析</w:t>
            </w:r>
          </w:p>
          <w:p w14:paraId="5D8A29FD">
            <w:pPr>
              <w:widowControl/>
              <w:adjustRightInd w:val="0"/>
              <w:snapToGrid w:val="0"/>
              <w:spacing w:line="360" w:lineRule="auto"/>
              <w:ind w:firstLine="480" w:firstLineChars="200"/>
              <w:jc w:val="left"/>
              <w:rPr>
                <w:rFonts w:eastAsiaTheme="minorEastAsia"/>
                <w:bCs/>
                <w:color w:val="auto"/>
                <w:kern w:val="0"/>
                <w:sz w:val="24"/>
                <w:highlight w:val="none"/>
                <w:lang w:bidi="en-US"/>
              </w:rPr>
            </w:pPr>
            <w:r>
              <w:rPr>
                <w:rFonts w:hint="eastAsia" w:eastAsiaTheme="minorEastAsia"/>
                <w:bCs/>
                <w:color w:val="auto"/>
                <w:kern w:val="0"/>
                <w:sz w:val="24"/>
                <w:szCs w:val="24"/>
                <w:highlight w:val="none"/>
                <w:lang w:val="en-US" w:eastAsia="zh-CN" w:bidi="en-US"/>
              </w:rPr>
              <w:t>本</w:t>
            </w:r>
            <w:r>
              <w:rPr>
                <w:rFonts w:eastAsiaTheme="minorEastAsia"/>
                <w:bCs/>
                <w:color w:val="auto"/>
                <w:kern w:val="0"/>
                <w:sz w:val="24"/>
                <w:szCs w:val="24"/>
                <w:highlight w:val="none"/>
                <w:lang w:bidi="en-US"/>
              </w:rPr>
              <w:t>项目营运期间产生的固体废物主要为废</w:t>
            </w:r>
            <w:r>
              <w:rPr>
                <w:rFonts w:hint="eastAsia" w:eastAsiaTheme="minorEastAsia"/>
                <w:bCs/>
                <w:color w:val="auto"/>
                <w:kern w:val="0"/>
                <w:sz w:val="24"/>
                <w:szCs w:val="24"/>
                <w:highlight w:val="none"/>
                <w:lang w:eastAsia="zh-CN" w:bidi="en-US"/>
              </w:rPr>
              <w:t>润滑</w:t>
            </w:r>
            <w:r>
              <w:rPr>
                <w:rFonts w:eastAsiaTheme="minorEastAsia"/>
                <w:bCs/>
                <w:color w:val="auto"/>
                <w:kern w:val="0"/>
                <w:sz w:val="24"/>
                <w:szCs w:val="24"/>
                <w:highlight w:val="none"/>
                <w:lang w:bidi="en-US"/>
              </w:rPr>
              <w:t>油、废包装</w:t>
            </w:r>
            <w:r>
              <w:rPr>
                <w:rFonts w:hint="eastAsia" w:eastAsiaTheme="minorEastAsia"/>
                <w:bCs/>
                <w:color w:val="auto"/>
                <w:kern w:val="0"/>
                <w:sz w:val="24"/>
                <w:highlight w:val="none"/>
                <w:lang w:eastAsia="zh-CN" w:bidi="en-US"/>
              </w:rPr>
              <w:t>桶</w:t>
            </w:r>
            <w:r>
              <w:rPr>
                <w:rFonts w:hint="eastAsia" w:eastAsiaTheme="minorEastAsia"/>
                <w:bCs/>
                <w:color w:val="auto"/>
                <w:kern w:val="0"/>
                <w:sz w:val="24"/>
                <w:highlight w:val="none"/>
                <w:lang w:val="en-US" w:eastAsia="zh-CN" w:bidi="en-US"/>
              </w:rPr>
              <w:t>/瓶</w:t>
            </w:r>
            <w:r>
              <w:rPr>
                <w:rFonts w:hint="eastAsia" w:eastAsiaTheme="minorEastAsia"/>
                <w:bCs/>
                <w:color w:val="auto"/>
                <w:kern w:val="0"/>
                <w:sz w:val="24"/>
                <w:szCs w:val="24"/>
                <w:highlight w:val="none"/>
                <w:lang w:val="en-US" w:eastAsia="zh-CN" w:bidi="en-US"/>
              </w:rPr>
              <w:t>、废油桶、废包装材料（未沾染）、废镀膜材料、废无尘纸/布和生活垃圾</w:t>
            </w:r>
            <w:r>
              <w:rPr>
                <w:rFonts w:eastAsiaTheme="minorEastAsia"/>
                <w:bCs/>
                <w:color w:val="auto"/>
                <w:kern w:val="0"/>
                <w:sz w:val="24"/>
                <w:highlight w:val="none"/>
                <w:lang w:bidi="en-US"/>
              </w:rPr>
              <w:t>，产生情况如下：</w:t>
            </w:r>
          </w:p>
          <w:p w14:paraId="40F5D92B">
            <w:pPr>
              <w:widowControl/>
              <w:numPr>
                <w:ilvl w:val="0"/>
                <w:numId w:val="8"/>
              </w:numPr>
              <w:adjustRightInd w:val="0"/>
              <w:snapToGrid w:val="0"/>
              <w:spacing w:line="360" w:lineRule="auto"/>
              <w:ind w:left="150" w:leftChars="0" w:firstLine="480" w:firstLineChars="0"/>
              <w:jc w:val="left"/>
              <w:rPr>
                <w:rFonts w:eastAsiaTheme="minorEastAsia"/>
                <w:bCs/>
                <w:color w:val="auto"/>
                <w:kern w:val="0"/>
                <w:sz w:val="24"/>
                <w:highlight w:val="none"/>
                <w:lang w:bidi="en-US"/>
              </w:rPr>
            </w:pPr>
            <w:r>
              <w:rPr>
                <w:rFonts w:eastAsiaTheme="minorEastAsia"/>
                <w:bCs/>
                <w:color w:val="auto"/>
                <w:kern w:val="0"/>
                <w:sz w:val="24"/>
                <w:highlight w:val="none"/>
                <w:lang w:bidi="en-US"/>
              </w:rPr>
              <w:t>废</w:t>
            </w:r>
            <w:r>
              <w:rPr>
                <w:rFonts w:hint="eastAsia" w:eastAsiaTheme="minorEastAsia"/>
                <w:bCs/>
                <w:color w:val="auto"/>
                <w:kern w:val="0"/>
                <w:sz w:val="24"/>
                <w:highlight w:val="none"/>
                <w:lang w:eastAsia="zh-CN" w:bidi="en-US"/>
              </w:rPr>
              <w:t>润滑油</w:t>
            </w:r>
          </w:p>
          <w:p w14:paraId="435218E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eastAsiaTheme="minorEastAsia"/>
                <w:bCs/>
                <w:color w:val="auto"/>
                <w:kern w:val="0"/>
                <w:sz w:val="24"/>
                <w:highlight w:val="none"/>
                <w:lang w:bidi="en-US"/>
              </w:rPr>
            </w:pPr>
            <w:r>
              <w:rPr>
                <w:rFonts w:hint="eastAsia" w:eastAsiaTheme="minorEastAsia"/>
                <w:bCs/>
                <w:color w:val="auto"/>
                <w:kern w:val="0"/>
                <w:sz w:val="24"/>
                <w:highlight w:val="none"/>
                <w:lang w:val="en-US" w:eastAsia="zh-CN" w:bidi="en-US"/>
              </w:rPr>
              <w:t>本</w:t>
            </w:r>
            <w:r>
              <w:rPr>
                <w:rFonts w:eastAsiaTheme="minorEastAsia"/>
                <w:bCs/>
                <w:color w:val="auto"/>
                <w:kern w:val="0"/>
                <w:sz w:val="24"/>
                <w:highlight w:val="none"/>
                <w:lang w:bidi="en-US"/>
              </w:rPr>
              <w:t>项目在</w:t>
            </w:r>
            <w:r>
              <w:rPr>
                <w:rFonts w:hint="eastAsia" w:eastAsiaTheme="minorEastAsia"/>
                <w:bCs/>
                <w:color w:val="auto"/>
                <w:kern w:val="0"/>
                <w:sz w:val="24"/>
                <w:highlight w:val="none"/>
                <w:lang w:eastAsia="zh-CN" w:bidi="en-US"/>
              </w:rPr>
              <w:t>设备维修过程使用润滑油，</w:t>
            </w:r>
            <w:r>
              <w:rPr>
                <w:rFonts w:hint="eastAsia" w:eastAsiaTheme="minorEastAsia"/>
                <w:bCs/>
                <w:color w:val="FF0000"/>
                <w:kern w:val="0"/>
                <w:sz w:val="24"/>
                <w:lang w:val="en-US" w:eastAsia="zh-CN" w:bidi="en-US"/>
              </w:rPr>
              <w:t>项目废润滑油的产生量约占5%原料量，</w:t>
            </w:r>
            <w:r>
              <w:rPr>
                <w:rFonts w:eastAsiaTheme="minorEastAsia"/>
                <w:bCs/>
                <w:color w:val="auto"/>
                <w:kern w:val="0"/>
                <w:sz w:val="24"/>
                <w:highlight w:val="none"/>
                <w:lang w:bidi="en-US"/>
              </w:rPr>
              <w:t>产生量约为</w:t>
            </w:r>
            <w:r>
              <w:rPr>
                <w:rFonts w:hint="eastAsia" w:eastAsiaTheme="minorEastAsia"/>
                <w:bCs/>
                <w:color w:val="auto"/>
                <w:kern w:val="0"/>
                <w:sz w:val="24"/>
                <w:highlight w:val="none"/>
                <w:lang w:val="en-US" w:eastAsia="zh-CN" w:bidi="en-US"/>
              </w:rPr>
              <w:t>0.01</w:t>
            </w:r>
            <w:r>
              <w:rPr>
                <w:rFonts w:eastAsiaTheme="minorEastAsia"/>
                <w:bCs/>
                <w:color w:val="auto"/>
                <w:kern w:val="0"/>
                <w:sz w:val="24"/>
                <w:highlight w:val="none"/>
                <w:lang w:bidi="en-US"/>
              </w:rPr>
              <w:t>t/a</w:t>
            </w:r>
            <w:r>
              <w:rPr>
                <w:rFonts w:hint="eastAsia" w:eastAsiaTheme="minorEastAsia"/>
                <w:bCs/>
                <w:color w:val="auto"/>
                <w:kern w:val="0"/>
                <w:sz w:val="24"/>
                <w:highlight w:val="none"/>
                <w:lang w:eastAsia="zh-CN" w:bidi="en-US"/>
              </w:rPr>
              <w:t>。</w:t>
            </w:r>
            <w:r>
              <w:rPr>
                <w:rFonts w:eastAsiaTheme="minorEastAsia"/>
                <w:bCs/>
                <w:color w:val="auto"/>
                <w:kern w:val="0"/>
                <w:sz w:val="24"/>
                <w:highlight w:val="none"/>
                <w:lang w:bidi="en-US"/>
              </w:rPr>
              <w:t>对照</w:t>
            </w:r>
            <w:r>
              <w:rPr>
                <w:rFonts w:eastAsiaTheme="minorEastAsia"/>
                <w:bCs/>
                <w:color w:val="0070C0"/>
                <w:kern w:val="0"/>
                <w:sz w:val="24"/>
                <w:highlight w:val="none"/>
                <w:lang w:bidi="en-US"/>
              </w:rPr>
              <w:t>《国家危险废物名录》（</w:t>
            </w:r>
            <w:r>
              <w:commentReference w:id="13"/>
            </w:r>
            <w:r>
              <w:rPr>
                <w:rFonts w:eastAsiaTheme="minorEastAsia"/>
                <w:bCs/>
                <w:color w:val="0070C0"/>
                <w:kern w:val="0"/>
                <w:sz w:val="24"/>
                <w:highlight w:val="none"/>
                <w:lang w:bidi="en-US"/>
              </w:rPr>
              <w:t>202</w:t>
            </w:r>
            <w:r>
              <w:rPr>
                <w:rFonts w:hint="eastAsia" w:eastAsiaTheme="minorEastAsia"/>
                <w:bCs/>
                <w:color w:val="0070C0"/>
                <w:kern w:val="0"/>
                <w:sz w:val="24"/>
                <w:highlight w:val="none"/>
                <w:lang w:val="en-US" w:eastAsia="zh-CN" w:bidi="en-US"/>
              </w:rPr>
              <w:t>5</w:t>
            </w:r>
            <w:r>
              <w:rPr>
                <w:rFonts w:eastAsiaTheme="minorEastAsia"/>
                <w:bCs/>
                <w:color w:val="0070C0"/>
                <w:kern w:val="0"/>
                <w:sz w:val="24"/>
                <w:highlight w:val="none"/>
                <w:lang w:bidi="en-US"/>
              </w:rPr>
              <w:t>年版）</w:t>
            </w:r>
            <w:r>
              <w:rPr>
                <w:rFonts w:eastAsiaTheme="minorEastAsia"/>
                <w:bCs/>
                <w:color w:val="auto"/>
                <w:kern w:val="0"/>
                <w:sz w:val="24"/>
                <w:highlight w:val="none"/>
                <w:lang w:bidi="en-US"/>
              </w:rPr>
              <w:t>，</w:t>
            </w:r>
            <w:r>
              <w:rPr>
                <w:rFonts w:hint="eastAsia" w:ascii="Times New Roman" w:hAnsi="Times New Roman" w:cs="Times New Roman" w:eastAsiaTheme="minorEastAsia"/>
                <w:bCs/>
                <w:color w:val="auto"/>
                <w:kern w:val="0"/>
                <w:sz w:val="24"/>
                <w:highlight w:val="none"/>
                <w:lang w:val="en-US" w:eastAsia="zh-CN" w:bidi="en-US"/>
              </w:rPr>
              <w:t>废矿物油属于危险废物，危废代码为900-</w:t>
            </w:r>
            <w:r>
              <w:rPr>
                <w:rFonts w:hint="eastAsia" w:cs="Times New Roman" w:eastAsiaTheme="minorEastAsia"/>
                <w:bCs/>
                <w:color w:val="auto"/>
                <w:kern w:val="0"/>
                <w:sz w:val="24"/>
                <w:highlight w:val="none"/>
                <w:lang w:val="en-US" w:eastAsia="zh-CN" w:bidi="en-US"/>
              </w:rPr>
              <w:t>214</w:t>
            </w:r>
            <w:r>
              <w:rPr>
                <w:rFonts w:hint="eastAsia" w:ascii="Times New Roman" w:hAnsi="Times New Roman" w:cs="Times New Roman" w:eastAsiaTheme="minorEastAsia"/>
                <w:bCs/>
                <w:color w:val="auto"/>
                <w:kern w:val="0"/>
                <w:sz w:val="24"/>
                <w:highlight w:val="none"/>
                <w:lang w:val="en-US" w:eastAsia="zh-CN" w:bidi="en-US"/>
              </w:rPr>
              <w:t>-08，收集后需委托有资质的单位处理</w:t>
            </w:r>
            <w:r>
              <w:rPr>
                <w:rFonts w:eastAsiaTheme="minorEastAsia"/>
                <w:bCs/>
                <w:color w:val="auto"/>
                <w:kern w:val="0"/>
                <w:sz w:val="24"/>
                <w:highlight w:val="none"/>
                <w:lang w:bidi="en-US"/>
              </w:rPr>
              <w:t>。</w:t>
            </w:r>
          </w:p>
          <w:p w14:paraId="65AD4377">
            <w:pPr>
              <w:widowControl/>
              <w:numPr>
                <w:ilvl w:val="0"/>
                <w:numId w:val="8"/>
              </w:numPr>
              <w:adjustRightInd w:val="0"/>
              <w:snapToGrid w:val="0"/>
              <w:spacing w:line="360" w:lineRule="auto"/>
              <w:ind w:left="150" w:leftChars="0" w:firstLine="480" w:firstLineChars="0"/>
              <w:jc w:val="left"/>
              <w:rPr>
                <w:rFonts w:eastAsiaTheme="minorEastAsia"/>
                <w:bCs/>
                <w:color w:val="auto"/>
                <w:kern w:val="0"/>
                <w:sz w:val="24"/>
                <w:highlight w:val="none"/>
                <w:lang w:bidi="en-US"/>
              </w:rPr>
            </w:pPr>
            <w:r>
              <w:rPr>
                <w:rFonts w:eastAsiaTheme="minorEastAsia"/>
                <w:bCs/>
                <w:color w:val="auto"/>
                <w:kern w:val="0"/>
                <w:sz w:val="24"/>
                <w:highlight w:val="none"/>
                <w:lang w:bidi="en-US"/>
              </w:rPr>
              <w:t>废包装</w:t>
            </w:r>
            <w:r>
              <w:rPr>
                <w:rFonts w:hint="eastAsia" w:eastAsiaTheme="minorEastAsia"/>
                <w:bCs/>
                <w:color w:val="auto"/>
                <w:kern w:val="0"/>
                <w:sz w:val="24"/>
                <w:highlight w:val="none"/>
                <w:lang w:val="en-US" w:eastAsia="zh-CN" w:bidi="en-US"/>
              </w:rPr>
              <w:t>瓶、废油桶</w:t>
            </w:r>
          </w:p>
          <w:p w14:paraId="0219282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eastAsiaTheme="minorEastAsia"/>
                <w:bCs/>
                <w:color w:val="auto"/>
                <w:kern w:val="0"/>
                <w:sz w:val="24"/>
                <w:highlight w:val="none"/>
                <w:lang w:bidi="en-US"/>
              </w:rPr>
            </w:pPr>
            <w:r>
              <w:rPr>
                <w:rFonts w:hint="eastAsia" w:eastAsiaTheme="minorEastAsia"/>
                <w:bCs/>
                <w:color w:val="auto"/>
                <w:kern w:val="0"/>
                <w:sz w:val="24"/>
                <w:highlight w:val="none"/>
                <w:lang w:val="en-US" w:eastAsia="zh-CN" w:bidi="en-US"/>
              </w:rPr>
              <w:t>项目生产过程中产生废包装瓶</w:t>
            </w:r>
            <w:r>
              <w:rPr>
                <w:rFonts w:eastAsiaTheme="minorEastAsia"/>
                <w:bCs/>
                <w:color w:val="auto"/>
                <w:kern w:val="0"/>
                <w:sz w:val="24"/>
                <w:highlight w:val="none"/>
                <w:lang w:bidi="en-US"/>
              </w:rPr>
              <w:t>，</w:t>
            </w:r>
            <w:r>
              <w:rPr>
                <w:rFonts w:hint="eastAsia" w:eastAsiaTheme="minorEastAsia"/>
                <w:bCs/>
                <w:color w:val="auto"/>
                <w:kern w:val="0"/>
                <w:sz w:val="24"/>
                <w:highlight w:val="none"/>
                <w:lang w:eastAsia="zh-CN" w:bidi="en-US"/>
              </w:rPr>
              <w:t>主要包括光学专用胶包装瓶、润滑油包装桶、清洗剂包装瓶等。</w:t>
            </w:r>
            <w:r>
              <w:rPr>
                <w:rFonts w:hint="eastAsia" w:eastAsiaTheme="minorEastAsia"/>
                <w:bCs/>
                <w:color w:val="FF0000"/>
                <w:kern w:val="0"/>
                <w:sz w:val="24"/>
                <w:highlight w:val="none"/>
                <w:lang w:val="en-US" w:eastAsia="zh-CN" w:bidi="en-US"/>
              </w:rPr>
              <w:t>根据桶装原辅料年用量计算可知</w:t>
            </w:r>
            <w:r>
              <w:rPr>
                <w:rFonts w:hint="eastAsia" w:eastAsiaTheme="minorEastAsia"/>
                <w:bCs/>
                <w:color w:val="auto"/>
                <w:kern w:val="0"/>
                <w:sz w:val="24"/>
                <w:highlight w:val="none"/>
                <w:lang w:eastAsia="zh-CN" w:bidi="en-US"/>
              </w:rPr>
              <w:t>，废包装</w:t>
            </w:r>
            <w:r>
              <w:rPr>
                <w:rFonts w:hint="eastAsia" w:eastAsiaTheme="minorEastAsia"/>
                <w:bCs/>
                <w:color w:val="auto"/>
                <w:kern w:val="0"/>
                <w:sz w:val="24"/>
                <w:highlight w:val="none"/>
                <w:lang w:val="en-US" w:eastAsia="zh-CN" w:bidi="en-US"/>
              </w:rPr>
              <w:t>瓶</w:t>
            </w:r>
            <w:r>
              <w:rPr>
                <w:rFonts w:hint="eastAsia" w:eastAsiaTheme="minorEastAsia"/>
                <w:bCs/>
                <w:color w:val="auto"/>
                <w:kern w:val="0"/>
                <w:sz w:val="24"/>
                <w:highlight w:val="none"/>
                <w:lang w:eastAsia="zh-CN" w:bidi="en-US"/>
              </w:rPr>
              <w:t>产生量约0.</w:t>
            </w:r>
            <w:r>
              <w:rPr>
                <w:rFonts w:hint="eastAsia" w:eastAsiaTheme="minorEastAsia"/>
                <w:bCs/>
                <w:color w:val="auto"/>
                <w:kern w:val="0"/>
                <w:sz w:val="24"/>
                <w:highlight w:val="none"/>
                <w:lang w:val="en-US" w:eastAsia="zh-CN" w:bidi="en-US"/>
              </w:rPr>
              <w:t>02</w:t>
            </w:r>
            <w:r>
              <w:rPr>
                <w:rFonts w:hint="eastAsia" w:eastAsiaTheme="minorEastAsia"/>
                <w:bCs/>
                <w:color w:val="auto"/>
                <w:kern w:val="0"/>
                <w:sz w:val="24"/>
                <w:highlight w:val="none"/>
                <w:lang w:eastAsia="zh-CN" w:bidi="en-US"/>
              </w:rPr>
              <w:t>t</w:t>
            </w:r>
            <w:r>
              <w:rPr>
                <w:rFonts w:hint="eastAsia" w:eastAsiaTheme="minorEastAsia"/>
                <w:bCs/>
                <w:color w:val="auto"/>
                <w:kern w:val="0"/>
                <w:sz w:val="24"/>
                <w:highlight w:val="none"/>
                <w:lang w:val="en-US" w:eastAsia="zh-CN" w:bidi="en-US"/>
              </w:rPr>
              <w:t>/a（</w:t>
            </w:r>
            <w:r>
              <w:rPr>
                <w:rFonts w:hint="eastAsia" w:ascii="Times New Roman" w:hAnsi="Times New Roman" w:cs="Times New Roman" w:eastAsiaTheme="minorEastAsia"/>
                <w:bCs/>
                <w:color w:val="auto"/>
                <w:kern w:val="0"/>
                <w:sz w:val="24"/>
                <w:highlight w:val="none"/>
                <w:lang w:val="en-US" w:eastAsia="zh-CN" w:bidi="en-US"/>
              </w:rPr>
              <w:t>危废代码为900-</w:t>
            </w:r>
            <w:r>
              <w:rPr>
                <w:rFonts w:hint="eastAsia" w:cs="Times New Roman" w:eastAsiaTheme="minorEastAsia"/>
                <w:bCs/>
                <w:color w:val="auto"/>
                <w:kern w:val="0"/>
                <w:sz w:val="24"/>
                <w:highlight w:val="none"/>
                <w:lang w:val="en-US" w:eastAsia="zh-CN" w:bidi="en-US"/>
              </w:rPr>
              <w:t>041</w:t>
            </w:r>
            <w:r>
              <w:rPr>
                <w:rFonts w:hint="eastAsia" w:ascii="Times New Roman" w:hAnsi="Times New Roman" w:cs="Times New Roman" w:eastAsiaTheme="minorEastAsia"/>
                <w:bCs/>
                <w:color w:val="auto"/>
                <w:kern w:val="0"/>
                <w:sz w:val="24"/>
                <w:highlight w:val="none"/>
                <w:lang w:val="en-US" w:eastAsia="zh-CN" w:bidi="en-US"/>
              </w:rPr>
              <w:t>-</w:t>
            </w:r>
            <w:r>
              <w:rPr>
                <w:rFonts w:hint="eastAsia" w:cs="Times New Roman" w:eastAsiaTheme="minorEastAsia"/>
                <w:bCs/>
                <w:color w:val="auto"/>
                <w:kern w:val="0"/>
                <w:sz w:val="24"/>
                <w:highlight w:val="none"/>
                <w:lang w:val="en-US" w:eastAsia="zh-CN" w:bidi="en-US"/>
              </w:rPr>
              <w:t>49</w:t>
            </w:r>
            <w:r>
              <w:rPr>
                <w:rFonts w:hint="eastAsia" w:eastAsiaTheme="minorEastAsia"/>
                <w:bCs/>
                <w:color w:val="auto"/>
                <w:kern w:val="0"/>
                <w:sz w:val="24"/>
                <w:highlight w:val="none"/>
                <w:lang w:val="en-US" w:eastAsia="zh-CN" w:bidi="en-US"/>
              </w:rPr>
              <w:t>）</w:t>
            </w:r>
            <w:r>
              <w:rPr>
                <w:rFonts w:hint="eastAsia" w:eastAsiaTheme="minorEastAsia"/>
                <w:bCs/>
                <w:color w:val="auto"/>
                <w:kern w:val="0"/>
                <w:sz w:val="24"/>
                <w:highlight w:val="none"/>
                <w:lang w:eastAsia="zh-CN" w:bidi="en-US"/>
              </w:rPr>
              <w:t>，</w:t>
            </w:r>
            <w:r>
              <w:rPr>
                <w:rFonts w:hint="eastAsia" w:eastAsiaTheme="minorEastAsia"/>
                <w:bCs/>
                <w:color w:val="auto"/>
                <w:kern w:val="0"/>
                <w:sz w:val="24"/>
                <w:highlight w:val="none"/>
                <w:lang w:val="en-US" w:eastAsia="zh-CN" w:bidi="en-US"/>
              </w:rPr>
              <w:t>废油桶</w:t>
            </w:r>
            <w:r>
              <w:rPr>
                <w:rFonts w:hint="eastAsia" w:eastAsiaTheme="minorEastAsia"/>
                <w:bCs/>
                <w:color w:val="auto"/>
                <w:kern w:val="0"/>
                <w:sz w:val="24"/>
                <w:highlight w:val="none"/>
                <w:lang w:eastAsia="zh-CN" w:bidi="en-US"/>
              </w:rPr>
              <w:t>产生量约0.</w:t>
            </w:r>
            <w:r>
              <w:rPr>
                <w:rFonts w:hint="eastAsia" w:eastAsiaTheme="minorEastAsia"/>
                <w:bCs/>
                <w:color w:val="auto"/>
                <w:kern w:val="0"/>
                <w:sz w:val="24"/>
                <w:highlight w:val="none"/>
                <w:lang w:val="en-US" w:eastAsia="zh-CN" w:bidi="en-US"/>
              </w:rPr>
              <w:t>01</w:t>
            </w:r>
            <w:r>
              <w:rPr>
                <w:rFonts w:hint="eastAsia" w:eastAsiaTheme="minorEastAsia"/>
                <w:bCs/>
                <w:color w:val="auto"/>
                <w:kern w:val="0"/>
                <w:sz w:val="24"/>
                <w:highlight w:val="none"/>
                <w:lang w:eastAsia="zh-CN" w:bidi="en-US"/>
              </w:rPr>
              <w:t>t</w:t>
            </w:r>
            <w:r>
              <w:rPr>
                <w:rFonts w:hint="eastAsia" w:eastAsiaTheme="minorEastAsia"/>
                <w:bCs/>
                <w:color w:val="auto"/>
                <w:kern w:val="0"/>
                <w:sz w:val="24"/>
                <w:highlight w:val="none"/>
                <w:lang w:val="en-US" w:eastAsia="zh-CN" w:bidi="en-US"/>
              </w:rPr>
              <w:t>/a</w:t>
            </w:r>
            <w:r>
              <w:rPr>
                <w:rFonts w:hint="eastAsia" w:cs="Times New Roman" w:eastAsiaTheme="minorEastAsia"/>
                <w:bCs/>
                <w:color w:val="auto"/>
                <w:kern w:val="0"/>
                <w:sz w:val="24"/>
                <w:highlight w:val="none"/>
                <w:lang w:val="en-US" w:eastAsia="zh-CN" w:bidi="en-US"/>
              </w:rPr>
              <w:t>（</w:t>
            </w:r>
            <w:r>
              <w:rPr>
                <w:rFonts w:hint="eastAsia" w:ascii="Times New Roman" w:hAnsi="Times New Roman" w:cs="Times New Roman" w:eastAsiaTheme="minorEastAsia"/>
                <w:bCs/>
                <w:color w:val="auto"/>
                <w:kern w:val="0"/>
                <w:sz w:val="24"/>
                <w:highlight w:val="none"/>
                <w:lang w:val="en-US" w:eastAsia="zh-CN" w:bidi="en-US"/>
              </w:rPr>
              <w:t>危废代码为900-</w:t>
            </w:r>
            <w:r>
              <w:rPr>
                <w:rFonts w:hint="eastAsia" w:cs="Times New Roman" w:eastAsiaTheme="minorEastAsia"/>
                <w:bCs/>
                <w:color w:val="auto"/>
                <w:kern w:val="0"/>
                <w:sz w:val="24"/>
                <w:highlight w:val="none"/>
                <w:lang w:val="en-US" w:eastAsia="zh-CN" w:bidi="en-US"/>
              </w:rPr>
              <w:t>249</w:t>
            </w:r>
            <w:r>
              <w:rPr>
                <w:rFonts w:hint="eastAsia" w:ascii="Times New Roman" w:hAnsi="Times New Roman" w:cs="Times New Roman" w:eastAsiaTheme="minorEastAsia"/>
                <w:bCs/>
                <w:color w:val="auto"/>
                <w:kern w:val="0"/>
                <w:sz w:val="24"/>
                <w:highlight w:val="none"/>
                <w:lang w:val="en-US" w:eastAsia="zh-CN" w:bidi="en-US"/>
              </w:rPr>
              <w:t>-08</w:t>
            </w:r>
            <w:r>
              <w:rPr>
                <w:rFonts w:hint="eastAsia" w:cs="Times New Roman" w:eastAsiaTheme="minorEastAsia"/>
                <w:bCs/>
                <w:color w:val="auto"/>
                <w:kern w:val="0"/>
                <w:sz w:val="24"/>
                <w:highlight w:val="none"/>
                <w:lang w:val="en-US" w:eastAsia="zh-CN" w:bidi="en-US"/>
              </w:rPr>
              <w:t>），</w:t>
            </w:r>
            <w:r>
              <w:rPr>
                <w:rFonts w:eastAsiaTheme="minorEastAsia"/>
                <w:bCs/>
                <w:color w:val="auto"/>
                <w:kern w:val="0"/>
                <w:sz w:val="24"/>
                <w:highlight w:val="none"/>
                <w:lang w:bidi="en-US"/>
              </w:rPr>
              <w:t>收集后</w:t>
            </w:r>
            <w:r>
              <w:rPr>
                <w:rFonts w:hint="eastAsia" w:eastAsiaTheme="minorEastAsia"/>
                <w:bCs/>
                <w:color w:val="auto"/>
                <w:kern w:val="0"/>
                <w:sz w:val="24"/>
                <w:highlight w:val="none"/>
                <w:lang w:bidi="en-US"/>
              </w:rPr>
              <w:t>均</w:t>
            </w:r>
            <w:r>
              <w:rPr>
                <w:rFonts w:eastAsiaTheme="minorEastAsia"/>
                <w:bCs/>
                <w:color w:val="auto"/>
                <w:kern w:val="0"/>
                <w:sz w:val="24"/>
                <w:highlight w:val="none"/>
                <w:lang w:bidi="en-US"/>
              </w:rPr>
              <w:t>需委托有资质的单位处理。</w:t>
            </w:r>
          </w:p>
          <w:p w14:paraId="1C327C52">
            <w:pPr>
              <w:numPr>
                <w:ilvl w:val="0"/>
                <w:numId w:val="0"/>
              </w:numPr>
              <w:spacing w:line="360" w:lineRule="auto"/>
              <w:ind w:firstLine="480" w:firstLineChars="200"/>
              <w:rPr>
                <w:rFonts w:hint="default" w:eastAsiaTheme="minorEastAsia"/>
                <w:bCs/>
                <w:color w:val="0000FF"/>
                <w:kern w:val="0"/>
                <w:sz w:val="24"/>
                <w:highlight w:val="none"/>
                <w:lang w:val="en-US" w:eastAsia="zh-CN" w:bidi="en-US"/>
              </w:rPr>
            </w:pPr>
            <w:r>
              <w:rPr>
                <w:rFonts w:hint="eastAsia" w:eastAsiaTheme="minorEastAsia"/>
                <w:bCs/>
                <w:color w:val="0000FF"/>
                <w:kern w:val="0"/>
                <w:sz w:val="24"/>
                <w:highlight w:val="none"/>
                <w:lang w:eastAsia="zh-CN" w:bidi="en-US"/>
              </w:rPr>
              <w:t>（</w:t>
            </w:r>
            <w:r>
              <w:rPr>
                <w:rFonts w:hint="eastAsia" w:eastAsiaTheme="minorEastAsia"/>
                <w:bCs/>
                <w:color w:val="0000FF"/>
                <w:kern w:val="0"/>
                <w:sz w:val="24"/>
                <w:highlight w:val="none"/>
                <w:lang w:val="en-US" w:eastAsia="zh-CN" w:bidi="en-US"/>
              </w:rPr>
              <w:t>3</w:t>
            </w:r>
            <w:r>
              <w:rPr>
                <w:rFonts w:hint="eastAsia" w:eastAsiaTheme="minorEastAsia"/>
                <w:bCs/>
                <w:color w:val="0000FF"/>
                <w:kern w:val="0"/>
                <w:sz w:val="24"/>
                <w:highlight w:val="none"/>
                <w:lang w:eastAsia="zh-CN" w:bidi="en-US"/>
              </w:rPr>
              <w:t>）废无尘纸</w:t>
            </w:r>
            <w:r>
              <w:rPr>
                <w:rFonts w:hint="eastAsia" w:eastAsiaTheme="minorEastAsia"/>
                <w:bCs/>
                <w:color w:val="0000FF"/>
                <w:kern w:val="0"/>
                <w:sz w:val="24"/>
                <w:highlight w:val="none"/>
                <w:lang w:val="en-US" w:eastAsia="zh-CN" w:bidi="en-US"/>
              </w:rPr>
              <w:t>/布</w:t>
            </w:r>
          </w:p>
          <w:p w14:paraId="5AB81712">
            <w:pPr>
              <w:widowControl/>
              <w:numPr>
                <w:ilvl w:val="0"/>
                <w:numId w:val="0"/>
              </w:numPr>
              <w:adjustRightInd w:val="0"/>
              <w:snapToGrid w:val="0"/>
              <w:spacing w:line="360" w:lineRule="auto"/>
              <w:ind w:firstLine="480" w:firstLineChars="200"/>
              <w:jc w:val="left"/>
              <w:rPr>
                <w:rFonts w:eastAsiaTheme="minorEastAsia"/>
                <w:bCs/>
                <w:color w:val="0000FF"/>
                <w:kern w:val="0"/>
                <w:sz w:val="24"/>
                <w:highlight w:val="none"/>
                <w:lang w:bidi="en-US"/>
              </w:rPr>
            </w:pPr>
            <w:r>
              <w:rPr>
                <w:rFonts w:hint="eastAsia" w:eastAsiaTheme="minorEastAsia"/>
                <w:bCs/>
                <w:color w:val="0000FF"/>
                <w:kern w:val="0"/>
                <w:sz w:val="24"/>
                <w:highlight w:val="none"/>
                <w:lang w:eastAsia="zh-CN" w:bidi="en-US"/>
              </w:rPr>
              <w:t>本项目擦拭工序使用废无尘纸</w:t>
            </w:r>
            <w:r>
              <w:rPr>
                <w:rFonts w:hint="eastAsia" w:eastAsiaTheme="minorEastAsia"/>
                <w:bCs/>
                <w:color w:val="0000FF"/>
                <w:kern w:val="0"/>
                <w:sz w:val="24"/>
                <w:highlight w:val="none"/>
                <w:lang w:val="en-US" w:eastAsia="zh-CN" w:bidi="en-US"/>
              </w:rPr>
              <w:t>/布</w:t>
            </w:r>
            <w:r>
              <w:rPr>
                <w:rFonts w:hint="eastAsia" w:eastAsiaTheme="minorEastAsia"/>
                <w:bCs/>
                <w:color w:val="0000FF"/>
                <w:kern w:val="0"/>
                <w:sz w:val="24"/>
                <w:highlight w:val="none"/>
                <w:lang w:eastAsia="zh-CN" w:bidi="en-US"/>
              </w:rPr>
              <w:t>蘸取清洗剂</w:t>
            </w:r>
            <w:r>
              <w:rPr>
                <w:rFonts w:hint="eastAsia" w:eastAsiaTheme="minorEastAsia"/>
                <w:bCs/>
                <w:color w:val="0000FF"/>
                <w:kern w:val="0"/>
                <w:sz w:val="24"/>
                <w:highlight w:val="none"/>
                <w:lang w:val="en-US" w:eastAsia="zh-CN" w:bidi="en-US"/>
              </w:rPr>
              <w:t>和乙醇擦拭液</w:t>
            </w:r>
            <w:r>
              <w:rPr>
                <w:rFonts w:hint="eastAsia" w:eastAsiaTheme="minorEastAsia"/>
                <w:bCs/>
                <w:color w:val="0000FF"/>
                <w:kern w:val="0"/>
                <w:sz w:val="24"/>
                <w:highlight w:val="none"/>
                <w:lang w:eastAsia="zh-CN" w:bidi="en-US"/>
              </w:rPr>
              <w:t>进行擦拭。</w:t>
            </w:r>
            <w:r>
              <w:rPr>
                <w:rFonts w:eastAsiaTheme="minorEastAsia"/>
                <w:bCs/>
                <w:color w:val="0000FF"/>
                <w:kern w:val="0"/>
                <w:sz w:val="24"/>
                <w:highlight w:val="none"/>
                <w:lang w:bidi="en-US"/>
              </w:rPr>
              <w:t>根据企业提供资料，</w:t>
            </w:r>
            <w:r>
              <w:rPr>
                <w:rFonts w:hint="eastAsia" w:eastAsiaTheme="minorEastAsia"/>
                <w:bCs/>
                <w:color w:val="0000FF"/>
                <w:kern w:val="0"/>
                <w:sz w:val="24"/>
                <w:highlight w:val="none"/>
                <w:lang w:eastAsia="zh-CN" w:bidi="en-US"/>
              </w:rPr>
              <w:t>废无尘纸</w:t>
            </w:r>
            <w:r>
              <w:rPr>
                <w:rFonts w:hint="eastAsia" w:eastAsiaTheme="minorEastAsia"/>
                <w:bCs/>
                <w:color w:val="0000FF"/>
                <w:kern w:val="0"/>
                <w:sz w:val="24"/>
                <w:highlight w:val="none"/>
                <w:lang w:val="en-US" w:eastAsia="zh-CN" w:bidi="en-US"/>
              </w:rPr>
              <w:t>/布</w:t>
            </w:r>
            <w:r>
              <w:rPr>
                <w:rFonts w:hint="eastAsia" w:eastAsiaTheme="minorEastAsia"/>
                <w:bCs/>
                <w:color w:val="0000FF"/>
                <w:kern w:val="0"/>
                <w:sz w:val="24"/>
                <w:highlight w:val="none"/>
                <w:lang w:eastAsia="zh-CN" w:bidi="en-US"/>
              </w:rPr>
              <w:t>产生量</w:t>
            </w:r>
            <w:r>
              <w:rPr>
                <w:rFonts w:eastAsiaTheme="minorEastAsia"/>
                <w:bCs/>
                <w:color w:val="0000FF"/>
                <w:kern w:val="0"/>
                <w:sz w:val="24"/>
                <w:highlight w:val="none"/>
                <w:lang w:bidi="en-US"/>
              </w:rPr>
              <w:t>约0.</w:t>
            </w:r>
            <w:r>
              <w:rPr>
                <w:rFonts w:hint="eastAsia" w:eastAsiaTheme="minorEastAsia"/>
                <w:bCs/>
                <w:color w:val="0000FF"/>
                <w:kern w:val="0"/>
                <w:sz w:val="24"/>
                <w:highlight w:val="none"/>
                <w:lang w:val="en-US" w:eastAsia="zh-CN" w:bidi="en-US"/>
              </w:rPr>
              <w:t>001</w:t>
            </w:r>
            <w:r>
              <w:rPr>
                <w:rFonts w:eastAsiaTheme="minorEastAsia"/>
                <w:bCs/>
                <w:color w:val="0000FF"/>
                <w:kern w:val="0"/>
                <w:sz w:val="24"/>
                <w:highlight w:val="none"/>
                <w:lang w:bidi="en-US"/>
              </w:rPr>
              <w:t>t</w:t>
            </w:r>
            <w:r>
              <w:rPr>
                <w:rFonts w:hint="eastAsia" w:eastAsiaTheme="minorEastAsia"/>
                <w:bCs/>
                <w:color w:val="0000FF"/>
                <w:kern w:val="0"/>
                <w:sz w:val="24"/>
                <w:highlight w:val="none"/>
                <w:lang w:val="en-US" w:eastAsia="zh-CN" w:bidi="en-US"/>
              </w:rPr>
              <w:t>/a，</w:t>
            </w:r>
            <w:r>
              <w:rPr>
                <w:rFonts w:eastAsiaTheme="minorEastAsia"/>
                <w:bCs/>
                <w:color w:val="0000FF"/>
                <w:kern w:val="0"/>
                <w:sz w:val="24"/>
                <w:highlight w:val="none"/>
                <w:lang w:bidi="en-US"/>
              </w:rPr>
              <w:t>收集后需委托有资质的单位处理。</w:t>
            </w:r>
          </w:p>
          <w:p w14:paraId="4A63CA6C">
            <w:pPr>
              <w:pStyle w:val="35"/>
              <w:keepNext w:val="0"/>
              <w:keepLines w:val="0"/>
              <w:pageBreakBefore w:val="0"/>
              <w:kinsoku/>
              <w:wordWrap/>
              <w:overflowPunct/>
              <w:topLinePunct w:val="0"/>
              <w:autoSpaceDE/>
              <w:autoSpaceDN/>
              <w:bidi w:val="0"/>
              <w:adjustRightInd/>
              <w:snapToGrid/>
              <w:spacing w:before="0" w:after="0" w:line="360" w:lineRule="auto"/>
              <w:ind w:right="0" w:firstLine="480" w:firstLineChars="200"/>
              <w:textAlignment w:val="auto"/>
              <w:rPr>
                <w:rFonts w:hint="eastAsia"/>
                <w:color w:val="auto"/>
                <w:sz w:val="24"/>
                <w:szCs w:val="24"/>
                <w:highlight w:val="none"/>
                <w:lang w:val="en-US" w:eastAsia="zh-CN"/>
              </w:rPr>
            </w:pPr>
            <w:r>
              <w:rPr>
                <w:rFonts w:hint="eastAsia" w:eastAsiaTheme="minorEastAsia"/>
                <w:bCs/>
                <w:color w:val="auto"/>
                <w:kern w:val="0"/>
                <w:sz w:val="24"/>
                <w:highlight w:val="none"/>
                <w:lang w:eastAsia="zh-CN" w:bidi="en-US"/>
              </w:rPr>
              <w:t>（</w:t>
            </w:r>
            <w:r>
              <w:rPr>
                <w:rFonts w:hint="eastAsia" w:eastAsiaTheme="minorEastAsia"/>
                <w:bCs/>
                <w:color w:val="auto"/>
                <w:kern w:val="0"/>
                <w:sz w:val="24"/>
                <w:highlight w:val="none"/>
                <w:lang w:val="en-US" w:eastAsia="zh-CN" w:bidi="en-US"/>
              </w:rPr>
              <w:t>4</w:t>
            </w:r>
            <w:r>
              <w:rPr>
                <w:rFonts w:hint="eastAsia" w:eastAsiaTheme="minorEastAsia"/>
                <w:bCs/>
                <w:color w:val="auto"/>
                <w:kern w:val="0"/>
                <w:sz w:val="24"/>
                <w:highlight w:val="none"/>
                <w:lang w:eastAsia="zh-CN" w:bidi="en-US"/>
              </w:rPr>
              <w:t>）</w:t>
            </w:r>
            <w:r>
              <w:rPr>
                <w:rFonts w:hint="eastAsia"/>
                <w:color w:val="auto"/>
                <w:sz w:val="24"/>
                <w:szCs w:val="24"/>
                <w:highlight w:val="none"/>
                <w:lang w:val="en-US" w:eastAsia="zh-CN"/>
              </w:rPr>
              <w:t>废镀膜材料</w:t>
            </w:r>
          </w:p>
          <w:p w14:paraId="5424C62A">
            <w:pPr>
              <w:pStyle w:val="36"/>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eastAsia"/>
                <w:color w:val="auto"/>
                <w:sz w:val="24"/>
                <w:szCs w:val="24"/>
                <w:highlight w:val="none"/>
                <w:lang w:val="en-US" w:eastAsia="zh-CN"/>
              </w:rPr>
            </w:pPr>
            <w:r>
              <w:rPr>
                <w:rFonts w:hint="eastAsia" w:eastAsiaTheme="minorEastAsia"/>
                <w:bCs/>
                <w:color w:val="auto"/>
                <w:kern w:val="0"/>
                <w:sz w:val="24"/>
                <w:highlight w:val="none"/>
                <w:lang w:val="en-US" w:eastAsia="zh-CN" w:bidi="en-US"/>
              </w:rPr>
              <w:t>本</w:t>
            </w:r>
            <w:r>
              <w:rPr>
                <w:rFonts w:eastAsiaTheme="minorEastAsia"/>
                <w:bCs/>
                <w:color w:val="auto"/>
                <w:kern w:val="0"/>
                <w:sz w:val="24"/>
                <w:highlight w:val="none"/>
                <w:lang w:bidi="en-US"/>
              </w:rPr>
              <w:t>项目在</w:t>
            </w:r>
            <w:r>
              <w:rPr>
                <w:rFonts w:hint="eastAsia" w:eastAsiaTheme="minorEastAsia"/>
                <w:bCs/>
                <w:color w:val="auto"/>
                <w:kern w:val="0"/>
                <w:sz w:val="24"/>
                <w:highlight w:val="none"/>
                <w:lang w:eastAsia="zh-CN" w:bidi="en-US"/>
              </w:rPr>
              <w:t>镀膜工序</w:t>
            </w:r>
            <w:r>
              <w:rPr>
                <w:rFonts w:eastAsiaTheme="minorEastAsia"/>
                <w:bCs/>
                <w:color w:val="auto"/>
                <w:kern w:val="0"/>
                <w:sz w:val="24"/>
                <w:highlight w:val="none"/>
                <w:lang w:bidi="en-US"/>
              </w:rPr>
              <w:t>中会产生</w:t>
            </w:r>
            <w:r>
              <w:rPr>
                <w:rFonts w:hint="eastAsia"/>
                <w:color w:val="auto"/>
                <w:sz w:val="24"/>
                <w:szCs w:val="24"/>
                <w:highlight w:val="none"/>
                <w:lang w:val="en-US" w:eastAsia="zh-CN"/>
              </w:rPr>
              <w:t>废镀膜材料</w:t>
            </w:r>
            <w:r>
              <w:rPr>
                <w:rFonts w:eastAsiaTheme="minorEastAsia"/>
                <w:bCs/>
                <w:color w:val="auto"/>
                <w:kern w:val="0"/>
                <w:sz w:val="24"/>
                <w:highlight w:val="none"/>
                <w:lang w:bidi="en-US"/>
              </w:rPr>
              <w:t>，</w:t>
            </w:r>
            <w:r>
              <w:rPr>
                <w:rFonts w:hint="eastAsia" w:eastAsiaTheme="minorEastAsia"/>
                <w:bCs/>
                <w:color w:val="FF0000"/>
                <w:kern w:val="0"/>
                <w:sz w:val="24"/>
                <w:lang w:val="en-US" w:eastAsia="zh-CN" w:bidi="en-US"/>
              </w:rPr>
              <w:t>项目废镀膜材料的产生量约占10%原料量</w:t>
            </w:r>
            <w:r>
              <w:rPr>
                <w:rFonts w:eastAsiaTheme="minorEastAsia"/>
                <w:bCs/>
                <w:color w:val="auto"/>
                <w:kern w:val="0"/>
                <w:sz w:val="24"/>
                <w:highlight w:val="none"/>
                <w:lang w:bidi="en-US"/>
              </w:rPr>
              <w:t>，</w:t>
            </w:r>
            <w:r>
              <w:rPr>
                <w:rFonts w:hint="eastAsia" w:eastAsiaTheme="minorEastAsia"/>
                <w:bCs/>
                <w:color w:val="auto"/>
                <w:kern w:val="0"/>
                <w:sz w:val="24"/>
                <w:highlight w:val="none"/>
                <w:lang w:eastAsia="zh-CN" w:bidi="en-US"/>
              </w:rPr>
              <w:t>废镀膜材料产生量</w:t>
            </w:r>
            <w:r>
              <w:rPr>
                <w:rFonts w:eastAsiaTheme="minorEastAsia"/>
                <w:bCs/>
                <w:color w:val="auto"/>
                <w:kern w:val="0"/>
                <w:sz w:val="24"/>
                <w:highlight w:val="none"/>
                <w:lang w:bidi="en-US"/>
              </w:rPr>
              <w:t>约0.</w:t>
            </w:r>
            <w:r>
              <w:rPr>
                <w:rFonts w:hint="eastAsia" w:eastAsiaTheme="minorEastAsia"/>
                <w:bCs/>
                <w:color w:val="auto"/>
                <w:kern w:val="0"/>
                <w:sz w:val="24"/>
                <w:highlight w:val="none"/>
                <w:lang w:val="en-US" w:eastAsia="zh-CN" w:bidi="en-US"/>
              </w:rPr>
              <w:t>02</w:t>
            </w:r>
            <w:r>
              <w:rPr>
                <w:rFonts w:eastAsiaTheme="minorEastAsia"/>
                <w:bCs/>
                <w:color w:val="auto"/>
                <w:kern w:val="0"/>
                <w:sz w:val="24"/>
                <w:highlight w:val="none"/>
                <w:lang w:bidi="en-US"/>
              </w:rPr>
              <w:t>t</w:t>
            </w:r>
            <w:r>
              <w:rPr>
                <w:rFonts w:hint="eastAsia" w:eastAsiaTheme="minorEastAsia"/>
                <w:bCs/>
                <w:color w:val="auto"/>
                <w:kern w:val="0"/>
                <w:sz w:val="24"/>
                <w:highlight w:val="none"/>
                <w:lang w:val="en-US" w:eastAsia="zh-CN" w:bidi="en-US"/>
              </w:rPr>
              <w:t>/a</w:t>
            </w:r>
            <w:r>
              <w:rPr>
                <w:rFonts w:eastAsiaTheme="minorEastAsia"/>
                <w:bCs/>
                <w:color w:val="auto"/>
                <w:kern w:val="0"/>
                <w:sz w:val="24"/>
                <w:highlight w:val="none"/>
                <w:lang w:bidi="en-US"/>
              </w:rPr>
              <w:t>，统一收集后外售</w:t>
            </w:r>
            <w:r>
              <w:rPr>
                <w:rFonts w:hint="eastAsia"/>
                <w:color w:val="auto"/>
                <w:sz w:val="24"/>
                <w:szCs w:val="24"/>
                <w:highlight w:val="none"/>
                <w:lang w:val="en-US" w:eastAsia="zh-CN"/>
              </w:rPr>
              <w:t>。</w:t>
            </w:r>
          </w:p>
          <w:p w14:paraId="5A20C167">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firstLine="480" w:firstLineChars="200"/>
              <w:jc w:val="left"/>
              <w:textAlignment w:val="auto"/>
              <w:rPr>
                <w:rFonts w:hint="eastAsia" w:eastAsiaTheme="minorEastAsia"/>
                <w:bCs/>
                <w:color w:val="auto"/>
                <w:kern w:val="0"/>
                <w:sz w:val="24"/>
                <w:highlight w:val="none"/>
                <w:lang w:eastAsia="zh-CN" w:bidi="en-US"/>
              </w:rPr>
            </w:pPr>
            <w:r>
              <w:rPr>
                <w:rFonts w:hint="eastAsia" w:eastAsiaTheme="minorEastAsia"/>
                <w:bCs/>
                <w:color w:val="auto"/>
                <w:kern w:val="0"/>
                <w:sz w:val="24"/>
                <w:highlight w:val="none"/>
                <w:lang w:eastAsia="zh-CN" w:bidi="en-US"/>
              </w:rPr>
              <w:t>（</w:t>
            </w:r>
            <w:r>
              <w:rPr>
                <w:rFonts w:hint="eastAsia" w:eastAsiaTheme="minorEastAsia"/>
                <w:bCs/>
                <w:color w:val="auto"/>
                <w:kern w:val="0"/>
                <w:sz w:val="24"/>
                <w:highlight w:val="none"/>
                <w:lang w:val="en-US" w:eastAsia="zh-CN" w:bidi="en-US"/>
              </w:rPr>
              <w:t>5</w:t>
            </w:r>
            <w:r>
              <w:rPr>
                <w:rFonts w:hint="eastAsia" w:eastAsiaTheme="minorEastAsia"/>
                <w:bCs/>
                <w:color w:val="auto"/>
                <w:kern w:val="0"/>
                <w:sz w:val="24"/>
                <w:highlight w:val="none"/>
                <w:lang w:eastAsia="zh-CN" w:bidi="en-US"/>
              </w:rPr>
              <w:t>）</w:t>
            </w:r>
            <w:r>
              <w:rPr>
                <w:rFonts w:eastAsiaTheme="minorEastAsia"/>
                <w:bCs/>
                <w:color w:val="auto"/>
                <w:kern w:val="0"/>
                <w:sz w:val="24"/>
                <w:highlight w:val="none"/>
                <w:lang w:bidi="en-US"/>
              </w:rPr>
              <w:t>废</w:t>
            </w:r>
            <w:r>
              <w:rPr>
                <w:rFonts w:hint="eastAsia" w:eastAsiaTheme="minorEastAsia"/>
                <w:bCs/>
                <w:color w:val="auto"/>
                <w:kern w:val="0"/>
                <w:sz w:val="24"/>
                <w:highlight w:val="none"/>
                <w:lang w:eastAsia="zh-CN" w:bidi="en-US"/>
              </w:rPr>
              <w:t>包装材料（</w:t>
            </w:r>
            <w:r>
              <w:rPr>
                <w:rFonts w:hint="eastAsia" w:eastAsiaTheme="minorEastAsia"/>
                <w:bCs/>
                <w:color w:val="auto"/>
                <w:kern w:val="0"/>
                <w:sz w:val="24"/>
                <w:highlight w:val="none"/>
                <w:lang w:val="en-US" w:eastAsia="zh-CN" w:bidi="en-US"/>
              </w:rPr>
              <w:t>未沾染</w:t>
            </w:r>
            <w:r>
              <w:rPr>
                <w:rFonts w:hint="eastAsia" w:eastAsiaTheme="minorEastAsia"/>
                <w:bCs/>
                <w:color w:val="auto"/>
                <w:kern w:val="0"/>
                <w:sz w:val="24"/>
                <w:highlight w:val="none"/>
                <w:lang w:eastAsia="zh-CN" w:bidi="en-US"/>
              </w:rPr>
              <w:t>）</w:t>
            </w:r>
          </w:p>
          <w:p w14:paraId="0510FB18">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left"/>
              <w:textAlignment w:val="auto"/>
              <w:rPr>
                <w:rFonts w:eastAsiaTheme="minorEastAsia"/>
                <w:bCs/>
                <w:color w:val="auto"/>
                <w:kern w:val="0"/>
                <w:sz w:val="24"/>
                <w:highlight w:val="none"/>
                <w:lang w:bidi="en-US"/>
              </w:rPr>
            </w:pPr>
            <w:r>
              <w:rPr>
                <w:rFonts w:hint="eastAsia" w:eastAsiaTheme="minorEastAsia"/>
                <w:bCs/>
                <w:color w:val="auto"/>
                <w:kern w:val="0"/>
                <w:sz w:val="24"/>
                <w:highlight w:val="none"/>
                <w:lang w:val="en-US" w:eastAsia="zh-CN" w:bidi="en-US"/>
              </w:rPr>
              <w:t>本</w:t>
            </w:r>
            <w:r>
              <w:rPr>
                <w:rFonts w:eastAsiaTheme="minorEastAsia"/>
                <w:bCs/>
                <w:color w:val="auto"/>
                <w:kern w:val="0"/>
                <w:sz w:val="24"/>
                <w:highlight w:val="none"/>
                <w:lang w:bidi="en-US"/>
              </w:rPr>
              <w:t>项目在</w:t>
            </w:r>
            <w:r>
              <w:rPr>
                <w:rFonts w:hint="eastAsia" w:eastAsiaTheme="minorEastAsia"/>
                <w:bCs/>
                <w:color w:val="auto"/>
                <w:kern w:val="0"/>
                <w:sz w:val="24"/>
                <w:highlight w:val="none"/>
                <w:lang w:eastAsia="zh-CN" w:bidi="en-US"/>
              </w:rPr>
              <w:t>生产过程</w:t>
            </w:r>
            <w:r>
              <w:rPr>
                <w:rFonts w:eastAsiaTheme="minorEastAsia"/>
                <w:bCs/>
                <w:color w:val="auto"/>
                <w:kern w:val="0"/>
                <w:sz w:val="24"/>
                <w:highlight w:val="none"/>
                <w:lang w:bidi="en-US"/>
              </w:rPr>
              <w:t>中会产生废</w:t>
            </w:r>
            <w:r>
              <w:rPr>
                <w:rFonts w:hint="eastAsia" w:eastAsiaTheme="minorEastAsia"/>
                <w:bCs/>
                <w:color w:val="auto"/>
                <w:kern w:val="0"/>
                <w:sz w:val="24"/>
                <w:highlight w:val="none"/>
                <w:lang w:eastAsia="zh-CN" w:bidi="en-US"/>
              </w:rPr>
              <w:t>包装材料</w:t>
            </w:r>
            <w:r>
              <w:rPr>
                <w:rFonts w:eastAsiaTheme="minorEastAsia"/>
                <w:bCs/>
                <w:color w:val="auto"/>
                <w:kern w:val="0"/>
                <w:sz w:val="24"/>
                <w:highlight w:val="none"/>
                <w:lang w:bidi="en-US"/>
              </w:rPr>
              <w:t>，根据企业提供资料，废</w:t>
            </w:r>
            <w:r>
              <w:rPr>
                <w:rFonts w:hint="eastAsia" w:eastAsiaTheme="minorEastAsia"/>
                <w:bCs/>
                <w:color w:val="auto"/>
                <w:kern w:val="0"/>
                <w:sz w:val="24"/>
                <w:highlight w:val="none"/>
                <w:lang w:eastAsia="zh-CN" w:bidi="en-US"/>
              </w:rPr>
              <w:t>包装材料产生量</w:t>
            </w:r>
            <w:r>
              <w:rPr>
                <w:rFonts w:eastAsiaTheme="minorEastAsia"/>
                <w:bCs/>
                <w:color w:val="auto"/>
                <w:kern w:val="0"/>
                <w:sz w:val="24"/>
                <w:highlight w:val="none"/>
                <w:lang w:bidi="en-US"/>
              </w:rPr>
              <w:t>约0.</w:t>
            </w:r>
            <w:r>
              <w:rPr>
                <w:rFonts w:hint="eastAsia" w:eastAsiaTheme="minorEastAsia"/>
                <w:bCs/>
                <w:color w:val="auto"/>
                <w:kern w:val="0"/>
                <w:sz w:val="24"/>
                <w:highlight w:val="none"/>
                <w:lang w:val="en-US" w:eastAsia="zh-CN" w:bidi="en-US"/>
              </w:rPr>
              <w:t>1</w:t>
            </w:r>
            <w:r>
              <w:rPr>
                <w:rFonts w:eastAsiaTheme="minorEastAsia"/>
                <w:bCs/>
                <w:color w:val="auto"/>
                <w:kern w:val="0"/>
                <w:sz w:val="24"/>
                <w:highlight w:val="none"/>
                <w:lang w:bidi="en-US"/>
              </w:rPr>
              <w:t>t</w:t>
            </w:r>
            <w:r>
              <w:rPr>
                <w:rFonts w:hint="eastAsia" w:eastAsiaTheme="minorEastAsia"/>
                <w:bCs/>
                <w:color w:val="auto"/>
                <w:kern w:val="0"/>
                <w:sz w:val="24"/>
                <w:highlight w:val="none"/>
                <w:lang w:val="en-US" w:eastAsia="zh-CN" w:bidi="en-US"/>
              </w:rPr>
              <w:t>/a</w:t>
            </w:r>
            <w:r>
              <w:rPr>
                <w:rFonts w:eastAsiaTheme="minorEastAsia"/>
                <w:bCs/>
                <w:color w:val="auto"/>
                <w:kern w:val="0"/>
                <w:sz w:val="24"/>
                <w:highlight w:val="none"/>
                <w:lang w:bidi="en-US"/>
              </w:rPr>
              <w:t>，统一收集后外售。</w:t>
            </w:r>
          </w:p>
          <w:p w14:paraId="06E6636E">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cs="Times New Roman"/>
                <w:color w:val="auto"/>
                <w:sz w:val="24"/>
                <w:highlight w:val="none"/>
              </w:rPr>
            </w:pPr>
            <w:r>
              <w:rPr>
                <w:rFonts w:hint="eastAsia" w:eastAsiaTheme="minorEastAsia"/>
                <w:color w:val="auto"/>
                <w:sz w:val="24"/>
                <w:szCs w:val="24"/>
                <w:highlight w:val="none"/>
                <w:lang w:val="en-US" w:eastAsia="zh-CN"/>
              </w:rPr>
              <w:t>（6）</w:t>
            </w:r>
            <w:r>
              <w:rPr>
                <w:rFonts w:hint="eastAsia" w:eastAsiaTheme="minorEastAsia"/>
                <w:bCs/>
                <w:color w:val="auto"/>
                <w:kern w:val="0"/>
                <w:sz w:val="24"/>
                <w:highlight w:val="none"/>
                <w:lang w:val="en-US" w:eastAsia="zh-CN" w:bidi="en-US"/>
              </w:rPr>
              <w:t>生活垃圾</w:t>
            </w:r>
          </w:p>
          <w:p w14:paraId="0149F3B3">
            <w:pPr>
              <w:spacing w:line="360" w:lineRule="auto"/>
              <w:ind w:firstLine="480" w:firstLineChars="200"/>
              <w:rPr>
                <w:rFonts w:hint="default" w:eastAsia="宋体"/>
                <w:bCs/>
                <w:color w:val="auto"/>
                <w:kern w:val="0"/>
                <w:sz w:val="24"/>
                <w:highlight w:val="none"/>
                <w:lang w:val="en-US" w:eastAsia="zh-CN" w:bidi="en-US"/>
              </w:rPr>
            </w:pPr>
            <w:r>
              <w:rPr>
                <w:rFonts w:hint="default" w:ascii="Times New Roman" w:hAnsi="Times New Roman" w:cs="Times New Roman"/>
                <w:color w:val="auto"/>
                <w:sz w:val="24"/>
                <w:highlight w:val="none"/>
              </w:rPr>
              <w:t>根据《城镇生活源产排污系数手册》，生活垃圾产生量以每人0.5kg/d估算，本项目员工</w:t>
            </w:r>
            <w:r>
              <w:rPr>
                <w:rFonts w:hint="eastAsia" w:cs="Times New Roman"/>
                <w:color w:val="auto"/>
                <w:sz w:val="24"/>
                <w:highlight w:val="none"/>
                <w:lang w:val="en-US" w:eastAsia="zh-CN"/>
              </w:rPr>
              <w:t>50</w:t>
            </w:r>
            <w:r>
              <w:rPr>
                <w:rFonts w:hint="default" w:ascii="Times New Roman" w:hAnsi="Times New Roman" w:cs="Times New Roman"/>
                <w:color w:val="auto"/>
                <w:sz w:val="24"/>
                <w:highlight w:val="none"/>
              </w:rPr>
              <w:t>人，全年</w:t>
            </w:r>
            <w:r>
              <w:rPr>
                <w:rFonts w:hint="eastAsia" w:cs="Times New Roman"/>
                <w:color w:val="auto"/>
                <w:sz w:val="24"/>
                <w:highlight w:val="none"/>
                <w:lang w:val="en-US" w:eastAsia="zh-CN"/>
              </w:rPr>
              <w:t>300</w:t>
            </w:r>
            <w:r>
              <w:rPr>
                <w:rFonts w:hint="default" w:ascii="Times New Roman" w:hAnsi="Times New Roman" w:cs="Times New Roman"/>
                <w:color w:val="auto"/>
                <w:sz w:val="24"/>
                <w:highlight w:val="none"/>
              </w:rPr>
              <w:t>天</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共产生生活垃圾</w:t>
            </w:r>
            <w:r>
              <w:rPr>
                <w:rFonts w:hint="eastAsia" w:cs="Times New Roman"/>
                <w:color w:val="auto"/>
                <w:sz w:val="24"/>
                <w:highlight w:val="none"/>
                <w:lang w:val="en-US" w:eastAsia="zh-CN"/>
              </w:rPr>
              <w:t>7.5</w:t>
            </w:r>
            <w:r>
              <w:rPr>
                <w:rFonts w:hint="default" w:ascii="Times New Roman" w:hAnsi="Times New Roman" w:cs="Times New Roman"/>
                <w:color w:val="auto"/>
                <w:sz w:val="24"/>
                <w:highlight w:val="none"/>
              </w:rPr>
              <w:t>t/a，经环卫部门定期清运处理。</w:t>
            </w:r>
          </w:p>
          <w:p w14:paraId="1997986D">
            <w:pPr>
              <w:pStyle w:val="8"/>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snapToGrid w:val="0"/>
                <w:color w:val="auto"/>
                <w:sz w:val="24"/>
                <w:highlight w:val="none"/>
                <w:lang w:val="en-US"/>
              </w:rPr>
            </w:pPr>
            <w:r>
              <w:rPr>
                <w:rFonts w:hint="default" w:ascii="Times New Roman" w:hAnsi="Times New Roman" w:cs="Times New Roman"/>
                <w:snapToGrid w:val="0"/>
                <w:color w:val="auto"/>
                <w:sz w:val="24"/>
                <w:highlight w:val="none"/>
                <w:lang w:val="en-US"/>
              </w:rPr>
              <w:t>本</w:t>
            </w:r>
            <w:r>
              <w:rPr>
                <w:rFonts w:hint="default" w:ascii="Times New Roman" w:hAnsi="Times New Roman" w:cs="Times New Roman"/>
                <w:snapToGrid w:val="0"/>
                <w:color w:val="auto"/>
                <w:sz w:val="24"/>
                <w:highlight w:val="none"/>
              </w:rPr>
              <w:t>项目</w:t>
            </w:r>
            <w:r>
              <w:rPr>
                <w:rFonts w:hint="default" w:ascii="Times New Roman" w:hAnsi="Times New Roman" w:cs="Times New Roman"/>
                <w:snapToGrid w:val="0"/>
                <w:color w:val="auto"/>
                <w:sz w:val="24"/>
                <w:highlight w:val="none"/>
                <w:lang w:val="en-US"/>
              </w:rPr>
              <w:t>固废</w:t>
            </w:r>
            <w:r>
              <w:rPr>
                <w:rFonts w:hint="default" w:ascii="Times New Roman" w:hAnsi="Times New Roman" w:cs="Times New Roman"/>
                <w:snapToGrid w:val="0"/>
                <w:color w:val="auto"/>
                <w:sz w:val="24"/>
                <w:highlight w:val="none"/>
              </w:rPr>
              <w:t>产生情况汇总见</w:t>
            </w:r>
            <w:r>
              <w:rPr>
                <w:rFonts w:hint="default" w:ascii="Times New Roman" w:hAnsi="Times New Roman" w:cs="Times New Roman"/>
                <w:color w:val="auto"/>
                <w:sz w:val="24"/>
                <w:highlight w:val="none"/>
              </w:rPr>
              <w:t>表4</w:t>
            </w:r>
            <w:r>
              <w:rPr>
                <w:rFonts w:hint="eastAsia" w:ascii="Times New Roman" w:hAnsi="Times New Roman" w:cs="Times New Roman"/>
                <w:color w:val="auto"/>
                <w:sz w:val="24"/>
                <w:highlight w:val="none"/>
                <w:lang w:val="en-US" w:eastAsia="zh-CN"/>
              </w:rPr>
              <w:t>-16</w:t>
            </w:r>
            <w:r>
              <w:rPr>
                <w:rFonts w:hint="default" w:ascii="Times New Roman" w:hAnsi="Times New Roman" w:cs="Times New Roman"/>
                <w:snapToGrid w:val="0"/>
                <w:color w:val="auto"/>
                <w:sz w:val="24"/>
                <w:highlight w:val="none"/>
              </w:rPr>
              <w:t>，</w:t>
            </w:r>
            <w:r>
              <w:rPr>
                <w:rFonts w:hint="default" w:ascii="Times New Roman" w:hAnsi="Times New Roman" w:cs="Times New Roman"/>
                <w:snapToGrid w:val="0"/>
                <w:color w:val="auto"/>
                <w:sz w:val="24"/>
                <w:highlight w:val="none"/>
                <w:lang w:val="en-US"/>
              </w:rPr>
              <w:t>危险废物汇总表见4-</w:t>
            </w:r>
            <w:r>
              <w:rPr>
                <w:rFonts w:hint="eastAsia" w:ascii="Times New Roman" w:hAnsi="Times New Roman" w:cs="Times New Roman"/>
                <w:snapToGrid w:val="0"/>
                <w:color w:val="auto"/>
                <w:sz w:val="24"/>
                <w:highlight w:val="none"/>
                <w:lang w:val="en-US" w:eastAsia="zh-CN"/>
              </w:rPr>
              <w:t>17</w:t>
            </w:r>
            <w:r>
              <w:rPr>
                <w:rFonts w:hint="default" w:ascii="Times New Roman" w:hAnsi="Times New Roman" w:cs="Times New Roman"/>
                <w:snapToGrid w:val="0"/>
                <w:color w:val="auto"/>
                <w:sz w:val="24"/>
                <w:highlight w:val="none"/>
                <w:lang w:val="en-US"/>
              </w:rPr>
              <w:t>，固废利用处置方式汇总见表4-</w:t>
            </w:r>
            <w:r>
              <w:rPr>
                <w:rFonts w:hint="eastAsia" w:ascii="Times New Roman" w:hAnsi="Times New Roman" w:cs="Times New Roman"/>
                <w:snapToGrid w:val="0"/>
                <w:color w:val="auto"/>
                <w:sz w:val="24"/>
                <w:highlight w:val="none"/>
                <w:lang w:val="en-US" w:eastAsia="zh-CN"/>
              </w:rPr>
              <w:t>18</w:t>
            </w:r>
            <w:r>
              <w:rPr>
                <w:rFonts w:hint="default" w:ascii="Times New Roman" w:hAnsi="Times New Roman" w:cs="Times New Roman"/>
                <w:snapToGrid w:val="0"/>
                <w:color w:val="auto"/>
                <w:sz w:val="24"/>
                <w:highlight w:val="none"/>
                <w:lang w:val="en-US"/>
              </w:rPr>
              <w:t>。</w:t>
            </w:r>
          </w:p>
          <w:p w14:paraId="17A7F16D">
            <w:pPr>
              <w:pStyle w:val="15"/>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color w:val="auto"/>
                <w:kern w:val="0"/>
                <w:sz w:val="24"/>
                <w:szCs w:val="24"/>
                <w:highlight w:val="none"/>
              </w:rPr>
              <w:t>表</w:t>
            </w:r>
            <w:r>
              <w:rPr>
                <w:rFonts w:hint="default" w:ascii="Times New Roman" w:hAnsi="Times New Roman" w:eastAsia="宋体" w:cs="Times New Roman"/>
                <w:b/>
                <w:bCs/>
                <w:color w:val="auto"/>
                <w:kern w:val="0"/>
                <w:sz w:val="24"/>
                <w:szCs w:val="24"/>
                <w:highlight w:val="none"/>
                <w:lang w:bidi="en-US"/>
              </w:rPr>
              <w:t>4-1</w:t>
            </w:r>
            <w:r>
              <w:rPr>
                <w:rFonts w:hint="eastAsia" w:eastAsia="宋体" w:cs="Times New Roman"/>
                <w:b/>
                <w:bCs/>
                <w:color w:val="auto"/>
                <w:kern w:val="0"/>
                <w:sz w:val="24"/>
                <w:szCs w:val="24"/>
                <w:highlight w:val="none"/>
                <w:lang w:val="en-US" w:eastAsia="zh-CN" w:bidi="en-US"/>
              </w:rPr>
              <w:t>6</w:t>
            </w:r>
            <w:r>
              <w:rPr>
                <w:rFonts w:hint="default" w:ascii="Times New Roman" w:hAnsi="Times New Roman" w:eastAsia="宋体" w:cs="Times New Roman"/>
                <w:b/>
                <w:bCs/>
                <w:color w:val="auto"/>
                <w:kern w:val="0"/>
                <w:sz w:val="24"/>
                <w:szCs w:val="24"/>
                <w:highlight w:val="none"/>
                <w:lang w:bidi="en-US"/>
              </w:rPr>
              <w:t xml:space="preserve"> </w:t>
            </w:r>
            <w:r>
              <w:rPr>
                <w:rFonts w:hint="default" w:ascii="Times New Roman" w:hAnsi="Times New Roman" w:eastAsia="宋体" w:cs="Times New Roman"/>
                <w:snapToGrid w:val="0"/>
                <w:color w:val="auto"/>
                <w:kern w:val="0"/>
                <w:sz w:val="24"/>
                <w:szCs w:val="24"/>
                <w:highlight w:val="none"/>
                <w:lang w:val="en-US"/>
              </w:rPr>
              <w:t>本</w:t>
            </w:r>
            <w:r>
              <w:rPr>
                <w:rFonts w:hint="default" w:ascii="Times New Roman" w:hAnsi="Times New Roman" w:eastAsia="宋体" w:cs="Times New Roman"/>
                <w:snapToGrid w:val="0"/>
                <w:color w:val="auto"/>
                <w:kern w:val="0"/>
                <w:sz w:val="24"/>
                <w:szCs w:val="24"/>
                <w:highlight w:val="none"/>
              </w:rPr>
              <w:t>项目</w:t>
            </w:r>
            <w:r>
              <w:rPr>
                <w:rFonts w:hint="default" w:ascii="Times New Roman" w:hAnsi="Times New Roman" w:eastAsia="宋体" w:cs="Times New Roman"/>
                <w:snapToGrid w:val="0"/>
                <w:color w:val="auto"/>
                <w:kern w:val="0"/>
                <w:sz w:val="24"/>
                <w:szCs w:val="24"/>
                <w:highlight w:val="none"/>
                <w:lang w:val="en-US"/>
              </w:rPr>
              <w:t>固体废物</w:t>
            </w:r>
            <w:r>
              <w:rPr>
                <w:rFonts w:hint="default" w:ascii="Times New Roman" w:hAnsi="Times New Roman" w:eastAsia="宋体" w:cs="Times New Roman"/>
                <w:snapToGrid w:val="0"/>
                <w:color w:val="auto"/>
                <w:kern w:val="0"/>
                <w:sz w:val="24"/>
                <w:szCs w:val="24"/>
                <w:highlight w:val="none"/>
              </w:rPr>
              <w:t>产生情况汇总表</w:t>
            </w:r>
            <w:r>
              <w:rPr>
                <w:rFonts w:hint="default" w:ascii="Times New Roman" w:hAnsi="Times New Roman" w:eastAsia="宋体" w:cs="Times New Roman"/>
                <w:b/>
                <w:bCs/>
                <w:color w:val="auto"/>
                <w:kern w:val="0"/>
                <w:sz w:val="24"/>
                <w:szCs w:val="24"/>
                <w:highlight w:val="none"/>
              </w:rPr>
              <w:t>（t/a）</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064"/>
              <w:gridCol w:w="984"/>
              <w:gridCol w:w="471"/>
              <w:gridCol w:w="836"/>
              <w:gridCol w:w="919"/>
              <w:gridCol w:w="840"/>
              <w:gridCol w:w="720"/>
              <w:gridCol w:w="1108"/>
              <w:gridCol w:w="1150"/>
            </w:tblGrid>
            <w:tr w14:paraId="72F4A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restart"/>
                  <w:vAlign w:val="center"/>
                </w:tcPr>
                <w:p w14:paraId="6672853A">
                  <w:pPr>
                    <w:widowControl/>
                    <w:adjustRightInd w:val="0"/>
                    <w:snapToGrid w:val="0"/>
                    <w:jc w:val="center"/>
                    <w:rPr>
                      <w:rFonts w:eastAsiaTheme="minorEastAsia"/>
                      <w:b/>
                      <w:color w:val="auto"/>
                      <w:kern w:val="0"/>
                      <w:szCs w:val="21"/>
                      <w:highlight w:val="none"/>
                    </w:rPr>
                  </w:pPr>
                  <w:r>
                    <w:rPr>
                      <w:rFonts w:eastAsiaTheme="minorEastAsia"/>
                      <w:b/>
                      <w:color w:val="auto"/>
                      <w:kern w:val="0"/>
                      <w:szCs w:val="21"/>
                      <w:highlight w:val="none"/>
                    </w:rPr>
                    <w:t>序号</w:t>
                  </w:r>
                </w:p>
              </w:tc>
              <w:tc>
                <w:tcPr>
                  <w:tcW w:w="624" w:type="pct"/>
                  <w:vMerge w:val="restart"/>
                  <w:vAlign w:val="center"/>
                </w:tcPr>
                <w:p w14:paraId="31EE3A03">
                  <w:pPr>
                    <w:widowControl/>
                    <w:adjustRightInd w:val="0"/>
                    <w:snapToGrid w:val="0"/>
                    <w:jc w:val="center"/>
                    <w:rPr>
                      <w:rFonts w:eastAsiaTheme="minorEastAsia"/>
                      <w:b/>
                      <w:color w:val="auto"/>
                      <w:kern w:val="0"/>
                      <w:szCs w:val="21"/>
                      <w:highlight w:val="none"/>
                    </w:rPr>
                  </w:pPr>
                  <w:r>
                    <w:rPr>
                      <w:rFonts w:eastAsiaTheme="minorEastAsia"/>
                      <w:b/>
                      <w:color w:val="auto"/>
                      <w:kern w:val="0"/>
                      <w:szCs w:val="21"/>
                      <w:highlight w:val="none"/>
                    </w:rPr>
                    <w:t>污染物名称</w:t>
                  </w:r>
                </w:p>
              </w:tc>
              <w:tc>
                <w:tcPr>
                  <w:tcW w:w="577" w:type="pct"/>
                  <w:vMerge w:val="restart"/>
                  <w:vAlign w:val="center"/>
                </w:tcPr>
                <w:p w14:paraId="04105847">
                  <w:pPr>
                    <w:widowControl/>
                    <w:adjustRightInd w:val="0"/>
                    <w:snapToGrid w:val="0"/>
                    <w:jc w:val="center"/>
                    <w:rPr>
                      <w:rFonts w:eastAsiaTheme="minorEastAsia"/>
                      <w:b/>
                      <w:color w:val="auto"/>
                      <w:kern w:val="0"/>
                      <w:szCs w:val="21"/>
                      <w:highlight w:val="none"/>
                    </w:rPr>
                  </w:pPr>
                  <w:r>
                    <w:rPr>
                      <w:rFonts w:eastAsiaTheme="minorEastAsia"/>
                      <w:b/>
                      <w:color w:val="auto"/>
                      <w:kern w:val="0"/>
                      <w:szCs w:val="21"/>
                      <w:highlight w:val="none"/>
                    </w:rPr>
                    <w:t>产生工序</w:t>
                  </w:r>
                </w:p>
              </w:tc>
              <w:tc>
                <w:tcPr>
                  <w:tcW w:w="276" w:type="pct"/>
                  <w:vMerge w:val="restart"/>
                  <w:vAlign w:val="center"/>
                </w:tcPr>
                <w:p w14:paraId="76E095CF">
                  <w:pPr>
                    <w:widowControl/>
                    <w:adjustRightInd w:val="0"/>
                    <w:snapToGrid w:val="0"/>
                    <w:jc w:val="center"/>
                    <w:rPr>
                      <w:rFonts w:eastAsiaTheme="minorEastAsia"/>
                      <w:b/>
                      <w:color w:val="auto"/>
                      <w:kern w:val="0"/>
                      <w:szCs w:val="21"/>
                      <w:highlight w:val="none"/>
                    </w:rPr>
                  </w:pPr>
                  <w:r>
                    <w:rPr>
                      <w:rFonts w:eastAsiaTheme="minorEastAsia"/>
                      <w:b/>
                      <w:color w:val="auto"/>
                      <w:kern w:val="0"/>
                      <w:szCs w:val="21"/>
                      <w:highlight w:val="none"/>
                    </w:rPr>
                    <w:t>形态</w:t>
                  </w:r>
                </w:p>
              </w:tc>
              <w:tc>
                <w:tcPr>
                  <w:tcW w:w="490" w:type="pct"/>
                  <w:vMerge w:val="restart"/>
                  <w:vAlign w:val="center"/>
                </w:tcPr>
                <w:p w14:paraId="2C3C9961">
                  <w:pPr>
                    <w:widowControl/>
                    <w:adjustRightInd w:val="0"/>
                    <w:snapToGrid w:val="0"/>
                    <w:jc w:val="center"/>
                    <w:rPr>
                      <w:rFonts w:eastAsiaTheme="minorEastAsia"/>
                      <w:b/>
                      <w:color w:val="auto"/>
                      <w:kern w:val="0"/>
                      <w:szCs w:val="21"/>
                      <w:highlight w:val="none"/>
                    </w:rPr>
                  </w:pPr>
                  <w:r>
                    <w:rPr>
                      <w:rFonts w:eastAsiaTheme="minorEastAsia"/>
                      <w:b/>
                      <w:color w:val="auto"/>
                      <w:kern w:val="0"/>
                      <w:szCs w:val="21"/>
                      <w:highlight w:val="none"/>
                    </w:rPr>
                    <w:t>主要成分</w:t>
                  </w:r>
                </w:p>
              </w:tc>
              <w:tc>
                <w:tcPr>
                  <w:tcW w:w="539" w:type="pct"/>
                  <w:vMerge w:val="restart"/>
                  <w:vAlign w:val="center"/>
                </w:tcPr>
                <w:p w14:paraId="5EB00B77">
                  <w:pPr>
                    <w:widowControl/>
                    <w:adjustRightInd w:val="0"/>
                    <w:snapToGrid w:val="0"/>
                    <w:jc w:val="center"/>
                    <w:rPr>
                      <w:rFonts w:eastAsiaTheme="minorEastAsia"/>
                      <w:b/>
                      <w:color w:val="auto"/>
                      <w:kern w:val="0"/>
                      <w:szCs w:val="21"/>
                      <w:highlight w:val="none"/>
                    </w:rPr>
                  </w:pPr>
                  <w:r>
                    <w:rPr>
                      <w:b/>
                      <w:color w:val="auto"/>
                      <w:szCs w:val="21"/>
                      <w:highlight w:val="none"/>
                    </w:rPr>
                    <w:t>预测产生量（t/a）</w:t>
                  </w:r>
                </w:p>
              </w:tc>
              <w:tc>
                <w:tcPr>
                  <w:tcW w:w="2241" w:type="pct"/>
                  <w:gridSpan w:val="4"/>
                  <w:vAlign w:val="center"/>
                </w:tcPr>
                <w:p w14:paraId="583F6196">
                  <w:pPr>
                    <w:widowControl/>
                    <w:adjustRightInd w:val="0"/>
                    <w:snapToGrid w:val="0"/>
                    <w:jc w:val="center"/>
                    <w:rPr>
                      <w:rFonts w:eastAsiaTheme="minorEastAsia"/>
                      <w:b/>
                      <w:color w:val="auto"/>
                      <w:kern w:val="0"/>
                      <w:szCs w:val="21"/>
                      <w:highlight w:val="none"/>
                    </w:rPr>
                  </w:pPr>
                  <w:r>
                    <w:rPr>
                      <w:rFonts w:eastAsiaTheme="minorEastAsia"/>
                      <w:b/>
                      <w:color w:val="auto"/>
                      <w:kern w:val="0"/>
                      <w:szCs w:val="21"/>
                      <w:highlight w:val="none"/>
                    </w:rPr>
                    <w:t>种类判断</w:t>
                  </w:r>
                </w:p>
              </w:tc>
            </w:tr>
            <w:tr w14:paraId="7AABA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vAlign w:val="center"/>
                </w:tcPr>
                <w:p w14:paraId="173CCDAC">
                  <w:pPr>
                    <w:widowControl/>
                    <w:adjustRightInd w:val="0"/>
                    <w:snapToGrid w:val="0"/>
                    <w:jc w:val="center"/>
                    <w:rPr>
                      <w:rFonts w:eastAsiaTheme="minorEastAsia"/>
                      <w:b/>
                      <w:color w:val="auto"/>
                      <w:kern w:val="0"/>
                      <w:szCs w:val="21"/>
                      <w:highlight w:val="none"/>
                    </w:rPr>
                  </w:pPr>
                </w:p>
              </w:tc>
              <w:tc>
                <w:tcPr>
                  <w:tcW w:w="624" w:type="pct"/>
                  <w:vMerge w:val="continue"/>
                  <w:vAlign w:val="center"/>
                </w:tcPr>
                <w:p w14:paraId="40F07397">
                  <w:pPr>
                    <w:widowControl/>
                    <w:adjustRightInd w:val="0"/>
                    <w:snapToGrid w:val="0"/>
                    <w:jc w:val="center"/>
                    <w:rPr>
                      <w:rFonts w:eastAsiaTheme="minorEastAsia"/>
                      <w:b/>
                      <w:color w:val="auto"/>
                      <w:kern w:val="0"/>
                      <w:szCs w:val="21"/>
                      <w:highlight w:val="none"/>
                    </w:rPr>
                  </w:pPr>
                </w:p>
              </w:tc>
              <w:tc>
                <w:tcPr>
                  <w:tcW w:w="577" w:type="pct"/>
                  <w:vMerge w:val="continue"/>
                  <w:vAlign w:val="center"/>
                </w:tcPr>
                <w:p w14:paraId="1F13411D">
                  <w:pPr>
                    <w:widowControl/>
                    <w:adjustRightInd w:val="0"/>
                    <w:snapToGrid w:val="0"/>
                    <w:jc w:val="center"/>
                    <w:rPr>
                      <w:rFonts w:eastAsiaTheme="minorEastAsia"/>
                      <w:b/>
                      <w:color w:val="auto"/>
                      <w:kern w:val="0"/>
                      <w:szCs w:val="21"/>
                      <w:highlight w:val="none"/>
                    </w:rPr>
                  </w:pPr>
                </w:p>
              </w:tc>
              <w:tc>
                <w:tcPr>
                  <w:tcW w:w="276" w:type="pct"/>
                  <w:vMerge w:val="continue"/>
                  <w:vAlign w:val="center"/>
                </w:tcPr>
                <w:p w14:paraId="01FEB55C">
                  <w:pPr>
                    <w:widowControl/>
                    <w:adjustRightInd w:val="0"/>
                    <w:snapToGrid w:val="0"/>
                    <w:jc w:val="center"/>
                    <w:rPr>
                      <w:rFonts w:eastAsiaTheme="minorEastAsia"/>
                      <w:b/>
                      <w:color w:val="auto"/>
                      <w:kern w:val="0"/>
                      <w:szCs w:val="21"/>
                      <w:highlight w:val="none"/>
                    </w:rPr>
                  </w:pPr>
                </w:p>
              </w:tc>
              <w:tc>
                <w:tcPr>
                  <w:tcW w:w="490" w:type="pct"/>
                  <w:vMerge w:val="continue"/>
                  <w:vAlign w:val="center"/>
                </w:tcPr>
                <w:p w14:paraId="1290806E">
                  <w:pPr>
                    <w:widowControl/>
                    <w:adjustRightInd w:val="0"/>
                    <w:snapToGrid w:val="0"/>
                    <w:jc w:val="center"/>
                    <w:rPr>
                      <w:rFonts w:eastAsiaTheme="minorEastAsia"/>
                      <w:b/>
                      <w:color w:val="auto"/>
                      <w:kern w:val="0"/>
                      <w:szCs w:val="21"/>
                      <w:highlight w:val="none"/>
                    </w:rPr>
                  </w:pPr>
                </w:p>
              </w:tc>
              <w:tc>
                <w:tcPr>
                  <w:tcW w:w="539" w:type="pct"/>
                  <w:vMerge w:val="continue"/>
                  <w:vAlign w:val="center"/>
                </w:tcPr>
                <w:p w14:paraId="52AAFA0F">
                  <w:pPr>
                    <w:widowControl/>
                    <w:adjustRightInd w:val="0"/>
                    <w:snapToGrid w:val="0"/>
                    <w:jc w:val="center"/>
                    <w:rPr>
                      <w:rFonts w:eastAsiaTheme="minorEastAsia"/>
                      <w:b/>
                      <w:color w:val="auto"/>
                      <w:kern w:val="0"/>
                      <w:szCs w:val="21"/>
                      <w:highlight w:val="none"/>
                    </w:rPr>
                  </w:pPr>
                </w:p>
              </w:tc>
              <w:tc>
                <w:tcPr>
                  <w:tcW w:w="493" w:type="pct"/>
                  <w:vAlign w:val="center"/>
                </w:tcPr>
                <w:p w14:paraId="399904F2">
                  <w:pPr>
                    <w:adjustRightInd w:val="0"/>
                    <w:snapToGrid w:val="0"/>
                    <w:jc w:val="center"/>
                    <w:rPr>
                      <w:rFonts w:eastAsiaTheme="minorEastAsia"/>
                      <w:b/>
                      <w:color w:val="auto"/>
                      <w:kern w:val="0"/>
                      <w:szCs w:val="21"/>
                      <w:highlight w:val="none"/>
                    </w:rPr>
                  </w:pPr>
                  <w:r>
                    <w:rPr>
                      <w:b/>
                      <w:color w:val="auto"/>
                      <w:szCs w:val="21"/>
                      <w:highlight w:val="none"/>
                    </w:rPr>
                    <w:t>固体废物</w:t>
                  </w:r>
                </w:p>
              </w:tc>
              <w:tc>
                <w:tcPr>
                  <w:tcW w:w="422" w:type="pct"/>
                  <w:vAlign w:val="center"/>
                </w:tcPr>
                <w:p w14:paraId="7E6958AA">
                  <w:pPr>
                    <w:adjustRightInd w:val="0"/>
                    <w:snapToGrid w:val="0"/>
                    <w:jc w:val="center"/>
                    <w:rPr>
                      <w:rFonts w:eastAsiaTheme="minorEastAsia"/>
                      <w:b/>
                      <w:color w:val="auto"/>
                      <w:kern w:val="0"/>
                      <w:szCs w:val="21"/>
                      <w:highlight w:val="none"/>
                    </w:rPr>
                  </w:pPr>
                  <w:r>
                    <w:rPr>
                      <w:b/>
                      <w:color w:val="auto"/>
                      <w:szCs w:val="21"/>
                      <w:highlight w:val="none"/>
                    </w:rPr>
                    <w:t>副产品</w:t>
                  </w:r>
                </w:p>
              </w:tc>
              <w:tc>
                <w:tcPr>
                  <w:tcW w:w="650" w:type="pct"/>
                  <w:vAlign w:val="center"/>
                </w:tcPr>
                <w:p w14:paraId="1B498F88">
                  <w:pPr>
                    <w:adjustRightInd w:val="0"/>
                    <w:snapToGrid w:val="0"/>
                    <w:jc w:val="center"/>
                    <w:rPr>
                      <w:rFonts w:eastAsiaTheme="minorEastAsia"/>
                      <w:b/>
                      <w:color w:val="auto"/>
                      <w:kern w:val="0"/>
                      <w:szCs w:val="21"/>
                      <w:highlight w:val="none"/>
                    </w:rPr>
                  </w:pPr>
                  <w:r>
                    <w:rPr>
                      <w:b/>
                      <w:color w:val="auto"/>
                      <w:szCs w:val="21"/>
                      <w:highlight w:val="none"/>
                    </w:rPr>
                    <w:t>来源鉴别</w:t>
                  </w:r>
                </w:p>
              </w:tc>
              <w:tc>
                <w:tcPr>
                  <w:tcW w:w="675" w:type="pct"/>
                  <w:vAlign w:val="center"/>
                </w:tcPr>
                <w:p w14:paraId="5478209E">
                  <w:pPr>
                    <w:widowControl/>
                    <w:adjustRightInd w:val="0"/>
                    <w:snapToGrid w:val="0"/>
                    <w:jc w:val="center"/>
                    <w:rPr>
                      <w:rFonts w:hint="eastAsia" w:eastAsiaTheme="minorEastAsia"/>
                      <w:b/>
                      <w:color w:val="auto"/>
                      <w:kern w:val="0"/>
                      <w:szCs w:val="21"/>
                      <w:highlight w:val="none"/>
                      <w:lang w:eastAsia="zh-CN"/>
                    </w:rPr>
                  </w:pPr>
                  <w:r>
                    <w:rPr>
                      <w:rFonts w:hint="eastAsia" w:eastAsiaTheme="minorEastAsia"/>
                      <w:b/>
                      <w:color w:val="auto"/>
                      <w:szCs w:val="21"/>
                      <w:highlight w:val="none"/>
                      <w:lang w:val="en-US" w:eastAsia="zh-CN"/>
                    </w:rPr>
                    <w:t>判定依据</w:t>
                  </w:r>
                </w:p>
              </w:tc>
            </w:tr>
            <w:tr w14:paraId="02037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2180E906">
                  <w:pPr>
                    <w:widowControl/>
                    <w:adjustRightInd w:val="0"/>
                    <w:snapToGrid w:val="0"/>
                    <w:jc w:val="center"/>
                    <w:rPr>
                      <w:rFonts w:eastAsiaTheme="minorEastAsia"/>
                      <w:color w:val="auto"/>
                      <w:kern w:val="0"/>
                      <w:szCs w:val="21"/>
                      <w:highlight w:val="none"/>
                    </w:rPr>
                  </w:pPr>
                  <w:r>
                    <w:rPr>
                      <w:rFonts w:eastAsiaTheme="minorEastAsia"/>
                      <w:color w:val="auto"/>
                      <w:kern w:val="0"/>
                      <w:szCs w:val="21"/>
                      <w:highlight w:val="none"/>
                    </w:rPr>
                    <w:t>1</w:t>
                  </w:r>
                </w:p>
              </w:tc>
              <w:tc>
                <w:tcPr>
                  <w:tcW w:w="624" w:type="pct"/>
                  <w:vAlign w:val="center"/>
                </w:tcPr>
                <w:p w14:paraId="172FB59B">
                  <w:pPr>
                    <w:widowControl/>
                    <w:adjustRightInd w:val="0"/>
                    <w:snapToGrid w:val="0"/>
                    <w:jc w:val="center"/>
                    <w:rPr>
                      <w:rFonts w:hint="eastAsia" w:eastAsiaTheme="minorEastAsia"/>
                      <w:color w:val="auto"/>
                      <w:kern w:val="0"/>
                      <w:szCs w:val="21"/>
                      <w:highlight w:val="none"/>
                      <w:lang w:eastAsia="zh-CN"/>
                    </w:rPr>
                  </w:pPr>
                  <w:r>
                    <w:rPr>
                      <w:rFonts w:eastAsiaTheme="minorEastAsia"/>
                      <w:color w:val="auto"/>
                      <w:kern w:val="0"/>
                      <w:szCs w:val="21"/>
                      <w:highlight w:val="none"/>
                    </w:rPr>
                    <w:t>废</w:t>
                  </w:r>
                  <w:r>
                    <w:rPr>
                      <w:rFonts w:hint="eastAsia" w:eastAsiaTheme="minorEastAsia"/>
                      <w:color w:val="auto"/>
                      <w:kern w:val="0"/>
                      <w:szCs w:val="21"/>
                      <w:highlight w:val="none"/>
                      <w:lang w:val="en-US" w:eastAsia="zh-CN"/>
                    </w:rPr>
                    <w:t>镀膜材料</w:t>
                  </w:r>
                </w:p>
              </w:tc>
              <w:tc>
                <w:tcPr>
                  <w:tcW w:w="577" w:type="pct"/>
                  <w:vAlign w:val="center"/>
                </w:tcPr>
                <w:p w14:paraId="0DD2A0B1">
                  <w:pPr>
                    <w:widowControl/>
                    <w:adjustRightInd w:val="0"/>
                    <w:snapToGrid w:val="0"/>
                    <w:jc w:val="center"/>
                    <w:rPr>
                      <w:rFonts w:eastAsiaTheme="minorEastAsia"/>
                      <w:color w:val="auto"/>
                      <w:kern w:val="0"/>
                      <w:szCs w:val="21"/>
                      <w:highlight w:val="none"/>
                    </w:rPr>
                  </w:pPr>
                  <w:r>
                    <w:rPr>
                      <w:rFonts w:hint="eastAsia" w:eastAsiaTheme="minorEastAsia"/>
                      <w:color w:val="auto"/>
                      <w:kern w:val="0"/>
                      <w:szCs w:val="21"/>
                      <w:highlight w:val="none"/>
                      <w:lang w:val="en-US" w:eastAsia="zh-CN"/>
                    </w:rPr>
                    <w:t>镀膜</w:t>
                  </w:r>
                </w:p>
              </w:tc>
              <w:tc>
                <w:tcPr>
                  <w:tcW w:w="276" w:type="pct"/>
                  <w:vAlign w:val="center"/>
                </w:tcPr>
                <w:p w14:paraId="0D241AA5">
                  <w:pPr>
                    <w:widowControl/>
                    <w:adjustRightInd w:val="0"/>
                    <w:snapToGrid w:val="0"/>
                    <w:jc w:val="center"/>
                    <w:rPr>
                      <w:rFonts w:eastAsiaTheme="minorEastAsia"/>
                      <w:color w:val="auto"/>
                      <w:kern w:val="0"/>
                      <w:szCs w:val="21"/>
                      <w:highlight w:val="none"/>
                    </w:rPr>
                  </w:pPr>
                  <w:r>
                    <w:rPr>
                      <w:rFonts w:eastAsiaTheme="minorEastAsia"/>
                      <w:color w:val="auto"/>
                      <w:kern w:val="0"/>
                      <w:szCs w:val="21"/>
                      <w:highlight w:val="none"/>
                    </w:rPr>
                    <w:t>固</w:t>
                  </w:r>
                </w:p>
              </w:tc>
              <w:tc>
                <w:tcPr>
                  <w:tcW w:w="490" w:type="pct"/>
                  <w:vAlign w:val="center"/>
                </w:tcPr>
                <w:p w14:paraId="7F17E46C">
                  <w:pPr>
                    <w:widowControl/>
                    <w:adjustRightInd w:val="0"/>
                    <w:snapToGrid w:val="0"/>
                    <w:jc w:val="center"/>
                    <w:rPr>
                      <w:rFonts w:hint="eastAsia" w:eastAsiaTheme="minorEastAsia"/>
                      <w:color w:val="auto"/>
                      <w:kern w:val="0"/>
                      <w:szCs w:val="21"/>
                      <w:highlight w:val="none"/>
                      <w:lang w:eastAsia="zh-CN"/>
                    </w:rPr>
                  </w:pPr>
                  <w:r>
                    <w:rPr>
                      <w:rFonts w:hint="eastAsia" w:eastAsiaTheme="minorEastAsia"/>
                      <w:color w:val="auto"/>
                      <w:kern w:val="0"/>
                      <w:szCs w:val="21"/>
                      <w:highlight w:val="none"/>
                      <w:lang w:eastAsia="zh-CN"/>
                    </w:rPr>
                    <w:t>玻璃</w:t>
                  </w:r>
                </w:p>
              </w:tc>
              <w:tc>
                <w:tcPr>
                  <w:tcW w:w="539" w:type="pct"/>
                  <w:vAlign w:val="center"/>
                </w:tcPr>
                <w:p w14:paraId="4074FAA1">
                  <w:pPr>
                    <w:widowControl/>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0.02</w:t>
                  </w:r>
                </w:p>
              </w:tc>
              <w:tc>
                <w:tcPr>
                  <w:tcW w:w="493" w:type="pct"/>
                  <w:vAlign w:val="center"/>
                </w:tcPr>
                <w:p w14:paraId="046FB0A3">
                  <w:pPr>
                    <w:widowControl/>
                    <w:adjustRightInd w:val="0"/>
                    <w:snapToGrid w:val="0"/>
                    <w:jc w:val="center"/>
                    <w:rPr>
                      <w:rFonts w:eastAsiaTheme="minorEastAsia"/>
                      <w:color w:val="auto"/>
                      <w:kern w:val="0"/>
                      <w:szCs w:val="21"/>
                      <w:highlight w:val="none"/>
                    </w:rPr>
                  </w:pPr>
                  <w:r>
                    <w:rPr>
                      <w:rFonts w:eastAsiaTheme="minorEastAsia"/>
                      <w:color w:val="auto"/>
                      <w:kern w:val="0"/>
                      <w:szCs w:val="21"/>
                      <w:highlight w:val="none"/>
                    </w:rPr>
                    <w:t>√</w:t>
                  </w:r>
                </w:p>
              </w:tc>
              <w:tc>
                <w:tcPr>
                  <w:tcW w:w="422" w:type="pct"/>
                  <w:vAlign w:val="center"/>
                </w:tcPr>
                <w:p w14:paraId="3DA1192A">
                  <w:pPr>
                    <w:widowControl/>
                    <w:adjustRightInd w:val="0"/>
                    <w:snapToGrid w:val="0"/>
                    <w:jc w:val="center"/>
                    <w:rPr>
                      <w:rFonts w:eastAsiaTheme="minorEastAsia"/>
                      <w:color w:val="auto"/>
                      <w:kern w:val="0"/>
                      <w:szCs w:val="21"/>
                      <w:highlight w:val="none"/>
                    </w:rPr>
                  </w:pPr>
                  <w:r>
                    <w:rPr>
                      <w:rFonts w:eastAsiaTheme="minorEastAsia"/>
                      <w:color w:val="auto"/>
                      <w:kern w:val="0"/>
                      <w:szCs w:val="21"/>
                      <w:highlight w:val="none"/>
                    </w:rPr>
                    <w:t>/</w:t>
                  </w:r>
                </w:p>
              </w:tc>
              <w:tc>
                <w:tcPr>
                  <w:tcW w:w="650" w:type="pct"/>
                  <w:vAlign w:val="center"/>
                </w:tcPr>
                <w:p w14:paraId="455CEFDB">
                  <w:pPr>
                    <w:widowControl/>
                    <w:adjustRightInd w:val="0"/>
                    <w:snapToGrid w:val="0"/>
                    <w:jc w:val="center"/>
                    <w:rPr>
                      <w:color w:val="auto"/>
                      <w:kern w:val="0"/>
                      <w:szCs w:val="21"/>
                      <w:highlight w:val="none"/>
                    </w:rPr>
                  </w:pPr>
                  <w:r>
                    <w:rPr>
                      <w:color w:val="auto"/>
                      <w:kern w:val="0"/>
                      <w:szCs w:val="21"/>
                      <w:highlight w:val="none"/>
                      <w:lang w:val="zh-CN"/>
                    </w:rPr>
                    <w:t>4.2（a）</w:t>
                  </w:r>
                </w:p>
              </w:tc>
              <w:tc>
                <w:tcPr>
                  <w:tcW w:w="675" w:type="pct"/>
                  <w:vMerge w:val="restart"/>
                  <w:vAlign w:val="center"/>
                </w:tcPr>
                <w:p w14:paraId="1A4D37B7">
                  <w:pPr>
                    <w:widowControl/>
                    <w:adjustRightInd w:val="0"/>
                    <w:snapToGrid w:val="0"/>
                    <w:spacing w:line="240" w:lineRule="exact"/>
                    <w:jc w:val="center"/>
                    <w:rPr>
                      <w:rFonts w:hint="eastAsia" w:eastAsia="宋体"/>
                      <w:color w:val="auto"/>
                      <w:szCs w:val="21"/>
                      <w:highlight w:val="none"/>
                      <w:lang w:val="en-US" w:eastAsia="zh-CN"/>
                    </w:rPr>
                  </w:pPr>
                  <w:r>
                    <w:rPr>
                      <w:rFonts w:hint="default" w:ascii="Times New Roman" w:hAnsi="Times New Roman" w:cs="Times New Roman"/>
                      <w:color w:val="auto"/>
                      <w:kern w:val="0"/>
                      <w:szCs w:val="21"/>
                      <w:highlight w:val="none"/>
                    </w:rPr>
                    <w:t>《固体废物鉴别标准通则》（GB34330-2017）</w:t>
                  </w:r>
                </w:p>
              </w:tc>
            </w:tr>
            <w:tr w14:paraId="5E6E1B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50" w:type="pct"/>
                  <w:vAlign w:val="center"/>
                </w:tcPr>
                <w:p w14:paraId="6EC69286">
                  <w:pPr>
                    <w:widowControl/>
                    <w:adjustRightInd w:val="0"/>
                    <w:snapToGrid w:val="0"/>
                    <w:jc w:val="center"/>
                    <w:rPr>
                      <w:rFonts w:hint="eastAsia" w:eastAsiaTheme="minorEastAsia"/>
                      <w:color w:val="auto"/>
                      <w:kern w:val="0"/>
                      <w:szCs w:val="21"/>
                      <w:highlight w:val="none"/>
                      <w:lang w:eastAsia="zh-CN"/>
                    </w:rPr>
                  </w:pPr>
                  <w:r>
                    <w:rPr>
                      <w:rFonts w:hint="eastAsia" w:eastAsiaTheme="minorEastAsia"/>
                      <w:color w:val="auto"/>
                      <w:kern w:val="0"/>
                      <w:szCs w:val="21"/>
                      <w:highlight w:val="none"/>
                      <w:lang w:val="en-US" w:eastAsia="zh-CN"/>
                    </w:rPr>
                    <w:t>2</w:t>
                  </w:r>
                </w:p>
              </w:tc>
              <w:tc>
                <w:tcPr>
                  <w:tcW w:w="624" w:type="pct"/>
                  <w:vAlign w:val="center"/>
                </w:tcPr>
                <w:p w14:paraId="5B2A8B88">
                  <w:pPr>
                    <w:widowControl/>
                    <w:adjustRightInd w:val="0"/>
                    <w:snapToGrid w:val="0"/>
                    <w:jc w:val="center"/>
                    <w:rPr>
                      <w:rFonts w:eastAsiaTheme="minorEastAsia"/>
                      <w:color w:val="auto"/>
                      <w:kern w:val="0"/>
                      <w:szCs w:val="21"/>
                      <w:highlight w:val="none"/>
                    </w:rPr>
                  </w:pPr>
                  <w:r>
                    <w:rPr>
                      <w:rFonts w:eastAsiaTheme="minorEastAsia"/>
                      <w:color w:val="auto"/>
                      <w:kern w:val="0"/>
                      <w:szCs w:val="21"/>
                      <w:highlight w:val="none"/>
                    </w:rPr>
                    <w:t>废</w:t>
                  </w:r>
                  <w:r>
                    <w:rPr>
                      <w:rFonts w:hint="eastAsia" w:eastAsiaTheme="minorEastAsia"/>
                      <w:color w:val="auto"/>
                      <w:kern w:val="0"/>
                      <w:szCs w:val="21"/>
                      <w:highlight w:val="none"/>
                      <w:lang w:eastAsia="zh-CN"/>
                    </w:rPr>
                    <w:t>润滑油</w:t>
                  </w:r>
                </w:p>
              </w:tc>
              <w:tc>
                <w:tcPr>
                  <w:tcW w:w="577" w:type="pct"/>
                  <w:vAlign w:val="center"/>
                </w:tcPr>
                <w:p w14:paraId="27890461">
                  <w:pPr>
                    <w:widowControl/>
                    <w:adjustRightInd w:val="0"/>
                    <w:snapToGrid w:val="0"/>
                    <w:jc w:val="center"/>
                    <w:rPr>
                      <w:rFonts w:eastAsiaTheme="minorEastAsia"/>
                      <w:color w:val="auto"/>
                      <w:kern w:val="0"/>
                      <w:szCs w:val="21"/>
                      <w:highlight w:val="none"/>
                    </w:rPr>
                  </w:pPr>
                  <w:r>
                    <w:rPr>
                      <w:rFonts w:hint="eastAsia" w:eastAsiaTheme="minorEastAsia"/>
                      <w:color w:val="auto"/>
                      <w:kern w:val="0"/>
                      <w:szCs w:val="21"/>
                      <w:highlight w:val="none"/>
                      <w:lang w:eastAsia="zh-CN"/>
                    </w:rPr>
                    <w:t>设备维修</w:t>
                  </w:r>
                </w:p>
              </w:tc>
              <w:tc>
                <w:tcPr>
                  <w:tcW w:w="276" w:type="pct"/>
                  <w:vAlign w:val="center"/>
                </w:tcPr>
                <w:p w14:paraId="09A9D7B1">
                  <w:pPr>
                    <w:widowControl/>
                    <w:adjustRightInd w:val="0"/>
                    <w:snapToGrid w:val="0"/>
                    <w:jc w:val="center"/>
                    <w:rPr>
                      <w:rFonts w:eastAsiaTheme="minorEastAsia"/>
                      <w:color w:val="auto"/>
                      <w:kern w:val="0"/>
                      <w:szCs w:val="21"/>
                      <w:highlight w:val="none"/>
                    </w:rPr>
                  </w:pPr>
                  <w:r>
                    <w:rPr>
                      <w:rFonts w:eastAsiaTheme="minorEastAsia"/>
                      <w:color w:val="auto"/>
                      <w:kern w:val="0"/>
                      <w:szCs w:val="21"/>
                      <w:highlight w:val="none"/>
                    </w:rPr>
                    <w:t>液</w:t>
                  </w:r>
                </w:p>
              </w:tc>
              <w:tc>
                <w:tcPr>
                  <w:tcW w:w="490" w:type="pct"/>
                  <w:vAlign w:val="center"/>
                </w:tcPr>
                <w:p w14:paraId="7179704B">
                  <w:pPr>
                    <w:widowControl/>
                    <w:adjustRightInd w:val="0"/>
                    <w:snapToGrid w:val="0"/>
                    <w:jc w:val="center"/>
                    <w:rPr>
                      <w:rFonts w:eastAsiaTheme="minorEastAsia"/>
                      <w:color w:val="auto"/>
                      <w:kern w:val="0"/>
                      <w:szCs w:val="21"/>
                      <w:highlight w:val="none"/>
                    </w:rPr>
                  </w:pPr>
                  <w:r>
                    <w:rPr>
                      <w:rFonts w:hint="eastAsia" w:eastAsiaTheme="minorEastAsia"/>
                      <w:color w:val="auto"/>
                      <w:kern w:val="0"/>
                      <w:szCs w:val="21"/>
                      <w:highlight w:val="none"/>
                      <w:lang w:val="zh-CN"/>
                    </w:rPr>
                    <w:t>矿物油</w:t>
                  </w:r>
                </w:p>
              </w:tc>
              <w:tc>
                <w:tcPr>
                  <w:tcW w:w="539" w:type="pct"/>
                  <w:vAlign w:val="center"/>
                </w:tcPr>
                <w:p w14:paraId="6C0B6AC6">
                  <w:pPr>
                    <w:widowControl/>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0.01</w:t>
                  </w:r>
                </w:p>
              </w:tc>
              <w:tc>
                <w:tcPr>
                  <w:tcW w:w="493" w:type="pct"/>
                  <w:vAlign w:val="center"/>
                </w:tcPr>
                <w:p w14:paraId="1DE15DF5">
                  <w:pPr>
                    <w:widowControl/>
                    <w:adjustRightInd w:val="0"/>
                    <w:snapToGrid w:val="0"/>
                    <w:jc w:val="center"/>
                    <w:rPr>
                      <w:rFonts w:eastAsiaTheme="minorEastAsia"/>
                      <w:color w:val="auto"/>
                      <w:kern w:val="0"/>
                      <w:szCs w:val="21"/>
                      <w:highlight w:val="none"/>
                    </w:rPr>
                  </w:pPr>
                  <w:r>
                    <w:rPr>
                      <w:rFonts w:eastAsiaTheme="minorEastAsia"/>
                      <w:color w:val="auto"/>
                      <w:kern w:val="0"/>
                      <w:szCs w:val="21"/>
                      <w:highlight w:val="none"/>
                    </w:rPr>
                    <w:t>√</w:t>
                  </w:r>
                </w:p>
              </w:tc>
              <w:tc>
                <w:tcPr>
                  <w:tcW w:w="422" w:type="pct"/>
                  <w:vAlign w:val="center"/>
                </w:tcPr>
                <w:p w14:paraId="2C373833">
                  <w:pPr>
                    <w:widowControl/>
                    <w:adjustRightInd w:val="0"/>
                    <w:snapToGrid w:val="0"/>
                    <w:jc w:val="center"/>
                    <w:rPr>
                      <w:rFonts w:eastAsiaTheme="minorEastAsia"/>
                      <w:color w:val="auto"/>
                      <w:kern w:val="0"/>
                      <w:szCs w:val="21"/>
                      <w:highlight w:val="none"/>
                    </w:rPr>
                  </w:pPr>
                  <w:r>
                    <w:rPr>
                      <w:rFonts w:eastAsiaTheme="minorEastAsia"/>
                      <w:color w:val="auto"/>
                      <w:kern w:val="0"/>
                      <w:szCs w:val="21"/>
                      <w:highlight w:val="none"/>
                    </w:rPr>
                    <w:t>/</w:t>
                  </w:r>
                </w:p>
              </w:tc>
              <w:tc>
                <w:tcPr>
                  <w:tcW w:w="650" w:type="pct"/>
                  <w:vAlign w:val="center"/>
                </w:tcPr>
                <w:p w14:paraId="04B0F5FD">
                  <w:pPr>
                    <w:widowControl/>
                    <w:adjustRightInd w:val="0"/>
                    <w:snapToGrid w:val="0"/>
                    <w:jc w:val="center"/>
                    <w:rPr>
                      <w:color w:val="auto"/>
                      <w:kern w:val="0"/>
                      <w:szCs w:val="21"/>
                      <w:highlight w:val="none"/>
                    </w:rPr>
                  </w:pPr>
                  <w:r>
                    <w:rPr>
                      <w:color w:val="auto"/>
                      <w:kern w:val="0"/>
                      <w:szCs w:val="21"/>
                      <w:highlight w:val="none"/>
                    </w:rPr>
                    <w:t>4.1（h）</w:t>
                  </w:r>
                </w:p>
              </w:tc>
              <w:tc>
                <w:tcPr>
                  <w:tcW w:w="675" w:type="pct"/>
                  <w:vMerge w:val="continue"/>
                  <w:vAlign w:val="center"/>
                </w:tcPr>
                <w:p w14:paraId="79D58B82">
                  <w:pPr>
                    <w:adjustRightInd w:val="0"/>
                    <w:snapToGrid w:val="0"/>
                    <w:spacing w:line="240" w:lineRule="exact"/>
                    <w:jc w:val="center"/>
                    <w:rPr>
                      <w:rFonts w:eastAsiaTheme="minorEastAsia"/>
                      <w:color w:val="auto"/>
                      <w:kern w:val="0"/>
                      <w:szCs w:val="21"/>
                      <w:highlight w:val="none"/>
                    </w:rPr>
                  </w:pPr>
                </w:p>
              </w:tc>
            </w:tr>
            <w:tr w14:paraId="58764A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5E97414D">
                  <w:pPr>
                    <w:widowControl/>
                    <w:adjustRightInd w:val="0"/>
                    <w:snapToGrid w:val="0"/>
                    <w:jc w:val="center"/>
                    <w:rPr>
                      <w:rFonts w:hint="eastAsia" w:eastAsiaTheme="minorEastAsia"/>
                      <w:color w:val="auto"/>
                      <w:kern w:val="0"/>
                      <w:szCs w:val="21"/>
                      <w:highlight w:val="none"/>
                      <w:lang w:eastAsia="zh-CN"/>
                    </w:rPr>
                  </w:pPr>
                  <w:r>
                    <w:rPr>
                      <w:rFonts w:hint="eastAsia" w:eastAsiaTheme="minorEastAsia"/>
                      <w:color w:val="auto"/>
                      <w:kern w:val="0"/>
                      <w:szCs w:val="21"/>
                      <w:highlight w:val="none"/>
                      <w:lang w:val="en-US" w:eastAsia="zh-CN"/>
                    </w:rPr>
                    <w:t>3</w:t>
                  </w:r>
                </w:p>
              </w:tc>
              <w:tc>
                <w:tcPr>
                  <w:tcW w:w="624" w:type="pct"/>
                  <w:vAlign w:val="center"/>
                </w:tcPr>
                <w:p w14:paraId="0BB67F84">
                  <w:pPr>
                    <w:overflowPunct w:val="0"/>
                    <w:adjustRightInd w:val="0"/>
                    <w:snapToGrid w:val="0"/>
                    <w:jc w:val="center"/>
                    <w:textAlignment w:val="baseline"/>
                    <w:rPr>
                      <w:rFonts w:hint="default" w:eastAsia="宋体"/>
                      <w:color w:val="auto"/>
                      <w:kern w:val="0"/>
                      <w:szCs w:val="21"/>
                      <w:highlight w:val="none"/>
                      <w:lang w:val="en-US" w:eastAsia="zh-CN"/>
                    </w:rPr>
                  </w:pPr>
                  <w:r>
                    <w:rPr>
                      <w:color w:val="auto"/>
                      <w:sz w:val="21"/>
                      <w:szCs w:val="21"/>
                      <w:highlight w:val="none"/>
                    </w:rPr>
                    <w:t>废包装</w:t>
                  </w:r>
                  <w:r>
                    <w:rPr>
                      <w:rFonts w:hint="eastAsia"/>
                      <w:color w:val="auto"/>
                      <w:sz w:val="21"/>
                      <w:szCs w:val="21"/>
                      <w:highlight w:val="none"/>
                      <w:lang w:val="en-US" w:eastAsia="zh-CN"/>
                    </w:rPr>
                    <w:t>瓶</w:t>
                  </w:r>
                </w:p>
              </w:tc>
              <w:tc>
                <w:tcPr>
                  <w:tcW w:w="577" w:type="pct"/>
                  <w:vMerge w:val="restart"/>
                  <w:vAlign w:val="center"/>
                </w:tcPr>
                <w:p w14:paraId="6429ADE2">
                  <w:pPr>
                    <w:widowControl/>
                    <w:adjustRightInd w:val="0"/>
                    <w:snapToGrid w:val="0"/>
                    <w:jc w:val="center"/>
                    <w:rPr>
                      <w:rFonts w:eastAsiaTheme="minorEastAsia"/>
                      <w:color w:val="auto"/>
                      <w:kern w:val="0"/>
                      <w:szCs w:val="21"/>
                      <w:highlight w:val="none"/>
                    </w:rPr>
                  </w:pPr>
                  <w:r>
                    <w:rPr>
                      <w:rFonts w:eastAsiaTheme="minorEastAsia"/>
                      <w:color w:val="auto"/>
                      <w:kern w:val="0"/>
                      <w:szCs w:val="21"/>
                      <w:highlight w:val="none"/>
                    </w:rPr>
                    <w:t>原辅料包装</w:t>
                  </w:r>
                </w:p>
              </w:tc>
              <w:tc>
                <w:tcPr>
                  <w:tcW w:w="276" w:type="pct"/>
                  <w:vMerge w:val="restart"/>
                  <w:vAlign w:val="center"/>
                </w:tcPr>
                <w:p w14:paraId="015A9FC4">
                  <w:pPr>
                    <w:widowControl/>
                    <w:adjustRightInd w:val="0"/>
                    <w:snapToGrid w:val="0"/>
                    <w:jc w:val="center"/>
                    <w:rPr>
                      <w:rFonts w:eastAsiaTheme="minorEastAsia"/>
                      <w:color w:val="auto"/>
                      <w:kern w:val="0"/>
                      <w:szCs w:val="21"/>
                      <w:highlight w:val="none"/>
                    </w:rPr>
                  </w:pPr>
                  <w:r>
                    <w:rPr>
                      <w:rFonts w:eastAsiaTheme="minorEastAsia"/>
                      <w:color w:val="auto"/>
                      <w:kern w:val="0"/>
                      <w:szCs w:val="21"/>
                      <w:highlight w:val="none"/>
                    </w:rPr>
                    <w:t>固</w:t>
                  </w:r>
                </w:p>
              </w:tc>
              <w:tc>
                <w:tcPr>
                  <w:tcW w:w="490" w:type="pct"/>
                  <w:vAlign w:val="center"/>
                </w:tcPr>
                <w:p w14:paraId="2CD3D2DC">
                  <w:pPr>
                    <w:widowControl/>
                    <w:adjustRightInd w:val="0"/>
                    <w:snapToGrid w:val="0"/>
                    <w:jc w:val="center"/>
                    <w:rPr>
                      <w:rFonts w:hint="eastAsia" w:eastAsiaTheme="minorEastAsia"/>
                      <w:color w:val="auto"/>
                      <w:kern w:val="0"/>
                      <w:szCs w:val="21"/>
                      <w:highlight w:val="none"/>
                      <w:lang w:eastAsia="zh-CN"/>
                    </w:rPr>
                  </w:pPr>
                  <w:r>
                    <w:rPr>
                      <w:rFonts w:hint="eastAsia" w:eastAsiaTheme="minorEastAsia"/>
                      <w:bCs/>
                      <w:color w:val="auto"/>
                      <w:kern w:val="0"/>
                      <w:sz w:val="21"/>
                      <w:szCs w:val="21"/>
                      <w:highlight w:val="none"/>
                      <w:lang w:eastAsia="zh-CN" w:bidi="en-US"/>
                    </w:rPr>
                    <w:t>胶、乙醇</w:t>
                  </w:r>
                </w:p>
              </w:tc>
              <w:tc>
                <w:tcPr>
                  <w:tcW w:w="539" w:type="pct"/>
                  <w:vAlign w:val="center"/>
                </w:tcPr>
                <w:p w14:paraId="62AD1E18">
                  <w:pPr>
                    <w:widowControl/>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0.02</w:t>
                  </w:r>
                </w:p>
              </w:tc>
              <w:tc>
                <w:tcPr>
                  <w:tcW w:w="493" w:type="pct"/>
                  <w:vAlign w:val="center"/>
                </w:tcPr>
                <w:p w14:paraId="0A7FC385">
                  <w:pPr>
                    <w:widowControl/>
                    <w:adjustRightInd w:val="0"/>
                    <w:snapToGrid w:val="0"/>
                    <w:jc w:val="center"/>
                    <w:rPr>
                      <w:rFonts w:eastAsiaTheme="minorEastAsia"/>
                      <w:color w:val="auto"/>
                      <w:kern w:val="0"/>
                      <w:szCs w:val="21"/>
                      <w:highlight w:val="none"/>
                    </w:rPr>
                  </w:pPr>
                  <w:r>
                    <w:rPr>
                      <w:rFonts w:eastAsiaTheme="minorEastAsia"/>
                      <w:color w:val="auto"/>
                      <w:kern w:val="0"/>
                      <w:szCs w:val="21"/>
                      <w:highlight w:val="none"/>
                    </w:rPr>
                    <w:t>√</w:t>
                  </w:r>
                </w:p>
              </w:tc>
              <w:tc>
                <w:tcPr>
                  <w:tcW w:w="422" w:type="pct"/>
                  <w:vAlign w:val="center"/>
                </w:tcPr>
                <w:p w14:paraId="56DC2EBE">
                  <w:pPr>
                    <w:widowControl/>
                    <w:adjustRightInd w:val="0"/>
                    <w:snapToGrid w:val="0"/>
                    <w:jc w:val="center"/>
                    <w:rPr>
                      <w:rFonts w:eastAsiaTheme="minorEastAsia"/>
                      <w:color w:val="auto"/>
                      <w:kern w:val="0"/>
                      <w:szCs w:val="21"/>
                      <w:highlight w:val="none"/>
                    </w:rPr>
                  </w:pPr>
                  <w:r>
                    <w:rPr>
                      <w:rFonts w:eastAsiaTheme="minorEastAsia"/>
                      <w:color w:val="auto"/>
                      <w:kern w:val="0"/>
                      <w:szCs w:val="21"/>
                      <w:highlight w:val="none"/>
                    </w:rPr>
                    <w:t>/</w:t>
                  </w:r>
                </w:p>
              </w:tc>
              <w:tc>
                <w:tcPr>
                  <w:tcW w:w="650" w:type="pct"/>
                  <w:vAlign w:val="center"/>
                </w:tcPr>
                <w:p w14:paraId="65A37523">
                  <w:pPr>
                    <w:widowControl/>
                    <w:adjustRightInd w:val="0"/>
                    <w:snapToGrid w:val="0"/>
                    <w:jc w:val="center"/>
                    <w:rPr>
                      <w:color w:val="auto"/>
                      <w:kern w:val="0"/>
                      <w:szCs w:val="21"/>
                      <w:highlight w:val="none"/>
                    </w:rPr>
                  </w:pPr>
                  <w:r>
                    <w:rPr>
                      <w:color w:val="auto"/>
                      <w:kern w:val="0"/>
                      <w:szCs w:val="21"/>
                      <w:highlight w:val="none"/>
                    </w:rPr>
                    <w:t>4.1（h）</w:t>
                  </w:r>
                </w:p>
              </w:tc>
              <w:tc>
                <w:tcPr>
                  <w:tcW w:w="675" w:type="pct"/>
                  <w:vMerge w:val="continue"/>
                  <w:vAlign w:val="center"/>
                </w:tcPr>
                <w:p w14:paraId="42AF08C1">
                  <w:pPr>
                    <w:widowControl/>
                    <w:adjustRightInd w:val="0"/>
                    <w:snapToGrid w:val="0"/>
                    <w:spacing w:line="240" w:lineRule="exact"/>
                    <w:jc w:val="center"/>
                    <w:rPr>
                      <w:rFonts w:eastAsiaTheme="minorEastAsia"/>
                      <w:color w:val="auto"/>
                      <w:kern w:val="0"/>
                      <w:szCs w:val="21"/>
                      <w:highlight w:val="none"/>
                    </w:rPr>
                  </w:pPr>
                </w:p>
              </w:tc>
            </w:tr>
            <w:tr w14:paraId="7303F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1ADA2DC8">
                  <w:pPr>
                    <w:widowControl/>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4</w:t>
                  </w:r>
                </w:p>
              </w:tc>
              <w:tc>
                <w:tcPr>
                  <w:tcW w:w="624" w:type="pct"/>
                  <w:vAlign w:val="center"/>
                </w:tcPr>
                <w:p w14:paraId="47A03F55">
                  <w:pPr>
                    <w:overflowPunct w:val="0"/>
                    <w:adjustRightInd w:val="0"/>
                    <w:snapToGrid w:val="0"/>
                    <w:jc w:val="center"/>
                    <w:textAlignment w:val="baseline"/>
                    <w:rPr>
                      <w:rFonts w:hint="eastAsia" w:eastAsia="宋体"/>
                      <w:color w:val="auto"/>
                      <w:sz w:val="21"/>
                      <w:szCs w:val="21"/>
                      <w:highlight w:val="none"/>
                      <w:lang w:eastAsia="zh-CN"/>
                    </w:rPr>
                  </w:pPr>
                  <w:r>
                    <w:rPr>
                      <w:rFonts w:hint="eastAsia"/>
                      <w:color w:val="auto"/>
                      <w:sz w:val="21"/>
                      <w:szCs w:val="21"/>
                      <w:highlight w:val="none"/>
                      <w:lang w:eastAsia="zh-CN"/>
                    </w:rPr>
                    <w:t>废油桶</w:t>
                  </w:r>
                </w:p>
              </w:tc>
              <w:tc>
                <w:tcPr>
                  <w:tcW w:w="577" w:type="pct"/>
                  <w:vMerge w:val="continue"/>
                  <w:vAlign w:val="center"/>
                </w:tcPr>
                <w:p w14:paraId="77F6567C">
                  <w:pPr>
                    <w:widowControl/>
                    <w:adjustRightInd w:val="0"/>
                    <w:snapToGrid w:val="0"/>
                    <w:jc w:val="center"/>
                    <w:rPr>
                      <w:rFonts w:eastAsiaTheme="minorEastAsia"/>
                      <w:color w:val="auto"/>
                      <w:kern w:val="0"/>
                      <w:szCs w:val="21"/>
                      <w:highlight w:val="none"/>
                    </w:rPr>
                  </w:pPr>
                </w:p>
              </w:tc>
              <w:tc>
                <w:tcPr>
                  <w:tcW w:w="276" w:type="pct"/>
                  <w:vMerge w:val="continue"/>
                  <w:vAlign w:val="center"/>
                </w:tcPr>
                <w:p w14:paraId="1848A485">
                  <w:pPr>
                    <w:widowControl/>
                    <w:adjustRightInd w:val="0"/>
                    <w:snapToGrid w:val="0"/>
                    <w:jc w:val="center"/>
                    <w:rPr>
                      <w:rFonts w:eastAsiaTheme="minorEastAsia"/>
                      <w:color w:val="auto"/>
                      <w:kern w:val="0"/>
                      <w:szCs w:val="21"/>
                      <w:highlight w:val="none"/>
                    </w:rPr>
                  </w:pPr>
                </w:p>
              </w:tc>
              <w:tc>
                <w:tcPr>
                  <w:tcW w:w="490" w:type="pct"/>
                  <w:vAlign w:val="center"/>
                </w:tcPr>
                <w:p w14:paraId="29981BC7">
                  <w:pPr>
                    <w:widowControl/>
                    <w:adjustRightInd w:val="0"/>
                    <w:snapToGrid w:val="0"/>
                    <w:jc w:val="center"/>
                    <w:rPr>
                      <w:rFonts w:hint="eastAsia" w:eastAsiaTheme="minorEastAsia"/>
                      <w:bCs/>
                      <w:color w:val="auto"/>
                      <w:kern w:val="0"/>
                      <w:sz w:val="21"/>
                      <w:szCs w:val="21"/>
                      <w:highlight w:val="none"/>
                      <w:lang w:eastAsia="zh-CN" w:bidi="en-US"/>
                    </w:rPr>
                  </w:pPr>
                  <w:r>
                    <w:rPr>
                      <w:rFonts w:hint="eastAsia" w:eastAsiaTheme="minorEastAsia"/>
                      <w:bCs/>
                      <w:color w:val="auto"/>
                      <w:kern w:val="0"/>
                      <w:sz w:val="21"/>
                      <w:szCs w:val="21"/>
                      <w:highlight w:val="none"/>
                      <w:lang w:eastAsia="zh-CN" w:bidi="en-US"/>
                    </w:rPr>
                    <w:t>矿物油</w:t>
                  </w:r>
                </w:p>
              </w:tc>
              <w:tc>
                <w:tcPr>
                  <w:tcW w:w="539" w:type="pct"/>
                  <w:vAlign w:val="center"/>
                </w:tcPr>
                <w:p w14:paraId="657ADB1E">
                  <w:pPr>
                    <w:widowControl/>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0.01</w:t>
                  </w:r>
                </w:p>
              </w:tc>
              <w:tc>
                <w:tcPr>
                  <w:tcW w:w="493" w:type="pct"/>
                  <w:vAlign w:val="center"/>
                </w:tcPr>
                <w:p w14:paraId="3ECFBB10">
                  <w:pPr>
                    <w:widowControl/>
                    <w:adjustRightInd w:val="0"/>
                    <w:snapToGrid w:val="0"/>
                    <w:jc w:val="center"/>
                    <w:rPr>
                      <w:rFonts w:eastAsiaTheme="minorEastAsia"/>
                      <w:color w:val="auto"/>
                      <w:kern w:val="0"/>
                      <w:szCs w:val="21"/>
                      <w:highlight w:val="none"/>
                    </w:rPr>
                  </w:pPr>
                  <w:r>
                    <w:rPr>
                      <w:rFonts w:eastAsiaTheme="minorEastAsia"/>
                      <w:color w:val="auto"/>
                      <w:kern w:val="0"/>
                      <w:szCs w:val="21"/>
                      <w:highlight w:val="none"/>
                    </w:rPr>
                    <w:t>√</w:t>
                  </w:r>
                </w:p>
              </w:tc>
              <w:tc>
                <w:tcPr>
                  <w:tcW w:w="422" w:type="pct"/>
                  <w:vAlign w:val="center"/>
                </w:tcPr>
                <w:p w14:paraId="60E3119F">
                  <w:pPr>
                    <w:widowControl/>
                    <w:adjustRightInd w:val="0"/>
                    <w:snapToGrid w:val="0"/>
                    <w:jc w:val="center"/>
                    <w:rPr>
                      <w:rFonts w:eastAsiaTheme="minorEastAsia"/>
                      <w:color w:val="auto"/>
                      <w:kern w:val="0"/>
                      <w:szCs w:val="21"/>
                      <w:highlight w:val="none"/>
                    </w:rPr>
                  </w:pPr>
                  <w:r>
                    <w:rPr>
                      <w:rFonts w:eastAsiaTheme="minorEastAsia"/>
                      <w:color w:val="auto"/>
                      <w:kern w:val="0"/>
                      <w:szCs w:val="21"/>
                      <w:highlight w:val="none"/>
                    </w:rPr>
                    <w:t>/</w:t>
                  </w:r>
                </w:p>
              </w:tc>
              <w:tc>
                <w:tcPr>
                  <w:tcW w:w="650" w:type="pct"/>
                  <w:vAlign w:val="center"/>
                </w:tcPr>
                <w:p w14:paraId="00AA4A9E">
                  <w:pPr>
                    <w:widowControl/>
                    <w:adjustRightInd w:val="0"/>
                    <w:snapToGrid w:val="0"/>
                    <w:jc w:val="center"/>
                    <w:rPr>
                      <w:color w:val="auto"/>
                      <w:kern w:val="0"/>
                      <w:szCs w:val="21"/>
                      <w:highlight w:val="none"/>
                    </w:rPr>
                  </w:pPr>
                  <w:r>
                    <w:rPr>
                      <w:color w:val="auto"/>
                      <w:kern w:val="0"/>
                      <w:szCs w:val="21"/>
                      <w:highlight w:val="none"/>
                    </w:rPr>
                    <w:t>4.1（h）</w:t>
                  </w:r>
                </w:p>
              </w:tc>
              <w:tc>
                <w:tcPr>
                  <w:tcW w:w="675" w:type="pct"/>
                  <w:vMerge w:val="continue"/>
                  <w:vAlign w:val="center"/>
                </w:tcPr>
                <w:p w14:paraId="40D6F27E">
                  <w:pPr>
                    <w:widowControl/>
                    <w:adjustRightInd w:val="0"/>
                    <w:snapToGrid w:val="0"/>
                    <w:spacing w:line="240" w:lineRule="exact"/>
                    <w:jc w:val="center"/>
                    <w:rPr>
                      <w:rFonts w:eastAsiaTheme="minorEastAsia"/>
                      <w:color w:val="auto"/>
                      <w:kern w:val="0"/>
                      <w:szCs w:val="21"/>
                      <w:highlight w:val="none"/>
                    </w:rPr>
                  </w:pPr>
                </w:p>
              </w:tc>
            </w:tr>
            <w:tr w14:paraId="143E2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50804BD4">
                  <w:pPr>
                    <w:widowControl/>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5</w:t>
                  </w:r>
                </w:p>
              </w:tc>
              <w:tc>
                <w:tcPr>
                  <w:tcW w:w="624" w:type="pct"/>
                  <w:vAlign w:val="center"/>
                </w:tcPr>
                <w:p w14:paraId="789991AA">
                  <w:pPr>
                    <w:pStyle w:val="92"/>
                    <w:spacing w:line="240" w:lineRule="auto"/>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eastAsia="zh-CN"/>
                    </w:rPr>
                    <w:t>废无尘纸/布</w:t>
                  </w:r>
                </w:p>
              </w:tc>
              <w:tc>
                <w:tcPr>
                  <w:tcW w:w="577" w:type="pct"/>
                  <w:vAlign w:val="center"/>
                </w:tcPr>
                <w:p w14:paraId="42F769A1">
                  <w:pPr>
                    <w:pStyle w:val="92"/>
                    <w:spacing w:line="240" w:lineRule="auto"/>
                    <w:rPr>
                      <w:rFonts w:hint="eastAsia" w:ascii="Times New Roman" w:hAnsi="Times New Roman" w:eastAsia="宋体" w:cs="Times New Roman"/>
                      <w:color w:val="auto"/>
                      <w:sz w:val="21"/>
                      <w:highlight w:val="none"/>
                      <w:lang w:eastAsia="zh-CN"/>
                    </w:rPr>
                  </w:pPr>
                  <w:r>
                    <w:rPr>
                      <w:rFonts w:hint="eastAsia" w:cs="Times New Roman"/>
                      <w:color w:val="auto"/>
                      <w:sz w:val="21"/>
                      <w:highlight w:val="none"/>
                      <w:lang w:eastAsia="zh-CN"/>
                    </w:rPr>
                    <w:t>擦拭</w:t>
                  </w:r>
                </w:p>
              </w:tc>
              <w:tc>
                <w:tcPr>
                  <w:tcW w:w="276" w:type="pct"/>
                  <w:vAlign w:val="center"/>
                </w:tcPr>
                <w:p w14:paraId="3A5D0521">
                  <w:pPr>
                    <w:pStyle w:val="92"/>
                    <w:spacing w:line="240" w:lineRule="auto"/>
                    <w:rPr>
                      <w:rFonts w:hint="eastAsia" w:ascii="Times New Roman" w:hAnsi="Times New Roman" w:eastAsia="宋体" w:cs="Times New Roman"/>
                      <w:color w:val="auto"/>
                      <w:sz w:val="21"/>
                      <w:highlight w:val="none"/>
                      <w:lang w:eastAsia="zh-CN"/>
                    </w:rPr>
                  </w:pPr>
                  <w:r>
                    <w:rPr>
                      <w:rFonts w:hint="eastAsia" w:cs="Times New Roman"/>
                      <w:color w:val="auto"/>
                      <w:sz w:val="21"/>
                      <w:highlight w:val="none"/>
                      <w:lang w:eastAsia="zh-CN"/>
                    </w:rPr>
                    <w:t>固</w:t>
                  </w:r>
                </w:p>
              </w:tc>
              <w:tc>
                <w:tcPr>
                  <w:tcW w:w="490" w:type="pct"/>
                  <w:vAlign w:val="center"/>
                </w:tcPr>
                <w:p w14:paraId="297F6EDC">
                  <w:pPr>
                    <w:pStyle w:val="92"/>
                    <w:spacing w:line="240" w:lineRule="auto"/>
                    <w:rPr>
                      <w:rFonts w:hint="eastAsia" w:ascii="Times New Roman" w:hAnsi="Times New Roman" w:eastAsia="宋体" w:cs="Times New Roman"/>
                      <w:color w:val="auto"/>
                      <w:sz w:val="21"/>
                      <w:highlight w:val="none"/>
                      <w:lang w:eastAsia="zh-CN"/>
                    </w:rPr>
                  </w:pPr>
                  <w:r>
                    <w:rPr>
                      <w:rFonts w:hint="eastAsia" w:cs="Times New Roman"/>
                      <w:color w:val="auto"/>
                      <w:sz w:val="21"/>
                      <w:highlight w:val="none"/>
                      <w:lang w:eastAsia="zh-CN"/>
                    </w:rPr>
                    <w:t>乙醇</w:t>
                  </w:r>
                </w:p>
              </w:tc>
              <w:tc>
                <w:tcPr>
                  <w:tcW w:w="539" w:type="pct"/>
                  <w:vAlign w:val="center"/>
                </w:tcPr>
                <w:p w14:paraId="0D9B6B08">
                  <w:pPr>
                    <w:widowControl/>
                    <w:adjustRightInd w:val="0"/>
                    <w:snapToGrid w:val="0"/>
                    <w:jc w:val="center"/>
                    <w:rPr>
                      <w:rFonts w:hint="default" w:ascii="Times New Roman" w:hAnsi="Times New Roman" w:cs="Times New Roman" w:eastAsiaTheme="minorEastAsia"/>
                      <w:color w:val="auto"/>
                      <w:kern w:val="0"/>
                      <w:szCs w:val="21"/>
                      <w:highlight w:val="none"/>
                      <w:lang w:val="en-US" w:eastAsia="zh-CN"/>
                    </w:rPr>
                  </w:pPr>
                  <w:r>
                    <w:rPr>
                      <w:rFonts w:hint="eastAsia" w:cs="Times New Roman" w:eastAsiaTheme="minorEastAsia"/>
                      <w:color w:val="auto"/>
                      <w:kern w:val="0"/>
                      <w:szCs w:val="21"/>
                      <w:highlight w:val="none"/>
                      <w:lang w:val="en-US" w:eastAsia="zh-CN"/>
                    </w:rPr>
                    <w:t>0.001</w:t>
                  </w:r>
                </w:p>
              </w:tc>
              <w:tc>
                <w:tcPr>
                  <w:tcW w:w="493" w:type="pct"/>
                  <w:vAlign w:val="center"/>
                </w:tcPr>
                <w:p w14:paraId="5460336B">
                  <w:pPr>
                    <w:widowControl/>
                    <w:adjustRightInd w:val="0"/>
                    <w:snapToGrid w:val="0"/>
                    <w:jc w:val="center"/>
                    <w:rPr>
                      <w:rFonts w:hint="default" w:ascii="Times New Roman" w:hAnsi="Times New Roman" w:cs="Times New Roman"/>
                      <w:color w:val="auto"/>
                      <w:kern w:val="0"/>
                      <w:szCs w:val="21"/>
                      <w:highlight w:val="none"/>
                    </w:rPr>
                  </w:pPr>
                  <w:r>
                    <w:rPr>
                      <w:rFonts w:eastAsiaTheme="minorEastAsia"/>
                      <w:color w:val="auto"/>
                      <w:kern w:val="0"/>
                      <w:szCs w:val="21"/>
                      <w:highlight w:val="none"/>
                    </w:rPr>
                    <w:t>√</w:t>
                  </w:r>
                </w:p>
              </w:tc>
              <w:tc>
                <w:tcPr>
                  <w:tcW w:w="422" w:type="pct"/>
                  <w:vAlign w:val="center"/>
                </w:tcPr>
                <w:p w14:paraId="16A87792">
                  <w:pPr>
                    <w:widowControl/>
                    <w:adjustRightInd w:val="0"/>
                    <w:snapToGrid w:val="0"/>
                    <w:jc w:val="center"/>
                    <w:rPr>
                      <w:rFonts w:hint="default" w:ascii="Times New Roman" w:hAnsi="Times New Roman" w:cs="Times New Roman"/>
                      <w:color w:val="auto"/>
                      <w:kern w:val="0"/>
                      <w:szCs w:val="21"/>
                      <w:highlight w:val="none"/>
                    </w:rPr>
                  </w:pPr>
                  <w:r>
                    <w:rPr>
                      <w:rFonts w:eastAsiaTheme="minorEastAsia"/>
                      <w:color w:val="auto"/>
                      <w:kern w:val="0"/>
                      <w:szCs w:val="21"/>
                      <w:highlight w:val="none"/>
                    </w:rPr>
                    <w:t>/</w:t>
                  </w:r>
                </w:p>
              </w:tc>
              <w:tc>
                <w:tcPr>
                  <w:tcW w:w="650" w:type="pct"/>
                  <w:vAlign w:val="center"/>
                </w:tcPr>
                <w:p w14:paraId="75EE12CA">
                  <w:pPr>
                    <w:widowControl/>
                    <w:adjustRightInd w:val="0"/>
                    <w:snapToGrid w:val="0"/>
                    <w:jc w:val="center"/>
                    <w:rPr>
                      <w:rFonts w:hint="default" w:ascii="Times New Roman" w:hAnsi="Times New Roman" w:cs="Times New Roman"/>
                      <w:color w:val="auto"/>
                      <w:kern w:val="0"/>
                      <w:szCs w:val="21"/>
                      <w:highlight w:val="none"/>
                    </w:rPr>
                  </w:pPr>
                  <w:r>
                    <w:rPr>
                      <w:color w:val="auto"/>
                      <w:kern w:val="0"/>
                      <w:szCs w:val="21"/>
                      <w:highlight w:val="none"/>
                    </w:rPr>
                    <w:t>4.1（h）</w:t>
                  </w:r>
                </w:p>
              </w:tc>
              <w:tc>
                <w:tcPr>
                  <w:tcW w:w="675" w:type="pct"/>
                  <w:vMerge w:val="continue"/>
                  <w:vAlign w:val="center"/>
                </w:tcPr>
                <w:p w14:paraId="5C64812F">
                  <w:pPr>
                    <w:widowControl/>
                    <w:adjustRightInd w:val="0"/>
                    <w:snapToGrid w:val="0"/>
                    <w:spacing w:line="240" w:lineRule="exact"/>
                    <w:jc w:val="center"/>
                    <w:rPr>
                      <w:rFonts w:hint="eastAsia" w:eastAsia="宋体"/>
                      <w:color w:val="auto"/>
                      <w:szCs w:val="21"/>
                      <w:highlight w:val="none"/>
                      <w:lang w:val="en-US" w:eastAsia="zh-CN"/>
                    </w:rPr>
                  </w:pPr>
                </w:p>
              </w:tc>
            </w:tr>
            <w:tr w14:paraId="083A4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1BF280E9">
                  <w:pPr>
                    <w:widowControl/>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6</w:t>
                  </w:r>
                </w:p>
              </w:tc>
              <w:tc>
                <w:tcPr>
                  <w:tcW w:w="624" w:type="pct"/>
                  <w:vAlign w:val="center"/>
                </w:tcPr>
                <w:p w14:paraId="55C27931">
                  <w:pPr>
                    <w:pStyle w:val="92"/>
                    <w:spacing w:line="240" w:lineRule="auto"/>
                    <w:rPr>
                      <w:rFonts w:hint="eastAsia" w:cs="Times New Roman"/>
                      <w:color w:val="auto"/>
                      <w:sz w:val="21"/>
                      <w:highlight w:val="none"/>
                      <w:lang w:eastAsia="zh-CN"/>
                    </w:rPr>
                  </w:pPr>
                  <w:r>
                    <w:rPr>
                      <w:rFonts w:hint="eastAsia" w:cs="Times New Roman"/>
                      <w:color w:val="auto"/>
                      <w:sz w:val="21"/>
                      <w:highlight w:val="none"/>
                      <w:lang w:eastAsia="zh-CN"/>
                    </w:rPr>
                    <w:t>废包装材料（未沾染）</w:t>
                  </w:r>
                </w:p>
              </w:tc>
              <w:tc>
                <w:tcPr>
                  <w:tcW w:w="577" w:type="pct"/>
                  <w:vAlign w:val="center"/>
                </w:tcPr>
                <w:p w14:paraId="7D753B59">
                  <w:pPr>
                    <w:pStyle w:val="92"/>
                    <w:spacing w:line="240" w:lineRule="auto"/>
                    <w:rPr>
                      <w:rFonts w:hint="eastAsia" w:cs="Times New Roman"/>
                      <w:color w:val="auto"/>
                      <w:sz w:val="21"/>
                      <w:szCs w:val="21"/>
                      <w:highlight w:val="none"/>
                      <w:lang w:eastAsia="zh-CN"/>
                    </w:rPr>
                  </w:pPr>
                  <w:r>
                    <w:rPr>
                      <w:rFonts w:eastAsiaTheme="minorEastAsia"/>
                      <w:color w:val="auto"/>
                      <w:kern w:val="0"/>
                      <w:sz w:val="21"/>
                      <w:szCs w:val="21"/>
                      <w:highlight w:val="none"/>
                    </w:rPr>
                    <w:t>原辅料包装</w:t>
                  </w:r>
                </w:p>
              </w:tc>
              <w:tc>
                <w:tcPr>
                  <w:tcW w:w="276" w:type="pct"/>
                  <w:vAlign w:val="center"/>
                </w:tcPr>
                <w:p w14:paraId="03AE48BC">
                  <w:pPr>
                    <w:pStyle w:val="92"/>
                    <w:spacing w:line="240" w:lineRule="auto"/>
                    <w:rPr>
                      <w:rFonts w:hint="eastAsia" w:cs="Times New Roman"/>
                      <w:color w:val="auto"/>
                      <w:sz w:val="21"/>
                      <w:highlight w:val="none"/>
                      <w:lang w:eastAsia="zh-CN"/>
                    </w:rPr>
                  </w:pPr>
                  <w:r>
                    <w:rPr>
                      <w:rFonts w:hint="eastAsia" w:cs="Times New Roman"/>
                      <w:color w:val="auto"/>
                      <w:sz w:val="21"/>
                      <w:highlight w:val="none"/>
                      <w:lang w:eastAsia="zh-CN"/>
                    </w:rPr>
                    <w:t>固</w:t>
                  </w:r>
                </w:p>
              </w:tc>
              <w:tc>
                <w:tcPr>
                  <w:tcW w:w="490" w:type="pct"/>
                  <w:vAlign w:val="center"/>
                </w:tcPr>
                <w:p w14:paraId="3544AFD8">
                  <w:pPr>
                    <w:pStyle w:val="92"/>
                    <w:spacing w:line="240" w:lineRule="auto"/>
                    <w:rPr>
                      <w:rFonts w:hint="eastAsia" w:cs="Times New Roman"/>
                      <w:color w:val="auto"/>
                      <w:sz w:val="21"/>
                      <w:highlight w:val="none"/>
                      <w:lang w:eastAsia="zh-CN"/>
                    </w:rPr>
                  </w:pPr>
                  <w:r>
                    <w:rPr>
                      <w:rFonts w:hint="eastAsia" w:cs="Times New Roman"/>
                      <w:color w:val="auto"/>
                      <w:sz w:val="21"/>
                      <w:highlight w:val="none"/>
                      <w:lang w:eastAsia="zh-CN"/>
                    </w:rPr>
                    <w:t>塑料等</w:t>
                  </w:r>
                </w:p>
              </w:tc>
              <w:tc>
                <w:tcPr>
                  <w:tcW w:w="539" w:type="pct"/>
                  <w:vAlign w:val="center"/>
                </w:tcPr>
                <w:p w14:paraId="47B0DED8">
                  <w:pPr>
                    <w:widowControl/>
                    <w:adjustRightInd w:val="0"/>
                    <w:snapToGrid w:val="0"/>
                    <w:jc w:val="center"/>
                    <w:rPr>
                      <w:rFonts w:hint="default" w:cs="Times New Roman" w:eastAsiaTheme="minorEastAsia"/>
                      <w:color w:val="auto"/>
                      <w:kern w:val="0"/>
                      <w:szCs w:val="21"/>
                      <w:highlight w:val="none"/>
                      <w:lang w:val="en-US" w:eastAsia="zh-CN"/>
                    </w:rPr>
                  </w:pPr>
                  <w:r>
                    <w:rPr>
                      <w:rFonts w:hint="eastAsia" w:cs="Times New Roman" w:eastAsiaTheme="minorEastAsia"/>
                      <w:color w:val="auto"/>
                      <w:kern w:val="0"/>
                      <w:szCs w:val="21"/>
                      <w:highlight w:val="none"/>
                      <w:lang w:val="en-US" w:eastAsia="zh-CN"/>
                    </w:rPr>
                    <w:t>0.1</w:t>
                  </w:r>
                </w:p>
              </w:tc>
              <w:tc>
                <w:tcPr>
                  <w:tcW w:w="493" w:type="pct"/>
                  <w:vAlign w:val="center"/>
                </w:tcPr>
                <w:p w14:paraId="7C5AA3BA">
                  <w:pPr>
                    <w:widowControl/>
                    <w:adjustRightInd w:val="0"/>
                    <w:snapToGrid w:val="0"/>
                    <w:jc w:val="center"/>
                    <w:rPr>
                      <w:rFonts w:eastAsiaTheme="minorEastAsia"/>
                      <w:color w:val="auto"/>
                      <w:kern w:val="0"/>
                      <w:szCs w:val="21"/>
                      <w:highlight w:val="none"/>
                    </w:rPr>
                  </w:pPr>
                  <w:r>
                    <w:rPr>
                      <w:rFonts w:eastAsiaTheme="minorEastAsia"/>
                      <w:color w:val="auto"/>
                      <w:kern w:val="0"/>
                      <w:szCs w:val="21"/>
                      <w:highlight w:val="none"/>
                    </w:rPr>
                    <w:t>√</w:t>
                  </w:r>
                </w:p>
              </w:tc>
              <w:tc>
                <w:tcPr>
                  <w:tcW w:w="422" w:type="pct"/>
                  <w:vAlign w:val="center"/>
                </w:tcPr>
                <w:p w14:paraId="703E6F6D">
                  <w:pPr>
                    <w:widowControl/>
                    <w:adjustRightInd w:val="0"/>
                    <w:snapToGrid w:val="0"/>
                    <w:jc w:val="center"/>
                    <w:rPr>
                      <w:rFonts w:eastAsiaTheme="minorEastAsia"/>
                      <w:color w:val="auto"/>
                      <w:kern w:val="0"/>
                      <w:szCs w:val="21"/>
                      <w:highlight w:val="none"/>
                    </w:rPr>
                  </w:pPr>
                  <w:r>
                    <w:rPr>
                      <w:rFonts w:eastAsiaTheme="minorEastAsia"/>
                      <w:color w:val="auto"/>
                      <w:kern w:val="0"/>
                      <w:szCs w:val="21"/>
                      <w:highlight w:val="none"/>
                    </w:rPr>
                    <w:t>/</w:t>
                  </w:r>
                </w:p>
              </w:tc>
              <w:tc>
                <w:tcPr>
                  <w:tcW w:w="650" w:type="pct"/>
                  <w:vAlign w:val="center"/>
                </w:tcPr>
                <w:p w14:paraId="6EE6A975">
                  <w:pPr>
                    <w:widowControl/>
                    <w:adjustRightInd w:val="0"/>
                    <w:snapToGrid w:val="0"/>
                    <w:jc w:val="center"/>
                    <w:rPr>
                      <w:color w:val="auto"/>
                      <w:kern w:val="0"/>
                      <w:szCs w:val="21"/>
                      <w:highlight w:val="none"/>
                    </w:rPr>
                  </w:pPr>
                  <w:r>
                    <w:rPr>
                      <w:color w:val="auto"/>
                      <w:kern w:val="0"/>
                      <w:szCs w:val="21"/>
                      <w:highlight w:val="none"/>
                    </w:rPr>
                    <w:t>4.1（h）</w:t>
                  </w:r>
                </w:p>
              </w:tc>
              <w:tc>
                <w:tcPr>
                  <w:tcW w:w="675" w:type="pct"/>
                  <w:vMerge w:val="continue"/>
                  <w:vAlign w:val="center"/>
                </w:tcPr>
                <w:p w14:paraId="775B2959">
                  <w:pPr>
                    <w:widowControl/>
                    <w:adjustRightInd w:val="0"/>
                    <w:snapToGrid w:val="0"/>
                    <w:spacing w:line="240" w:lineRule="exact"/>
                    <w:jc w:val="center"/>
                    <w:rPr>
                      <w:rFonts w:hint="eastAsia" w:eastAsia="宋体"/>
                      <w:color w:val="auto"/>
                      <w:szCs w:val="21"/>
                      <w:highlight w:val="none"/>
                      <w:lang w:val="en-US" w:eastAsia="zh-CN"/>
                    </w:rPr>
                  </w:pPr>
                </w:p>
              </w:tc>
            </w:tr>
            <w:tr w14:paraId="23F77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500236B2">
                  <w:pPr>
                    <w:widowControl/>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7</w:t>
                  </w:r>
                </w:p>
              </w:tc>
              <w:tc>
                <w:tcPr>
                  <w:tcW w:w="624" w:type="pct"/>
                  <w:vAlign w:val="center"/>
                </w:tcPr>
                <w:p w14:paraId="2CE90A5F">
                  <w:pPr>
                    <w:pStyle w:val="92"/>
                    <w:spacing w:line="240" w:lineRule="auto"/>
                    <w:rPr>
                      <w:rFonts w:hint="eastAsia"/>
                      <w:color w:val="auto"/>
                      <w:szCs w:val="21"/>
                      <w:highlight w:val="none"/>
                      <w:lang w:val="en-US" w:eastAsia="zh-CN"/>
                    </w:rPr>
                  </w:pPr>
                  <w:r>
                    <w:rPr>
                      <w:rFonts w:hint="default" w:ascii="Times New Roman" w:hAnsi="Times New Roman" w:cs="Times New Roman"/>
                      <w:color w:val="auto"/>
                      <w:sz w:val="21"/>
                      <w:highlight w:val="none"/>
                    </w:rPr>
                    <w:t>生活垃圾</w:t>
                  </w:r>
                </w:p>
              </w:tc>
              <w:tc>
                <w:tcPr>
                  <w:tcW w:w="577" w:type="pct"/>
                  <w:vAlign w:val="center"/>
                </w:tcPr>
                <w:p w14:paraId="258BE8F7">
                  <w:pPr>
                    <w:pStyle w:val="92"/>
                    <w:spacing w:line="240" w:lineRule="auto"/>
                    <w:rPr>
                      <w:rFonts w:eastAsiaTheme="minorEastAsia"/>
                      <w:color w:val="auto"/>
                      <w:kern w:val="0"/>
                      <w:szCs w:val="21"/>
                      <w:highlight w:val="none"/>
                    </w:rPr>
                  </w:pPr>
                  <w:r>
                    <w:rPr>
                      <w:rFonts w:hint="default" w:ascii="Times New Roman" w:hAnsi="Times New Roman" w:cs="Times New Roman"/>
                      <w:color w:val="auto"/>
                      <w:sz w:val="21"/>
                      <w:highlight w:val="none"/>
                    </w:rPr>
                    <w:t>日常办公</w:t>
                  </w:r>
                </w:p>
              </w:tc>
              <w:tc>
                <w:tcPr>
                  <w:tcW w:w="276" w:type="pct"/>
                  <w:vAlign w:val="center"/>
                </w:tcPr>
                <w:p w14:paraId="62923C74">
                  <w:pPr>
                    <w:pStyle w:val="92"/>
                    <w:spacing w:line="240" w:lineRule="auto"/>
                    <w:rPr>
                      <w:rFonts w:eastAsiaTheme="minorEastAsia"/>
                      <w:color w:val="auto"/>
                      <w:kern w:val="0"/>
                      <w:szCs w:val="21"/>
                      <w:highlight w:val="none"/>
                    </w:rPr>
                  </w:pPr>
                  <w:r>
                    <w:rPr>
                      <w:rFonts w:hint="default" w:ascii="Times New Roman" w:hAnsi="Times New Roman" w:cs="Times New Roman"/>
                      <w:color w:val="auto"/>
                      <w:sz w:val="21"/>
                      <w:highlight w:val="none"/>
                    </w:rPr>
                    <w:t>固</w:t>
                  </w:r>
                </w:p>
              </w:tc>
              <w:tc>
                <w:tcPr>
                  <w:tcW w:w="490" w:type="pct"/>
                  <w:vAlign w:val="center"/>
                </w:tcPr>
                <w:p w14:paraId="49BADF8F">
                  <w:pPr>
                    <w:pStyle w:val="92"/>
                    <w:spacing w:line="240" w:lineRule="auto"/>
                    <w:rPr>
                      <w:rFonts w:eastAsiaTheme="minorEastAsia"/>
                      <w:color w:val="auto"/>
                      <w:kern w:val="0"/>
                      <w:szCs w:val="21"/>
                      <w:highlight w:val="none"/>
                      <w:lang w:val="zh-CN"/>
                    </w:rPr>
                  </w:pPr>
                  <w:r>
                    <w:rPr>
                      <w:rFonts w:hint="default" w:ascii="Times New Roman" w:hAnsi="Times New Roman" w:cs="Times New Roman"/>
                      <w:color w:val="auto"/>
                      <w:sz w:val="21"/>
                      <w:highlight w:val="none"/>
                    </w:rPr>
                    <w:t>日常生活中废物</w:t>
                  </w:r>
                </w:p>
              </w:tc>
              <w:tc>
                <w:tcPr>
                  <w:tcW w:w="539" w:type="pct"/>
                  <w:vAlign w:val="center"/>
                </w:tcPr>
                <w:p w14:paraId="49884BD8">
                  <w:pPr>
                    <w:widowControl/>
                    <w:adjustRightInd w:val="0"/>
                    <w:snapToGrid w:val="0"/>
                    <w:jc w:val="center"/>
                    <w:rPr>
                      <w:rFonts w:hint="default" w:eastAsiaTheme="minorEastAsia"/>
                      <w:color w:val="auto"/>
                      <w:kern w:val="0"/>
                      <w:szCs w:val="21"/>
                      <w:highlight w:val="none"/>
                      <w:lang w:val="en-US" w:eastAsia="zh-CN"/>
                    </w:rPr>
                  </w:pPr>
                  <w:r>
                    <w:rPr>
                      <w:rFonts w:hint="eastAsia" w:cs="Times New Roman" w:eastAsiaTheme="minorEastAsia"/>
                      <w:color w:val="auto"/>
                      <w:kern w:val="0"/>
                      <w:szCs w:val="21"/>
                      <w:highlight w:val="none"/>
                      <w:lang w:val="en-US" w:eastAsia="zh-CN"/>
                    </w:rPr>
                    <w:t>7.5</w:t>
                  </w:r>
                </w:p>
              </w:tc>
              <w:tc>
                <w:tcPr>
                  <w:tcW w:w="493" w:type="pct"/>
                  <w:vAlign w:val="center"/>
                </w:tcPr>
                <w:p w14:paraId="3B93A0E7">
                  <w:pPr>
                    <w:widowControl/>
                    <w:adjustRightInd w:val="0"/>
                    <w:snapToGrid w:val="0"/>
                    <w:jc w:val="center"/>
                    <w:rPr>
                      <w:rFonts w:eastAsiaTheme="minorEastAsia"/>
                      <w:color w:val="auto"/>
                      <w:kern w:val="0"/>
                      <w:szCs w:val="21"/>
                      <w:highlight w:val="none"/>
                    </w:rPr>
                  </w:pPr>
                  <w:r>
                    <w:rPr>
                      <w:rFonts w:hint="default" w:ascii="Times New Roman" w:hAnsi="Times New Roman" w:cs="Times New Roman"/>
                      <w:color w:val="auto"/>
                      <w:kern w:val="0"/>
                      <w:szCs w:val="21"/>
                      <w:highlight w:val="none"/>
                    </w:rPr>
                    <w:t>√</w:t>
                  </w:r>
                </w:p>
              </w:tc>
              <w:tc>
                <w:tcPr>
                  <w:tcW w:w="422" w:type="pct"/>
                  <w:vAlign w:val="center"/>
                </w:tcPr>
                <w:p w14:paraId="2C937965">
                  <w:pPr>
                    <w:widowControl/>
                    <w:adjustRightInd w:val="0"/>
                    <w:snapToGrid w:val="0"/>
                    <w:jc w:val="center"/>
                    <w:rPr>
                      <w:rFonts w:eastAsiaTheme="minorEastAsia"/>
                      <w:color w:val="auto"/>
                      <w:kern w:val="0"/>
                      <w:szCs w:val="21"/>
                      <w:highlight w:val="none"/>
                    </w:rPr>
                  </w:pPr>
                  <w:r>
                    <w:rPr>
                      <w:rFonts w:hint="default" w:ascii="Times New Roman" w:hAnsi="Times New Roman" w:cs="Times New Roman"/>
                      <w:color w:val="auto"/>
                      <w:kern w:val="0"/>
                      <w:szCs w:val="21"/>
                      <w:highlight w:val="none"/>
                    </w:rPr>
                    <w:t>/</w:t>
                  </w:r>
                </w:p>
              </w:tc>
              <w:tc>
                <w:tcPr>
                  <w:tcW w:w="650" w:type="pct"/>
                  <w:vAlign w:val="center"/>
                </w:tcPr>
                <w:p w14:paraId="7BC9D4AF">
                  <w:pPr>
                    <w:widowControl/>
                    <w:adjustRightInd w:val="0"/>
                    <w:snapToGrid w:val="0"/>
                    <w:jc w:val="center"/>
                    <w:rPr>
                      <w:color w:val="auto"/>
                      <w:kern w:val="0"/>
                      <w:szCs w:val="21"/>
                      <w:highlight w:val="none"/>
                    </w:rPr>
                  </w:pPr>
                  <w:r>
                    <w:rPr>
                      <w:rFonts w:hint="default" w:ascii="Times New Roman" w:hAnsi="Times New Roman" w:cs="Times New Roman"/>
                      <w:color w:val="auto"/>
                      <w:kern w:val="0"/>
                      <w:szCs w:val="21"/>
                      <w:highlight w:val="none"/>
                    </w:rPr>
                    <w:t>4.1（h）</w:t>
                  </w:r>
                </w:p>
              </w:tc>
              <w:tc>
                <w:tcPr>
                  <w:tcW w:w="675" w:type="pct"/>
                  <w:vMerge w:val="continue"/>
                  <w:vAlign w:val="center"/>
                </w:tcPr>
                <w:p w14:paraId="1C0B9294">
                  <w:pPr>
                    <w:widowControl/>
                    <w:adjustRightInd w:val="0"/>
                    <w:snapToGrid w:val="0"/>
                    <w:spacing w:line="240" w:lineRule="exact"/>
                    <w:jc w:val="center"/>
                    <w:rPr>
                      <w:rFonts w:hint="eastAsia" w:eastAsia="宋体"/>
                      <w:color w:val="auto"/>
                      <w:szCs w:val="21"/>
                      <w:highlight w:val="none"/>
                      <w:lang w:val="en-US" w:eastAsia="zh-CN"/>
                    </w:rPr>
                  </w:pPr>
                </w:p>
              </w:tc>
            </w:tr>
          </w:tbl>
          <w:p w14:paraId="5BCCD6EA">
            <w:pPr>
              <w:jc w:val="left"/>
              <w:rPr>
                <w:rFonts w:eastAsiaTheme="minorEastAsia"/>
                <w:b/>
                <w:color w:val="auto"/>
                <w:kern w:val="0"/>
                <w:sz w:val="24"/>
                <w:highlight w:val="none"/>
              </w:rPr>
            </w:pPr>
            <w:r>
              <w:rPr>
                <w:color w:val="auto"/>
                <w:sz w:val="18"/>
                <w:szCs w:val="18"/>
                <w:highlight w:val="none"/>
              </w:rPr>
              <w:t>*：①上表中来源鉴别根据《固体废物鉴别标准通则》（GB34330-2017），4.1（h）表示：因丧失原有功能而无法继续使用的物质；4.2（a）表示：产品加工和制造过程中产生的下脚料、边角料、残余物质等。②上表处置鉴别中根据《固体废物鉴别标准通则》（GB34330-2017）。</w:t>
            </w:r>
          </w:p>
          <w:p w14:paraId="521AB6D5">
            <w:pPr>
              <w:adjustRightInd w:val="0"/>
              <w:snapToGrid w:val="0"/>
              <w:ind w:firstLine="2409" w:firstLineChars="1000"/>
              <w:jc w:val="both"/>
              <w:rPr>
                <w:rFonts w:eastAsiaTheme="minorEastAsia"/>
                <w:b/>
                <w:color w:val="auto"/>
                <w:sz w:val="24"/>
                <w:highlight w:val="none"/>
              </w:rPr>
            </w:pPr>
            <w:r>
              <w:rPr>
                <w:rFonts w:eastAsiaTheme="minorEastAsia"/>
                <w:b/>
                <w:color w:val="auto"/>
                <w:sz w:val="24"/>
                <w:highlight w:val="none"/>
              </w:rPr>
              <w:t>表</w:t>
            </w:r>
            <w:r>
              <w:rPr>
                <w:rFonts w:eastAsiaTheme="minorEastAsia"/>
                <w:b/>
                <w:bCs/>
                <w:color w:val="auto"/>
                <w:sz w:val="24"/>
                <w:highlight w:val="none"/>
                <w:lang w:bidi="en-US"/>
              </w:rPr>
              <w:t>4-</w:t>
            </w:r>
            <w:r>
              <w:rPr>
                <w:rFonts w:hint="eastAsia" w:eastAsiaTheme="minorEastAsia"/>
                <w:b/>
                <w:bCs/>
                <w:color w:val="auto"/>
                <w:sz w:val="24"/>
                <w:highlight w:val="none"/>
                <w:lang w:val="en-US" w:eastAsia="zh-CN" w:bidi="en-US"/>
              </w:rPr>
              <w:t>17</w:t>
            </w:r>
            <w:r>
              <w:rPr>
                <w:rFonts w:eastAsiaTheme="minorEastAsia"/>
                <w:b/>
                <w:bCs/>
                <w:color w:val="auto"/>
                <w:sz w:val="24"/>
                <w:highlight w:val="none"/>
                <w:lang w:bidi="en-US"/>
              </w:rPr>
              <w:t xml:space="preserve">  </w:t>
            </w:r>
            <w:r>
              <w:rPr>
                <w:rFonts w:hint="eastAsia" w:eastAsiaTheme="minorEastAsia"/>
                <w:b/>
                <w:color w:val="auto"/>
                <w:sz w:val="24"/>
                <w:highlight w:val="none"/>
                <w:lang w:val="en-US" w:eastAsia="zh-CN"/>
              </w:rPr>
              <w:t>本</w:t>
            </w:r>
            <w:r>
              <w:rPr>
                <w:rFonts w:eastAsiaTheme="minorEastAsia"/>
                <w:b/>
                <w:color w:val="auto"/>
                <w:sz w:val="24"/>
                <w:highlight w:val="none"/>
              </w:rPr>
              <w:t>项目危险废物汇总表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771"/>
              <w:gridCol w:w="812"/>
              <w:gridCol w:w="1225"/>
              <w:gridCol w:w="799"/>
              <w:gridCol w:w="725"/>
              <w:gridCol w:w="457"/>
              <w:gridCol w:w="821"/>
              <w:gridCol w:w="584"/>
              <w:gridCol w:w="531"/>
              <w:gridCol w:w="609"/>
              <w:gridCol w:w="758"/>
            </w:tblGrid>
            <w:tr w14:paraId="7E5384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tcBorders>
                    <w:top w:val="single" w:color="auto" w:sz="12" w:space="0"/>
                    <w:bottom w:val="single" w:color="auto" w:sz="12" w:space="0"/>
                  </w:tcBorders>
                  <w:shd w:val="clear" w:color="auto" w:fill="auto"/>
                  <w:vAlign w:val="center"/>
                </w:tcPr>
                <w:p w14:paraId="5E64A51C">
                  <w:pPr>
                    <w:topLinePunct/>
                    <w:adjustRightInd w:val="0"/>
                    <w:snapToGrid w:val="0"/>
                    <w:jc w:val="center"/>
                    <w:rPr>
                      <w:b/>
                      <w:color w:val="auto"/>
                      <w:szCs w:val="21"/>
                      <w:highlight w:val="none"/>
                    </w:rPr>
                  </w:pPr>
                  <w:r>
                    <w:rPr>
                      <w:b/>
                      <w:color w:val="auto"/>
                      <w:szCs w:val="21"/>
                      <w:highlight w:val="none"/>
                    </w:rPr>
                    <w:t>序号</w:t>
                  </w:r>
                </w:p>
              </w:tc>
              <w:tc>
                <w:tcPr>
                  <w:tcW w:w="452" w:type="pct"/>
                  <w:tcBorders>
                    <w:top w:val="single" w:color="auto" w:sz="12" w:space="0"/>
                    <w:bottom w:val="single" w:color="auto" w:sz="12" w:space="0"/>
                  </w:tcBorders>
                  <w:shd w:val="clear" w:color="auto" w:fill="auto"/>
                  <w:vAlign w:val="center"/>
                </w:tcPr>
                <w:p w14:paraId="76226913">
                  <w:pPr>
                    <w:topLinePunct/>
                    <w:adjustRightInd w:val="0"/>
                    <w:snapToGrid w:val="0"/>
                    <w:jc w:val="center"/>
                    <w:rPr>
                      <w:b/>
                      <w:color w:val="auto"/>
                      <w:szCs w:val="21"/>
                      <w:highlight w:val="none"/>
                    </w:rPr>
                  </w:pPr>
                  <w:r>
                    <w:rPr>
                      <w:b/>
                      <w:color w:val="auto"/>
                      <w:szCs w:val="21"/>
                      <w:highlight w:val="none"/>
                    </w:rPr>
                    <w:t>危险废物名称</w:t>
                  </w:r>
                </w:p>
              </w:tc>
              <w:tc>
                <w:tcPr>
                  <w:tcW w:w="476" w:type="pct"/>
                  <w:tcBorders>
                    <w:top w:val="single" w:color="auto" w:sz="12" w:space="0"/>
                    <w:bottom w:val="single" w:color="auto" w:sz="12" w:space="0"/>
                  </w:tcBorders>
                  <w:shd w:val="clear" w:color="auto" w:fill="auto"/>
                  <w:vAlign w:val="center"/>
                </w:tcPr>
                <w:p w14:paraId="23AEADC3">
                  <w:pPr>
                    <w:topLinePunct/>
                    <w:adjustRightInd w:val="0"/>
                    <w:snapToGrid w:val="0"/>
                    <w:jc w:val="center"/>
                    <w:rPr>
                      <w:b/>
                      <w:color w:val="auto"/>
                      <w:szCs w:val="21"/>
                      <w:highlight w:val="none"/>
                    </w:rPr>
                  </w:pPr>
                  <w:r>
                    <w:rPr>
                      <w:b/>
                      <w:color w:val="auto"/>
                      <w:szCs w:val="21"/>
                      <w:highlight w:val="none"/>
                    </w:rPr>
                    <w:t>危险废物类别</w:t>
                  </w:r>
                </w:p>
              </w:tc>
              <w:tc>
                <w:tcPr>
                  <w:tcW w:w="718" w:type="pct"/>
                  <w:tcBorders>
                    <w:top w:val="single" w:color="auto" w:sz="12" w:space="0"/>
                    <w:bottom w:val="single" w:color="auto" w:sz="12" w:space="0"/>
                  </w:tcBorders>
                  <w:shd w:val="clear" w:color="auto" w:fill="auto"/>
                  <w:vAlign w:val="center"/>
                </w:tcPr>
                <w:p w14:paraId="3075F636">
                  <w:pPr>
                    <w:topLinePunct/>
                    <w:adjustRightInd w:val="0"/>
                    <w:snapToGrid w:val="0"/>
                    <w:jc w:val="center"/>
                    <w:rPr>
                      <w:b/>
                      <w:color w:val="auto"/>
                      <w:szCs w:val="21"/>
                      <w:highlight w:val="none"/>
                    </w:rPr>
                  </w:pPr>
                  <w:r>
                    <w:rPr>
                      <w:b/>
                      <w:color w:val="auto"/>
                      <w:szCs w:val="21"/>
                      <w:highlight w:val="none"/>
                    </w:rPr>
                    <w:t>危险废物代码</w:t>
                  </w:r>
                </w:p>
              </w:tc>
              <w:tc>
                <w:tcPr>
                  <w:tcW w:w="468" w:type="pct"/>
                  <w:tcBorders>
                    <w:top w:val="single" w:color="auto" w:sz="12" w:space="0"/>
                    <w:bottom w:val="single" w:color="auto" w:sz="12" w:space="0"/>
                  </w:tcBorders>
                  <w:shd w:val="clear" w:color="auto" w:fill="auto"/>
                  <w:vAlign w:val="center"/>
                </w:tcPr>
                <w:p w14:paraId="6502F5B3">
                  <w:pPr>
                    <w:topLinePunct/>
                    <w:adjustRightInd w:val="0"/>
                    <w:snapToGrid w:val="0"/>
                    <w:jc w:val="center"/>
                    <w:rPr>
                      <w:b/>
                      <w:color w:val="auto"/>
                      <w:szCs w:val="21"/>
                      <w:highlight w:val="none"/>
                    </w:rPr>
                  </w:pPr>
                  <w:r>
                    <w:rPr>
                      <w:b/>
                      <w:color w:val="auto"/>
                      <w:szCs w:val="21"/>
                      <w:highlight w:val="none"/>
                    </w:rPr>
                    <w:t>产生量（t/a）</w:t>
                  </w:r>
                </w:p>
              </w:tc>
              <w:tc>
                <w:tcPr>
                  <w:tcW w:w="425" w:type="pct"/>
                  <w:tcBorders>
                    <w:top w:val="single" w:color="auto" w:sz="12" w:space="0"/>
                    <w:bottom w:val="single" w:color="auto" w:sz="12" w:space="0"/>
                  </w:tcBorders>
                  <w:shd w:val="clear" w:color="auto" w:fill="auto"/>
                  <w:vAlign w:val="center"/>
                </w:tcPr>
                <w:p w14:paraId="660616E4">
                  <w:pPr>
                    <w:topLinePunct/>
                    <w:adjustRightInd w:val="0"/>
                    <w:snapToGrid w:val="0"/>
                    <w:jc w:val="center"/>
                    <w:rPr>
                      <w:b/>
                      <w:color w:val="auto"/>
                      <w:szCs w:val="21"/>
                      <w:highlight w:val="none"/>
                    </w:rPr>
                  </w:pPr>
                  <w:r>
                    <w:rPr>
                      <w:b/>
                      <w:color w:val="auto"/>
                      <w:szCs w:val="21"/>
                      <w:highlight w:val="none"/>
                    </w:rPr>
                    <w:t>产生工序及装置</w:t>
                  </w:r>
                </w:p>
              </w:tc>
              <w:tc>
                <w:tcPr>
                  <w:tcW w:w="268" w:type="pct"/>
                  <w:tcBorders>
                    <w:top w:val="single" w:color="auto" w:sz="12" w:space="0"/>
                    <w:bottom w:val="single" w:color="auto" w:sz="12" w:space="0"/>
                  </w:tcBorders>
                  <w:shd w:val="clear" w:color="auto" w:fill="auto"/>
                  <w:vAlign w:val="center"/>
                </w:tcPr>
                <w:p w14:paraId="4A897A37">
                  <w:pPr>
                    <w:topLinePunct/>
                    <w:adjustRightInd w:val="0"/>
                    <w:snapToGrid w:val="0"/>
                    <w:jc w:val="center"/>
                    <w:rPr>
                      <w:b/>
                      <w:color w:val="auto"/>
                      <w:szCs w:val="21"/>
                      <w:highlight w:val="none"/>
                    </w:rPr>
                  </w:pPr>
                  <w:r>
                    <w:rPr>
                      <w:b/>
                      <w:color w:val="auto"/>
                      <w:szCs w:val="21"/>
                      <w:highlight w:val="none"/>
                    </w:rPr>
                    <w:t>形态</w:t>
                  </w:r>
                </w:p>
              </w:tc>
              <w:tc>
                <w:tcPr>
                  <w:tcW w:w="481" w:type="pct"/>
                  <w:tcBorders>
                    <w:top w:val="single" w:color="auto" w:sz="12" w:space="0"/>
                    <w:bottom w:val="single" w:color="auto" w:sz="12" w:space="0"/>
                  </w:tcBorders>
                  <w:shd w:val="clear" w:color="auto" w:fill="auto"/>
                  <w:vAlign w:val="center"/>
                </w:tcPr>
                <w:p w14:paraId="2BDCAFE8">
                  <w:pPr>
                    <w:topLinePunct/>
                    <w:adjustRightInd w:val="0"/>
                    <w:snapToGrid w:val="0"/>
                    <w:jc w:val="center"/>
                    <w:rPr>
                      <w:b/>
                      <w:color w:val="auto"/>
                      <w:szCs w:val="21"/>
                      <w:highlight w:val="none"/>
                    </w:rPr>
                  </w:pPr>
                  <w:r>
                    <w:rPr>
                      <w:b/>
                      <w:color w:val="auto"/>
                      <w:szCs w:val="21"/>
                      <w:highlight w:val="none"/>
                    </w:rPr>
                    <w:t>主要成分</w:t>
                  </w:r>
                </w:p>
              </w:tc>
              <w:tc>
                <w:tcPr>
                  <w:tcW w:w="342" w:type="pct"/>
                  <w:tcBorders>
                    <w:top w:val="single" w:color="auto" w:sz="12" w:space="0"/>
                    <w:bottom w:val="single" w:color="auto" w:sz="12" w:space="0"/>
                  </w:tcBorders>
                  <w:shd w:val="clear" w:color="auto" w:fill="auto"/>
                  <w:vAlign w:val="center"/>
                </w:tcPr>
                <w:p w14:paraId="12273893">
                  <w:pPr>
                    <w:topLinePunct/>
                    <w:adjustRightInd w:val="0"/>
                    <w:snapToGrid w:val="0"/>
                    <w:jc w:val="center"/>
                    <w:rPr>
                      <w:b/>
                      <w:color w:val="auto"/>
                      <w:szCs w:val="21"/>
                      <w:highlight w:val="none"/>
                    </w:rPr>
                  </w:pPr>
                  <w:r>
                    <w:rPr>
                      <w:b/>
                      <w:color w:val="auto"/>
                      <w:szCs w:val="21"/>
                      <w:highlight w:val="none"/>
                    </w:rPr>
                    <w:t>有害成分</w:t>
                  </w:r>
                </w:p>
              </w:tc>
              <w:tc>
                <w:tcPr>
                  <w:tcW w:w="311" w:type="pct"/>
                  <w:tcBorders>
                    <w:top w:val="single" w:color="auto" w:sz="12" w:space="0"/>
                    <w:bottom w:val="single" w:color="auto" w:sz="12" w:space="0"/>
                  </w:tcBorders>
                  <w:shd w:val="clear" w:color="auto" w:fill="auto"/>
                  <w:vAlign w:val="center"/>
                </w:tcPr>
                <w:p w14:paraId="624CCBEC">
                  <w:pPr>
                    <w:topLinePunct/>
                    <w:adjustRightInd w:val="0"/>
                    <w:snapToGrid w:val="0"/>
                    <w:jc w:val="center"/>
                    <w:rPr>
                      <w:b/>
                      <w:color w:val="auto"/>
                      <w:szCs w:val="21"/>
                      <w:highlight w:val="none"/>
                    </w:rPr>
                  </w:pPr>
                  <w:r>
                    <w:rPr>
                      <w:b/>
                      <w:color w:val="auto"/>
                      <w:szCs w:val="21"/>
                      <w:highlight w:val="none"/>
                    </w:rPr>
                    <w:t>产废周期</w:t>
                  </w:r>
                </w:p>
              </w:tc>
              <w:tc>
                <w:tcPr>
                  <w:tcW w:w="357" w:type="pct"/>
                  <w:tcBorders>
                    <w:top w:val="single" w:color="auto" w:sz="12" w:space="0"/>
                    <w:bottom w:val="single" w:color="auto" w:sz="12" w:space="0"/>
                  </w:tcBorders>
                  <w:shd w:val="clear" w:color="auto" w:fill="auto"/>
                  <w:vAlign w:val="center"/>
                </w:tcPr>
                <w:p w14:paraId="32EAACB7">
                  <w:pPr>
                    <w:topLinePunct/>
                    <w:adjustRightInd w:val="0"/>
                    <w:snapToGrid w:val="0"/>
                    <w:jc w:val="center"/>
                    <w:rPr>
                      <w:b/>
                      <w:color w:val="auto"/>
                      <w:szCs w:val="21"/>
                      <w:highlight w:val="none"/>
                    </w:rPr>
                  </w:pPr>
                  <w:r>
                    <w:rPr>
                      <w:b/>
                      <w:color w:val="auto"/>
                      <w:szCs w:val="21"/>
                      <w:highlight w:val="none"/>
                    </w:rPr>
                    <w:t>危险</w:t>
                  </w:r>
                </w:p>
                <w:p w14:paraId="09F1E1E4">
                  <w:pPr>
                    <w:topLinePunct/>
                    <w:adjustRightInd w:val="0"/>
                    <w:snapToGrid w:val="0"/>
                    <w:jc w:val="center"/>
                    <w:rPr>
                      <w:b/>
                      <w:color w:val="auto"/>
                      <w:szCs w:val="21"/>
                      <w:highlight w:val="none"/>
                    </w:rPr>
                  </w:pPr>
                  <w:r>
                    <w:rPr>
                      <w:b/>
                      <w:color w:val="auto"/>
                      <w:szCs w:val="21"/>
                      <w:highlight w:val="none"/>
                    </w:rPr>
                    <w:t>特性</w:t>
                  </w:r>
                </w:p>
              </w:tc>
              <w:tc>
                <w:tcPr>
                  <w:tcW w:w="444" w:type="pct"/>
                  <w:tcBorders>
                    <w:top w:val="single" w:color="auto" w:sz="12" w:space="0"/>
                    <w:bottom w:val="single" w:color="auto" w:sz="12" w:space="0"/>
                  </w:tcBorders>
                  <w:shd w:val="clear" w:color="auto" w:fill="auto"/>
                  <w:vAlign w:val="center"/>
                </w:tcPr>
                <w:p w14:paraId="6735F290">
                  <w:pPr>
                    <w:topLinePunct/>
                    <w:adjustRightInd w:val="0"/>
                    <w:snapToGrid w:val="0"/>
                    <w:jc w:val="center"/>
                    <w:rPr>
                      <w:b/>
                      <w:color w:val="auto"/>
                      <w:szCs w:val="21"/>
                      <w:highlight w:val="none"/>
                    </w:rPr>
                  </w:pPr>
                  <w:r>
                    <w:rPr>
                      <w:b/>
                      <w:color w:val="auto"/>
                      <w:szCs w:val="21"/>
                      <w:highlight w:val="none"/>
                    </w:rPr>
                    <w:t>污染防治措施</w:t>
                  </w:r>
                </w:p>
              </w:tc>
            </w:tr>
            <w:tr w14:paraId="52915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shd w:val="clear" w:color="auto" w:fill="auto"/>
                  <w:vAlign w:val="center"/>
                </w:tcPr>
                <w:p w14:paraId="369513F7">
                  <w:pPr>
                    <w:widowControl/>
                    <w:adjustRightInd w:val="0"/>
                    <w:snapToGrid w:val="0"/>
                    <w:jc w:val="center"/>
                    <w:rPr>
                      <w:rFonts w:hint="eastAsia" w:eastAsia="宋体"/>
                      <w:color w:val="auto"/>
                      <w:szCs w:val="21"/>
                      <w:highlight w:val="none"/>
                      <w:lang w:eastAsia="zh-CN"/>
                    </w:rPr>
                  </w:pPr>
                  <w:r>
                    <w:rPr>
                      <w:rFonts w:hint="eastAsia" w:eastAsiaTheme="minorEastAsia"/>
                      <w:color w:val="auto"/>
                      <w:kern w:val="0"/>
                      <w:szCs w:val="21"/>
                      <w:highlight w:val="none"/>
                      <w:lang w:val="en-US" w:eastAsia="zh-CN"/>
                    </w:rPr>
                    <w:t>1</w:t>
                  </w:r>
                </w:p>
              </w:tc>
              <w:tc>
                <w:tcPr>
                  <w:tcW w:w="452" w:type="pct"/>
                  <w:shd w:val="clear" w:color="auto" w:fill="auto"/>
                  <w:vAlign w:val="center"/>
                </w:tcPr>
                <w:p w14:paraId="688E9347">
                  <w:pPr>
                    <w:overflowPunct w:val="0"/>
                    <w:adjustRightInd w:val="0"/>
                    <w:snapToGrid w:val="0"/>
                    <w:jc w:val="center"/>
                    <w:textAlignment w:val="baseline"/>
                    <w:rPr>
                      <w:rFonts w:hint="default" w:eastAsia="宋体"/>
                      <w:color w:val="auto"/>
                      <w:szCs w:val="21"/>
                      <w:highlight w:val="none"/>
                      <w:lang w:val="en-US" w:eastAsia="zh-CN"/>
                    </w:rPr>
                  </w:pPr>
                  <w:r>
                    <w:rPr>
                      <w:color w:val="auto"/>
                      <w:sz w:val="21"/>
                      <w:szCs w:val="21"/>
                      <w:highlight w:val="none"/>
                    </w:rPr>
                    <w:t>废包装</w:t>
                  </w:r>
                  <w:r>
                    <w:rPr>
                      <w:rFonts w:hint="eastAsia"/>
                      <w:color w:val="auto"/>
                      <w:sz w:val="21"/>
                      <w:szCs w:val="21"/>
                      <w:highlight w:val="none"/>
                      <w:lang w:val="en-US" w:eastAsia="zh-CN"/>
                    </w:rPr>
                    <w:t>瓶</w:t>
                  </w:r>
                </w:p>
              </w:tc>
              <w:tc>
                <w:tcPr>
                  <w:tcW w:w="476" w:type="pct"/>
                  <w:shd w:val="clear" w:color="auto" w:fill="auto"/>
                  <w:vAlign w:val="center"/>
                </w:tcPr>
                <w:p w14:paraId="6A1F42F1">
                  <w:pPr>
                    <w:overflowPunct w:val="0"/>
                    <w:adjustRightInd w:val="0"/>
                    <w:snapToGrid w:val="0"/>
                    <w:jc w:val="center"/>
                    <w:textAlignment w:val="baseline"/>
                    <w:rPr>
                      <w:color w:val="auto"/>
                      <w:szCs w:val="21"/>
                      <w:highlight w:val="none"/>
                    </w:rPr>
                  </w:pPr>
                  <w:r>
                    <w:rPr>
                      <w:color w:val="auto"/>
                      <w:szCs w:val="21"/>
                      <w:highlight w:val="none"/>
                    </w:rPr>
                    <w:t>HW</w:t>
                  </w:r>
                  <w:r>
                    <w:rPr>
                      <w:rFonts w:hint="eastAsia"/>
                      <w:color w:val="auto"/>
                      <w:szCs w:val="21"/>
                      <w:highlight w:val="none"/>
                      <w:lang w:val="en-US" w:eastAsia="zh-CN"/>
                    </w:rPr>
                    <w:t>49</w:t>
                  </w:r>
                </w:p>
              </w:tc>
              <w:tc>
                <w:tcPr>
                  <w:tcW w:w="718" w:type="pct"/>
                  <w:shd w:val="clear" w:color="auto" w:fill="auto"/>
                  <w:vAlign w:val="center"/>
                </w:tcPr>
                <w:p w14:paraId="5B4509E3">
                  <w:pPr>
                    <w:overflowPunct w:val="0"/>
                    <w:adjustRightInd w:val="0"/>
                    <w:snapToGrid w:val="0"/>
                    <w:jc w:val="center"/>
                    <w:textAlignment w:val="baseline"/>
                    <w:rPr>
                      <w:color w:val="auto"/>
                      <w:szCs w:val="21"/>
                      <w:highlight w:val="none"/>
                    </w:rPr>
                  </w:pPr>
                  <w:r>
                    <w:rPr>
                      <w:color w:val="auto"/>
                      <w:szCs w:val="21"/>
                      <w:highlight w:val="none"/>
                    </w:rPr>
                    <w:t>900-</w:t>
                  </w:r>
                  <w:r>
                    <w:rPr>
                      <w:rFonts w:hint="eastAsia"/>
                      <w:color w:val="auto"/>
                      <w:szCs w:val="21"/>
                      <w:highlight w:val="none"/>
                      <w:lang w:val="en-US" w:eastAsia="zh-CN"/>
                    </w:rPr>
                    <w:t>041</w:t>
                  </w:r>
                  <w:r>
                    <w:rPr>
                      <w:color w:val="auto"/>
                      <w:szCs w:val="21"/>
                      <w:highlight w:val="none"/>
                    </w:rPr>
                    <w:t>-</w:t>
                  </w:r>
                  <w:r>
                    <w:rPr>
                      <w:rFonts w:hint="eastAsia"/>
                      <w:color w:val="auto"/>
                      <w:szCs w:val="21"/>
                      <w:highlight w:val="none"/>
                      <w:lang w:val="en-US" w:eastAsia="zh-CN"/>
                    </w:rPr>
                    <w:t>49</w:t>
                  </w:r>
                </w:p>
              </w:tc>
              <w:tc>
                <w:tcPr>
                  <w:tcW w:w="468" w:type="pct"/>
                  <w:shd w:val="clear" w:color="auto" w:fill="auto"/>
                  <w:vAlign w:val="center"/>
                </w:tcPr>
                <w:p w14:paraId="44901FC1">
                  <w:pPr>
                    <w:widowControl/>
                    <w:adjustRightInd w:val="0"/>
                    <w:snapToGrid w:val="0"/>
                    <w:jc w:val="center"/>
                    <w:rPr>
                      <w:rFonts w:hint="default" w:eastAsia="宋体"/>
                      <w:color w:val="auto"/>
                      <w:szCs w:val="21"/>
                      <w:highlight w:val="none"/>
                      <w:lang w:val="en-US" w:eastAsia="zh-CN"/>
                    </w:rPr>
                  </w:pPr>
                  <w:r>
                    <w:rPr>
                      <w:rFonts w:hint="eastAsia" w:eastAsiaTheme="minorEastAsia"/>
                      <w:color w:val="auto"/>
                      <w:kern w:val="0"/>
                      <w:szCs w:val="21"/>
                      <w:highlight w:val="none"/>
                      <w:lang w:val="en-US" w:eastAsia="zh-CN"/>
                    </w:rPr>
                    <w:t>0.02</w:t>
                  </w:r>
                </w:p>
              </w:tc>
              <w:tc>
                <w:tcPr>
                  <w:tcW w:w="425" w:type="pct"/>
                  <w:vMerge w:val="restart"/>
                  <w:shd w:val="clear" w:color="auto" w:fill="auto"/>
                  <w:vAlign w:val="center"/>
                </w:tcPr>
                <w:p w14:paraId="16C1AC09">
                  <w:pPr>
                    <w:widowControl/>
                    <w:adjustRightInd w:val="0"/>
                    <w:snapToGrid w:val="0"/>
                    <w:jc w:val="center"/>
                    <w:rPr>
                      <w:rFonts w:hint="eastAsia" w:eastAsia="宋体"/>
                      <w:color w:val="auto"/>
                      <w:szCs w:val="21"/>
                      <w:highlight w:val="none"/>
                      <w:lang w:eastAsia="zh-CN"/>
                    </w:rPr>
                  </w:pPr>
                  <w:r>
                    <w:rPr>
                      <w:rFonts w:hint="eastAsia" w:eastAsiaTheme="minorEastAsia"/>
                      <w:color w:val="auto"/>
                      <w:kern w:val="0"/>
                      <w:szCs w:val="21"/>
                      <w:highlight w:val="none"/>
                      <w:lang w:eastAsia="zh-CN"/>
                    </w:rPr>
                    <w:t>原辅料拆解</w:t>
                  </w:r>
                </w:p>
              </w:tc>
              <w:tc>
                <w:tcPr>
                  <w:tcW w:w="268" w:type="pct"/>
                  <w:vMerge w:val="restart"/>
                  <w:shd w:val="clear" w:color="auto" w:fill="auto"/>
                  <w:vAlign w:val="center"/>
                </w:tcPr>
                <w:p w14:paraId="3D4D5312">
                  <w:pPr>
                    <w:widowControl/>
                    <w:adjustRightInd w:val="0"/>
                    <w:snapToGrid w:val="0"/>
                    <w:jc w:val="center"/>
                    <w:rPr>
                      <w:rFonts w:hint="eastAsia" w:eastAsia="宋体"/>
                      <w:color w:val="auto"/>
                      <w:szCs w:val="21"/>
                      <w:highlight w:val="none"/>
                      <w:lang w:val="zh-CN" w:eastAsia="zh-CN"/>
                    </w:rPr>
                  </w:pPr>
                  <w:r>
                    <w:rPr>
                      <w:rFonts w:hint="eastAsia" w:eastAsiaTheme="minorEastAsia"/>
                      <w:color w:val="auto"/>
                      <w:kern w:val="0"/>
                      <w:szCs w:val="21"/>
                      <w:highlight w:val="none"/>
                      <w:lang w:eastAsia="zh-CN"/>
                    </w:rPr>
                    <w:t>固</w:t>
                  </w:r>
                </w:p>
              </w:tc>
              <w:tc>
                <w:tcPr>
                  <w:tcW w:w="481" w:type="pct"/>
                  <w:shd w:val="clear" w:color="auto" w:fill="auto"/>
                  <w:vAlign w:val="center"/>
                </w:tcPr>
                <w:p w14:paraId="5E1AD468">
                  <w:pPr>
                    <w:widowControl/>
                    <w:adjustRightInd w:val="0"/>
                    <w:snapToGrid w:val="0"/>
                    <w:jc w:val="center"/>
                    <w:rPr>
                      <w:color w:val="auto"/>
                      <w:szCs w:val="21"/>
                      <w:highlight w:val="none"/>
                      <w:lang w:val="zh-CN"/>
                    </w:rPr>
                  </w:pPr>
                  <w:r>
                    <w:rPr>
                      <w:rFonts w:hint="eastAsia" w:eastAsiaTheme="minorEastAsia"/>
                      <w:bCs/>
                      <w:color w:val="auto"/>
                      <w:kern w:val="0"/>
                      <w:sz w:val="21"/>
                      <w:szCs w:val="21"/>
                      <w:highlight w:val="none"/>
                      <w:lang w:eastAsia="zh-CN" w:bidi="en-US"/>
                    </w:rPr>
                    <w:t>胶、乙醇</w:t>
                  </w:r>
                </w:p>
              </w:tc>
              <w:tc>
                <w:tcPr>
                  <w:tcW w:w="342" w:type="pct"/>
                  <w:vMerge w:val="restart"/>
                  <w:shd w:val="clear" w:color="auto" w:fill="auto"/>
                  <w:vAlign w:val="center"/>
                </w:tcPr>
                <w:p w14:paraId="3605CC57">
                  <w:pPr>
                    <w:overflowPunct w:val="0"/>
                    <w:adjustRightInd w:val="0"/>
                    <w:snapToGrid w:val="0"/>
                    <w:jc w:val="center"/>
                    <w:textAlignment w:val="baseline"/>
                    <w:rPr>
                      <w:color w:val="auto"/>
                      <w:szCs w:val="21"/>
                      <w:highlight w:val="none"/>
                      <w:lang w:val="zh-CN"/>
                    </w:rPr>
                  </w:pPr>
                  <w:r>
                    <w:rPr>
                      <w:color w:val="auto"/>
                      <w:szCs w:val="21"/>
                      <w:highlight w:val="none"/>
                      <w:lang w:val="zh-CN"/>
                    </w:rPr>
                    <w:t>有机物</w:t>
                  </w:r>
                </w:p>
              </w:tc>
              <w:tc>
                <w:tcPr>
                  <w:tcW w:w="311" w:type="pct"/>
                  <w:vMerge w:val="restart"/>
                  <w:shd w:val="clear" w:color="auto" w:fill="auto"/>
                  <w:vAlign w:val="center"/>
                </w:tcPr>
                <w:p w14:paraId="4B9085F2">
                  <w:pPr>
                    <w:topLinePunct/>
                    <w:adjustRightInd w:val="0"/>
                    <w:snapToGrid w:val="0"/>
                    <w:jc w:val="center"/>
                    <w:rPr>
                      <w:color w:val="auto"/>
                      <w:szCs w:val="21"/>
                      <w:highlight w:val="none"/>
                    </w:rPr>
                  </w:pPr>
                  <w:r>
                    <w:rPr>
                      <w:color w:val="auto"/>
                      <w:szCs w:val="21"/>
                      <w:highlight w:val="none"/>
                    </w:rPr>
                    <w:t>每月</w:t>
                  </w:r>
                </w:p>
              </w:tc>
              <w:tc>
                <w:tcPr>
                  <w:tcW w:w="357" w:type="pct"/>
                  <w:shd w:val="clear" w:color="auto" w:fill="auto"/>
                  <w:vAlign w:val="center"/>
                </w:tcPr>
                <w:p w14:paraId="5134CEA1">
                  <w:pPr>
                    <w:adjustRightInd w:val="0"/>
                    <w:snapToGrid w:val="0"/>
                    <w:jc w:val="center"/>
                    <w:rPr>
                      <w:color w:val="auto"/>
                      <w:szCs w:val="21"/>
                      <w:highlight w:val="none"/>
                    </w:rPr>
                  </w:pPr>
                  <w:r>
                    <w:rPr>
                      <w:color w:val="auto"/>
                      <w:szCs w:val="21"/>
                      <w:highlight w:val="none"/>
                    </w:rPr>
                    <w:t>T/In</w:t>
                  </w:r>
                </w:p>
              </w:tc>
              <w:tc>
                <w:tcPr>
                  <w:tcW w:w="444" w:type="pct"/>
                  <w:vMerge w:val="restart"/>
                  <w:shd w:val="clear" w:color="auto" w:fill="auto"/>
                  <w:vAlign w:val="center"/>
                </w:tcPr>
                <w:p w14:paraId="58DCB974">
                  <w:pPr>
                    <w:adjustRightInd w:val="0"/>
                    <w:snapToGrid w:val="0"/>
                    <w:jc w:val="center"/>
                    <w:rPr>
                      <w:color w:val="auto"/>
                      <w:szCs w:val="21"/>
                      <w:highlight w:val="none"/>
                    </w:rPr>
                  </w:pPr>
                  <w:r>
                    <w:rPr>
                      <w:color w:val="auto"/>
                      <w:szCs w:val="21"/>
                      <w:highlight w:val="none"/>
                    </w:rPr>
                    <w:t>密封保存于危险废物仓库，委托危废资质单位处置</w:t>
                  </w:r>
                </w:p>
              </w:tc>
            </w:tr>
            <w:tr w14:paraId="0C773A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shd w:val="clear" w:color="auto" w:fill="auto"/>
                  <w:vAlign w:val="center"/>
                </w:tcPr>
                <w:p w14:paraId="3221C414">
                  <w:pPr>
                    <w:widowControl/>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2</w:t>
                  </w:r>
                </w:p>
              </w:tc>
              <w:tc>
                <w:tcPr>
                  <w:tcW w:w="452" w:type="pct"/>
                  <w:shd w:val="clear" w:color="auto" w:fill="auto"/>
                  <w:vAlign w:val="center"/>
                </w:tcPr>
                <w:p w14:paraId="5A7F51E0">
                  <w:pPr>
                    <w:overflowPunct w:val="0"/>
                    <w:adjustRightInd w:val="0"/>
                    <w:snapToGrid w:val="0"/>
                    <w:jc w:val="center"/>
                    <w:textAlignment w:val="baseline"/>
                    <w:rPr>
                      <w:rFonts w:hint="eastAsia" w:eastAsia="宋体"/>
                      <w:color w:val="auto"/>
                      <w:sz w:val="21"/>
                      <w:szCs w:val="21"/>
                      <w:highlight w:val="none"/>
                      <w:lang w:eastAsia="zh-CN"/>
                    </w:rPr>
                  </w:pPr>
                  <w:r>
                    <w:rPr>
                      <w:rFonts w:hint="eastAsia"/>
                      <w:color w:val="auto"/>
                      <w:sz w:val="21"/>
                      <w:szCs w:val="21"/>
                      <w:highlight w:val="none"/>
                      <w:lang w:eastAsia="zh-CN"/>
                    </w:rPr>
                    <w:t>废油桶</w:t>
                  </w:r>
                </w:p>
              </w:tc>
              <w:tc>
                <w:tcPr>
                  <w:tcW w:w="476" w:type="pct"/>
                  <w:shd w:val="clear" w:color="auto" w:fill="auto"/>
                  <w:vAlign w:val="center"/>
                </w:tcPr>
                <w:p w14:paraId="3E7F57FB">
                  <w:pPr>
                    <w:overflowPunct w:val="0"/>
                    <w:adjustRightInd w:val="0"/>
                    <w:snapToGrid w:val="0"/>
                    <w:jc w:val="center"/>
                    <w:textAlignment w:val="baseline"/>
                    <w:rPr>
                      <w:color w:val="auto"/>
                      <w:szCs w:val="21"/>
                      <w:highlight w:val="none"/>
                    </w:rPr>
                  </w:pPr>
                  <w:r>
                    <w:rPr>
                      <w:color w:val="auto"/>
                      <w:szCs w:val="21"/>
                      <w:highlight w:val="none"/>
                    </w:rPr>
                    <w:t>HW08</w:t>
                  </w:r>
                </w:p>
              </w:tc>
              <w:tc>
                <w:tcPr>
                  <w:tcW w:w="718" w:type="pct"/>
                  <w:shd w:val="clear" w:color="auto" w:fill="auto"/>
                  <w:vAlign w:val="center"/>
                </w:tcPr>
                <w:p w14:paraId="52D47ADF">
                  <w:pPr>
                    <w:overflowPunct w:val="0"/>
                    <w:adjustRightInd w:val="0"/>
                    <w:snapToGrid w:val="0"/>
                    <w:jc w:val="center"/>
                    <w:textAlignment w:val="baseline"/>
                    <w:rPr>
                      <w:color w:val="auto"/>
                      <w:szCs w:val="21"/>
                      <w:highlight w:val="none"/>
                    </w:rPr>
                  </w:pPr>
                  <w:r>
                    <w:rPr>
                      <w:color w:val="auto"/>
                      <w:szCs w:val="21"/>
                      <w:highlight w:val="none"/>
                    </w:rPr>
                    <w:t>900-</w:t>
                  </w:r>
                  <w:r>
                    <w:rPr>
                      <w:rFonts w:hint="eastAsia"/>
                      <w:color w:val="auto"/>
                      <w:szCs w:val="21"/>
                      <w:highlight w:val="none"/>
                      <w:lang w:val="en-US" w:eastAsia="zh-CN"/>
                    </w:rPr>
                    <w:t>249</w:t>
                  </w:r>
                  <w:r>
                    <w:rPr>
                      <w:color w:val="auto"/>
                      <w:szCs w:val="21"/>
                      <w:highlight w:val="none"/>
                    </w:rPr>
                    <w:t>-08</w:t>
                  </w:r>
                </w:p>
              </w:tc>
              <w:tc>
                <w:tcPr>
                  <w:tcW w:w="468" w:type="pct"/>
                  <w:shd w:val="clear" w:color="auto" w:fill="auto"/>
                  <w:vAlign w:val="center"/>
                </w:tcPr>
                <w:p w14:paraId="6AD28FA9">
                  <w:pPr>
                    <w:widowControl/>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0.01</w:t>
                  </w:r>
                </w:p>
              </w:tc>
              <w:tc>
                <w:tcPr>
                  <w:tcW w:w="425" w:type="pct"/>
                  <w:vMerge w:val="continue"/>
                  <w:shd w:val="clear" w:color="auto" w:fill="auto"/>
                  <w:vAlign w:val="center"/>
                </w:tcPr>
                <w:p w14:paraId="1B0692BB">
                  <w:pPr>
                    <w:widowControl/>
                    <w:adjustRightInd w:val="0"/>
                    <w:snapToGrid w:val="0"/>
                    <w:jc w:val="center"/>
                    <w:rPr>
                      <w:rFonts w:hint="eastAsia" w:eastAsiaTheme="minorEastAsia"/>
                      <w:color w:val="auto"/>
                      <w:kern w:val="0"/>
                      <w:szCs w:val="21"/>
                      <w:highlight w:val="none"/>
                      <w:lang w:eastAsia="zh-CN"/>
                    </w:rPr>
                  </w:pPr>
                </w:p>
              </w:tc>
              <w:tc>
                <w:tcPr>
                  <w:tcW w:w="268" w:type="pct"/>
                  <w:vMerge w:val="continue"/>
                  <w:shd w:val="clear" w:color="auto" w:fill="auto"/>
                  <w:vAlign w:val="center"/>
                </w:tcPr>
                <w:p w14:paraId="399E76B8">
                  <w:pPr>
                    <w:widowControl/>
                    <w:adjustRightInd w:val="0"/>
                    <w:snapToGrid w:val="0"/>
                    <w:jc w:val="center"/>
                    <w:rPr>
                      <w:rFonts w:hint="eastAsia" w:eastAsiaTheme="minorEastAsia"/>
                      <w:color w:val="auto"/>
                      <w:kern w:val="0"/>
                      <w:szCs w:val="21"/>
                      <w:highlight w:val="none"/>
                      <w:lang w:eastAsia="zh-CN"/>
                    </w:rPr>
                  </w:pPr>
                </w:p>
              </w:tc>
              <w:tc>
                <w:tcPr>
                  <w:tcW w:w="481" w:type="pct"/>
                  <w:shd w:val="clear" w:color="auto" w:fill="auto"/>
                  <w:vAlign w:val="center"/>
                </w:tcPr>
                <w:p w14:paraId="2E98A48C">
                  <w:pPr>
                    <w:widowControl/>
                    <w:adjustRightInd w:val="0"/>
                    <w:snapToGrid w:val="0"/>
                    <w:jc w:val="center"/>
                    <w:rPr>
                      <w:rFonts w:hint="eastAsia" w:eastAsiaTheme="minorEastAsia"/>
                      <w:bCs/>
                      <w:color w:val="auto"/>
                      <w:kern w:val="0"/>
                      <w:sz w:val="21"/>
                      <w:szCs w:val="21"/>
                      <w:highlight w:val="none"/>
                      <w:lang w:eastAsia="zh-CN" w:bidi="en-US"/>
                    </w:rPr>
                  </w:pPr>
                  <w:r>
                    <w:rPr>
                      <w:rFonts w:hint="eastAsia" w:eastAsiaTheme="minorEastAsia"/>
                      <w:bCs/>
                      <w:color w:val="auto"/>
                      <w:kern w:val="0"/>
                      <w:sz w:val="21"/>
                      <w:szCs w:val="21"/>
                      <w:highlight w:val="none"/>
                      <w:lang w:eastAsia="zh-CN" w:bidi="en-US"/>
                    </w:rPr>
                    <w:t>矿物油</w:t>
                  </w:r>
                </w:p>
              </w:tc>
              <w:tc>
                <w:tcPr>
                  <w:tcW w:w="342" w:type="pct"/>
                  <w:vMerge w:val="continue"/>
                  <w:shd w:val="clear" w:color="auto" w:fill="auto"/>
                  <w:vAlign w:val="center"/>
                </w:tcPr>
                <w:p w14:paraId="2D84093F">
                  <w:pPr>
                    <w:overflowPunct w:val="0"/>
                    <w:adjustRightInd w:val="0"/>
                    <w:snapToGrid w:val="0"/>
                    <w:jc w:val="center"/>
                    <w:textAlignment w:val="baseline"/>
                    <w:rPr>
                      <w:color w:val="auto"/>
                      <w:szCs w:val="21"/>
                      <w:highlight w:val="none"/>
                      <w:lang w:val="zh-CN"/>
                    </w:rPr>
                  </w:pPr>
                </w:p>
              </w:tc>
              <w:tc>
                <w:tcPr>
                  <w:tcW w:w="311" w:type="pct"/>
                  <w:vMerge w:val="continue"/>
                  <w:shd w:val="clear" w:color="auto" w:fill="auto"/>
                  <w:vAlign w:val="center"/>
                </w:tcPr>
                <w:p w14:paraId="32B5BAE7">
                  <w:pPr>
                    <w:topLinePunct/>
                    <w:adjustRightInd w:val="0"/>
                    <w:snapToGrid w:val="0"/>
                    <w:jc w:val="center"/>
                    <w:rPr>
                      <w:color w:val="auto"/>
                      <w:szCs w:val="21"/>
                      <w:highlight w:val="none"/>
                    </w:rPr>
                  </w:pPr>
                </w:p>
              </w:tc>
              <w:tc>
                <w:tcPr>
                  <w:tcW w:w="357" w:type="pct"/>
                  <w:shd w:val="clear" w:color="auto" w:fill="auto"/>
                  <w:vAlign w:val="center"/>
                </w:tcPr>
                <w:p w14:paraId="2D8F400A">
                  <w:pPr>
                    <w:adjustRightInd w:val="0"/>
                    <w:snapToGrid w:val="0"/>
                    <w:jc w:val="center"/>
                    <w:rPr>
                      <w:color w:val="auto"/>
                      <w:szCs w:val="21"/>
                      <w:highlight w:val="none"/>
                    </w:rPr>
                  </w:pPr>
                  <w:r>
                    <w:rPr>
                      <w:rFonts w:hint="eastAsia"/>
                      <w:color w:val="auto"/>
                      <w:szCs w:val="21"/>
                      <w:highlight w:val="none"/>
                    </w:rPr>
                    <w:t>T</w:t>
                  </w:r>
                  <w:r>
                    <w:rPr>
                      <w:rFonts w:hint="eastAsia"/>
                      <w:color w:val="auto"/>
                      <w:szCs w:val="21"/>
                      <w:highlight w:val="none"/>
                      <w:lang w:eastAsia="zh-CN"/>
                    </w:rPr>
                    <w:t>，</w:t>
                  </w:r>
                  <w:r>
                    <w:rPr>
                      <w:rFonts w:hint="eastAsia"/>
                      <w:color w:val="auto"/>
                      <w:szCs w:val="21"/>
                      <w:highlight w:val="none"/>
                      <w:lang w:val="en-US" w:eastAsia="zh-CN"/>
                    </w:rPr>
                    <w:t>I</w:t>
                  </w:r>
                </w:p>
              </w:tc>
              <w:tc>
                <w:tcPr>
                  <w:tcW w:w="444" w:type="pct"/>
                  <w:vMerge w:val="continue"/>
                  <w:shd w:val="clear" w:color="auto" w:fill="auto"/>
                  <w:vAlign w:val="center"/>
                </w:tcPr>
                <w:p w14:paraId="6974D1E2">
                  <w:pPr>
                    <w:adjustRightInd w:val="0"/>
                    <w:snapToGrid w:val="0"/>
                    <w:jc w:val="center"/>
                    <w:rPr>
                      <w:color w:val="auto"/>
                      <w:szCs w:val="21"/>
                      <w:highlight w:val="none"/>
                    </w:rPr>
                  </w:pPr>
                </w:p>
              </w:tc>
            </w:tr>
            <w:tr w14:paraId="69DD85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shd w:val="clear" w:color="auto" w:fill="auto"/>
                  <w:vAlign w:val="center"/>
                </w:tcPr>
                <w:p w14:paraId="17E1CA99">
                  <w:pPr>
                    <w:widowControl/>
                    <w:adjustRightInd w:val="0"/>
                    <w:snapToGrid w:val="0"/>
                    <w:jc w:val="center"/>
                    <w:rPr>
                      <w:color w:val="auto"/>
                      <w:szCs w:val="21"/>
                      <w:highlight w:val="none"/>
                    </w:rPr>
                  </w:pPr>
                  <w:r>
                    <w:rPr>
                      <w:rFonts w:hint="eastAsia" w:eastAsiaTheme="minorEastAsia"/>
                      <w:color w:val="auto"/>
                      <w:kern w:val="0"/>
                      <w:szCs w:val="21"/>
                      <w:highlight w:val="none"/>
                      <w:lang w:val="en-US" w:eastAsia="zh-CN"/>
                    </w:rPr>
                    <w:t>3</w:t>
                  </w:r>
                </w:p>
              </w:tc>
              <w:tc>
                <w:tcPr>
                  <w:tcW w:w="452" w:type="pct"/>
                  <w:shd w:val="clear" w:color="auto" w:fill="auto"/>
                  <w:vAlign w:val="center"/>
                </w:tcPr>
                <w:p w14:paraId="4CCED320">
                  <w:pPr>
                    <w:overflowPunct w:val="0"/>
                    <w:adjustRightInd w:val="0"/>
                    <w:snapToGrid w:val="0"/>
                    <w:jc w:val="center"/>
                    <w:textAlignment w:val="baseline"/>
                    <w:rPr>
                      <w:color w:val="auto"/>
                      <w:szCs w:val="21"/>
                      <w:highlight w:val="none"/>
                      <w:lang w:val="zh-CN"/>
                    </w:rPr>
                  </w:pPr>
                  <w:r>
                    <w:rPr>
                      <w:rFonts w:eastAsiaTheme="minorEastAsia"/>
                      <w:color w:val="auto"/>
                      <w:kern w:val="0"/>
                      <w:szCs w:val="21"/>
                      <w:highlight w:val="none"/>
                    </w:rPr>
                    <w:t>废</w:t>
                  </w:r>
                  <w:r>
                    <w:rPr>
                      <w:rFonts w:hint="eastAsia" w:eastAsiaTheme="minorEastAsia"/>
                      <w:color w:val="auto"/>
                      <w:kern w:val="0"/>
                      <w:szCs w:val="21"/>
                      <w:highlight w:val="none"/>
                      <w:lang w:val="en-US" w:eastAsia="zh-CN"/>
                    </w:rPr>
                    <w:t>润滑</w:t>
                  </w:r>
                  <w:r>
                    <w:rPr>
                      <w:rFonts w:eastAsiaTheme="minorEastAsia"/>
                      <w:color w:val="auto"/>
                      <w:kern w:val="0"/>
                      <w:szCs w:val="21"/>
                      <w:highlight w:val="none"/>
                    </w:rPr>
                    <w:t>油</w:t>
                  </w:r>
                </w:p>
              </w:tc>
              <w:tc>
                <w:tcPr>
                  <w:tcW w:w="476" w:type="pct"/>
                  <w:shd w:val="clear" w:color="auto" w:fill="auto"/>
                  <w:vAlign w:val="center"/>
                </w:tcPr>
                <w:p w14:paraId="775B89FE">
                  <w:pPr>
                    <w:overflowPunct w:val="0"/>
                    <w:adjustRightInd w:val="0"/>
                    <w:snapToGrid w:val="0"/>
                    <w:jc w:val="center"/>
                    <w:textAlignment w:val="baseline"/>
                    <w:rPr>
                      <w:color w:val="auto"/>
                      <w:szCs w:val="21"/>
                      <w:highlight w:val="none"/>
                    </w:rPr>
                  </w:pPr>
                  <w:r>
                    <w:rPr>
                      <w:color w:val="auto"/>
                      <w:szCs w:val="21"/>
                      <w:highlight w:val="none"/>
                    </w:rPr>
                    <w:t>HW08</w:t>
                  </w:r>
                </w:p>
              </w:tc>
              <w:tc>
                <w:tcPr>
                  <w:tcW w:w="718" w:type="pct"/>
                  <w:shd w:val="clear" w:color="auto" w:fill="auto"/>
                  <w:vAlign w:val="center"/>
                </w:tcPr>
                <w:p w14:paraId="1956EE8F">
                  <w:pPr>
                    <w:overflowPunct w:val="0"/>
                    <w:adjustRightInd w:val="0"/>
                    <w:snapToGrid w:val="0"/>
                    <w:jc w:val="center"/>
                    <w:textAlignment w:val="baseline"/>
                    <w:rPr>
                      <w:color w:val="auto"/>
                      <w:szCs w:val="21"/>
                      <w:highlight w:val="none"/>
                    </w:rPr>
                  </w:pPr>
                  <w:r>
                    <w:rPr>
                      <w:color w:val="auto"/>
                      <w:szCs w:val="21"/>
                      <w:highlight w:val="none"/>
                    </w:rPr>
                    <w:t>900-</w:t>
                  </w:r>
                  <w:r>
                    <w:rPr>
                      <w:rFonts w:hint="eastAsia"/>
                      <w:color w:val="auto"/>
                      <w:szCs w:val="21"/>
                      <w:highlight w:val="none"/>
                      <w:lang w:val="en-US" w:eastAsia="zh-CN"/>
                    </w:rPr>
                    <w:t>214</w:t>
                  </w:r>
                  <w:r>
                    <w:rPr>
                      <w:color w:val="auto"/>
                      <w:szCs w:val="21"/>
                      <w:highlight w:val="none"/>
                    </w:rPr>
                    <w:t>-08</w:t>
                  </w:r>
                </w:p>
              </w:tc>
              <w:tc>
                <w:tcPr>
                  <w:tcW w:w="468" w:type="pct"/>
                  <w:shd w:val="clear" w:color="auto" w:fill="auto"/>
                  <w:vAlign w:val="center"/>
                </w:tcPr>
                <w:p w14:paraId="5897FE33">
                  <w:pPr>
                    <w:widowControl/>
                    <w:adjustRightInd w:val="0"/>
                    <w:snapToGrid w:val="0"/>
                    <w:jc w:val="center"/>
                    <w:rPr>
                      <w:rFonts w:hint="default" w:eastAsia="宋体"/>
                      <w:color w:val="auto"/>
                      <w:szCs w:val="21"/>
                      <w:highlight w:val="none"/>
                      <w:lang w:val="en-US" w:eastAsia="zh-CN"/>
                    </w:rPr>
                  </w:pPr>
                  <w:r>
                    <w:rPr>
                      <w:rFonts w:hint="eastAsia" w:eastAsiaTheme="minorEastAsia"/>
                      <w:color w:val="auto"/>
                      <w:kern w:val="0"/>
                      <w:szCs w:val="21"/>
                      <w:highlight w:val="none"/>
                      <w:lang w:val="en-US" w:eastAsia="zh-CN"/>
                    </w:rPr>
                    <w:t>0.01</w:t>
                  </w:r>
                </w:p>
              </w:tc>
              <w:tc>
                <w:tcPr>
                  <w:tcW w:w="425" w:type="pct"/>
                  <w:shd w:val="clear" w:color="auto" w:fill="auto"/>
                  <w:vAlign w:val="center"/>
                </w:tcPr>
                <w:p w14:paraId="66021B08">
                  <w:pPr>
                    <w:widowControl/>
                    <w:adjustRightInd w:val="0"/>
                    <w:snapToGrid w:val="0"/>
                    <w:jc w:val="center"/>
                    <w:rPr>
                      <w:rFonts w:hint="eastAsia" w:eastAsia="宋体"/>
                      <w:color w:val="auto"/>
                      <w:szCs w:val="21"/>
                      <w:highlight w:val="none"/>
                      <w:lang w:eastAsia="zh-CN"/>
                    </w:rPr>
                  </w:pPr>
                  <w:r>
                    <w:rPr>
                      <w:rFonts w:hint="eastAsia" w:eastAsiaTheme="minorEastAsia"/>
                      <w:color w:val="auto"/>
                      <w:kern w:val="0"/>
                      <w:szCs w:val="21"/>
                      <w:highlight w:val="none"/>
                      <w:lang w:eastAsia="zh-CN"/>
                    </w:rPr>
                    <w:t>设备维修</w:t>
                  </w:r>
                </w:p>
              </w:tc>
              <w:tc>
                <w:tcPr>
                  <w:tcW w:w="268" w:type="pct"/>
                  <w:shd w:val="clear" w:color="auto" w:fill="auto"/>
                  <w:vAlign w:val="center"/>
                </w:tcPr>
                <w:p w14:paraId="73CD36F2">
                  <w:pPr>
                    <w:widowControl/>
                    <w:adjustRightInd w:val="0"/>
                    <w:snapToGrid w:val="0"/>
                    <w:jc w:val="center"/>
                    <w:rPr>
                      <w:rFonts w:hint="eastAsia" w:eastAsia="宋体"/>
                      <w:color w:val="auto"/>
                      <w:szCs w:val="21"/>
                      <w:highlight w:val="none"/>
                      <w:lang w:val="zh-CN" w:eastAsia="zh-CN"/>
                    </w:rPr>
                  </w:pPr>
                  <w:r>
                    <w:rPr>
                      <w:rFonts w:hint="eastAsia" w:eastAsiaTheme="minorEastAsia"/>
                      <w:color w:val="auto"/>
                      <w:kern w:val="0"/>
                      <w:szCs w:val="21"/>
                      <w:highlight w:val="none"/>
                      <w:lang w:eastAsia="zh-CN"/>
                    </w:rPr>
                    <w:t>液</w:t>
                  </w:r>
                </w:p>
              </w:tc>
              <w:tc>
                <w:tcPr>
                  <w:tcW w:w="481" w:type="pct"/>
                  <w:shd w:val="clear" w:color="auto" w:fill="auto"/>
                  <w:vAlign w:val="center"/>
                </w:tcPr>
                <w:p w14:paraId="4CC4D035">
                  <w:pPr>
                    <w:widowControl/>
                    <w:adjustRightInd w:val="0"/>
                    <w:snapToGrid w:val="0"/>
                    <w:jc w:val="center"/>
                    <w:rPr>
                      <w:color w:val="auto"/>
                      <w:szCs w:val="21"/>
                      <w:highlight w:val="none"/>
                      <w:lang w:val="zh-CN"/>
                    </w:rPr>
                  </w:pPr>
                  <w:r>
                    <w:rPr>
                      <w:rFonts w:eastAsiaTheme="minorEastAsia"/>
                      <w:color w:val="auto"/>
                      <w:kern w:val="0"/>
                      <w:szCs w:val="21"/>
                      <w:highlight w:val="none"/>
                      <w:lang w:val="zh-CN"/>
                    </w:rPr>
                    <w:t>矿物油</w:t>
                  </w:r>
                </w:p>
              </w:tc>
              <w:tc>
                <w:tcPr>
                  <w:tcW w:w="342" w:type="pct"/>
                  <w:shd w:val="clear" w:color="auto" w:fill="auto"/>
                  <w:vAlign w:val="center"/>
                </w:tcPr>
                <w:p w14:paraId="2DFCF1A5">
                  <w:pPr>
                    <w:topLinePunct/>
                    <w:adjustRightInd w:val="0"/>
                    <w:snapToGrid w:val="0"/>
                    <w:jc w:val="center"/>
                    <w:rPr>
                      <w:color w:val="auto"/>
                      <w:szCs w:val="21"/>
                      <w:highlight w:val="none"/>
                    </w:rPr>
                  </w:pPr>
                  <w:r>
                    <w:rPr>
                      <w:color w:val="auto"/>
                      <w:szCs w:val="21"/>
                      <w:highlight w:val="none"/>
                      <w:lang w:val="zh-CN"/>
                    </w:rPr>
                    <w:t>矿物油</w:t>
                  </w:r>
                </w:p>
              </w:tc>
              <w:tc>
                <w:tcPr>
                  <w:tcW w:w="311" w:type="pct"/>
                  <w:shd w:val="clear" w:color="auto" w:fill="auto"/>
                  <w:vAlign w:val="center"/>
                </w:tcPr>
                <w:p w14:paraId="573F353E">
                  <w:pPr>
                    <w:topLinePunct/>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每</w:t>
                  </w:r>
                  <w:r>
                    <w:rPr>
                      <w:rFonts w:hint="eastAsia"/>
                      <w:color w:val="auto"/>
                      <w:szCs w:val="21"/>
                      <w:highlight w:val="none"/>
                      <w:lang w:val="en-US" w:eastAsia="zh-CN"/>
                    </w:rPr>
                    <w:t>3个</w:t>
                  </w:r>
                  <w:r>
                    <w:rPr>
                      <w:rFonts w:hint="eastAsia"/>
                      <w:color w:val="auto"/>
                      <w:szCs w:val="21"/>
                      <w:highlight w:val="none"/>
                      <w:lang w:eastAsia="zh-CN"/>
                    </w:rPr>
                    <w:t>月</w:t>
                  </w:r>
                </w:p>
              </w:tc>
              <w:tc>
                <w:tcPr>
                  <w:tcW w:w="357" w:type="pct"/>
                  <w:shd w:val="clear" w:color="auto" w:fill="auto"/>
                  <w:vAlign w:val="center"/>
                </w:tcPr>
                <w:p w14:paraId="09C64D03">
                  <w:pPr>
                    <w:adjustRightInd w:val="0"/>
                    <w:snapToGrid w:val="0"/>
                    <w:jc w:val="center"/>
                    <w:rPr>
                      <w:b/>
                      <w:color w:val="auto"/>
                      <w:szCs w:val="21"/>
                      <w:highlight w:val="none"/>
                    </w:rPr>
                  </w:pPr>
                  <w:r>
                    <w:rPr>
                      <w:color w:val="auto"/>
                      <w:szCs w:val="21"/>
                      <w:highlight w:val="none"/>
                    </w:rPr>
                    <w:t>T,I</w:t>
                  </w:r>
                </w:p>
              </w:tc>
              <w:tc>
                <w:tcPr>
                  <w:tcW w:w="444" w:type="pct"/>
                  <w:vMerge w:val="continue"/>
                  <w:shd w:val="clear" w:color="auto" w:fill="auto"/>
                  <w:vAlign w:val="center"/>
                </w:tcPr>
                <w:p w14:paraId="5128505C">
                  <w:pPr>
                    <w:adjustRightInd w:val="0"/>
                    <w:snapToGrid w:val="0"/>
                    <w:jc w:val="center"/>
                    <w:rPr>
                      <w:color w:val="auto"/>
                      <w:szCs w:val="21"/>
                      <w:highlight w:val="none"/>
                    </w:rPr>
                  </w:pPr>
                </w:p>
              </w:tc>
            </w:tr>
            <w:tr w14:paraId="1E677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shd w:val="clear" w:color="auto" w:fill="auto"/>
                  <w:vAlign w:val="center"/>
                </w:tcPr>
                <w:p w14:paraId="0794395F">
                  <w:pPr>
                    <w:widowControl/>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4</w:t>
                  </w:r>
                </w:p>
              </w:tc>
              <w:tc>
                <w:tcPr>
                  <w:tcW w:w="452" w:type="pct"/>
                  <w:shd w:val="clear" w:color="auto" w:fill="auto"/>
                  <w:vAlign w:val="center"/>
                </w:tcPr>
                <w:p w14:paraId="386F177C">
                  <w:pPr>
                    <w:widowControl/>
                    <w:adjustRightInd w:val="0"/>
                    <w:snapToGrid w:val="0"/>
                    <w:jc w:val="center"/>
                    <w:rPr>
                      <w:rFonts w:hint="default" w:eastAsia="宋体"/>
                      <w:color w:val="auto"/>
                      <w:kern w:val="0"/>
                      <w:szCs w:val="21"/>
                      <w:highlight w:val="none"/>
                      <w:lang w:val="en-US" w:eastAsia="zh-CN"/>
                    </w:rPr>
                  </w:pPr>
                  <w:r>
                    <w:rPr>
                      <w:rFonts w:hint="default" w:ascii="Times New Roman" w:hAnsi="Times New Roman" w:cs="Times New Roman"/>
                      <w:color w:val="auto"/>
                      <w:kern w:val="0"/>
                      <w:szCs w:val="21"/>
                      <w:highlight w:val="none"/>
                    </w:rPr>
                    <w:t>废无尘纸/布</w:t>
                  </w:r>
                </w:p>
              </w:tc>
              <w:tc>
                <w:tcPr>
                  <w:tcW w:w="476" w:type="pct"/>
                  <w:shd w:val="clear" w:color="auto" w:fill="auto"/>
                  <w:vAlign w:val="center"/>
                </w:tcPr>
                <w:p w14:paraId="0E7DE42B">
                  <w:pPr>
                    <w:widowControl/>
                    <w:adjustRightInd w:val="0"/>
                    <w:snapToGrid w:val="0"/>
                    <w:jc w:val="center"/>
                    <w:rPr>
                      <w:rFonts w:hint="eastAsia" w:eastAsia="仿宋"/>
                      <w:color w:val="auto"/>
                      <w:szCs w:val="21"/>
                      <w:highlight w:val="none"/>
                      <w:lang w:eastAsia="zh-CN"/>
                    </w:rPr>
                  </w:pPr>
                  <w:r>
                    <w:rPr>
                      <w:rFonts w:hint="default" w:ascii="Times New Roman" w:hAnsi="Times New Roman" w:eastAsia="仿宋" w:cs="Times New Roman"/>
                      <w:bCs/>
                      <w:color w:val="auto"/>
                      <w:kern w:val="0"/>
                      <w:szCs w:val="21"/>
                      <w:highlight w:val="none"/>
                    </w:rPr>
                    <w:t>HW4</w:t>
                  </w:r>
                  <w:r>
                    <w:rPr>
                      <w:rFonts w:hint="eastAsia" w:eastAsia="仿宋" w:cs="Times New Roman"/>
                      <w:bCs/>
                      <w:color w:val="auto"/>
                      <w:kern w:val="0"/>
                      <w:szCs w:val="21"/>
                      <w:highlight w:val="none"/>
                      <w:lang w:val="en-US" w:eastAsia="zh-CN"/>
                    </w:rPr>
                    <w:t>9</w:t>
                  </w:r>
                </w:p>
              </w:tc>
              <w:tc>
                <w:tcPr>
                  <w:tcW w:w="718" w:type="pct"/>
                  <w:shd w:val="clear" w:color="auto" w:fill="auto"/>
                  <w:vAlign w:val="center"/>
                </w:tcPr>
                <w:p w14:paraId="2ED57A6A">
                  <w:pPr>
                    <w:widowControl/>
                    <w:adjustRightInd w:val="0"/>
                    <w:snapToGrid w:val="0"/>
                    <w:jc w:val="center"/>
                    <w:rPr>
                      <w:rFonts w:hint="eastAsia" w:eastAsia="仿宋"/>
                      <w:color w:val="auto"/>
                      <w:szCs w:val="21"/>
                      <w:highlight w:val="none"/>
                      <w:lang w:eastAsia="zh-CN"/>
                    </w:rPr>
                  </w:pPr>
                  <w:r>
                    <w:rPr>
                      <w:rFonts w:hint="default"/>
                      <w:color w:val="auto"/>
                      <w:szCs w:val="21"/>
                      <w:highlight w:val="none"/>
                    </w:rPr>
                    <w:t>900-0</w:t>
                  </w:r>
                  <w:r>
                    <w:rPr>
                      <w:rFonts w:hint="eastAsia"/>
                      <w:color w:val="auto"/>
                      <w:szCs w:val="21"/>
                      <w:highlight w:val="none"/>
                      <w:lang w:val="en-US" w:eastAsia="zh-CN"/>
                    </w:rPr>
                    <w:t>41</w:t>
                  </w:r>
                  <w:r>
                    <w:rPr>
                      <w:rFonts w:hint="default"/>
                      <w:color w:val="auto"/>
                      <w:szCs w:val="21"/>
                      <w:highlight w:val="none"/>
                    </w:rPr>
                    <w:t>-4</w:t>
                  </w:r>
                  <w:r>
                    <w:rPr>
                      <w:rFonts w:hint="eastAsia"/>
                      <w:color w:val="auto"/>
                      <w:szCs w:val="21"/>
                      <w:highlight w:val="none"/>
                      <w:lang w:val="en-US" w:eastAsia="zh-CN"/>
                    </w:rPr>
                    <w:t>9</w:t>
                  </w:r>
                </w:p>
              </w:tc>
              <w:tc>
                <w:tcPr>
                  <w:tcW w:w="468" w:type="pct"/>
                  <w:shd w:val="clear" w:color="auto" w:fill="auto"/>
                  <w:vAlign w:val="center"/>
                </w:tcPr>
                <w:p w14:paraId="3A986A53">
                  <w:pPr>
                    <w:pStyle w:val="92"/>
                    <w:spacing w:line="240" w:lineRule="auto"/>
                    <w:rPr>
                      <w:rFonts w:hint="default" w:eastAsiaTheme="minorEastAsia"/>
                      <w:color w:val="auto"/>
                      <w:kern w:val="0"/>
                      <w:szCs w:val="21"/>
                      <w:highlight w:val="none"/>
                      <w:lang w:val="en-US" w:eastAsia="zh-CN"/>
                    </w:rPr>
                  </w:pPr>
                  <w:r>
                    <w:rPr>
                      <w:rFonts w:hint="eastAsia" w:cs="Times New Roman"/>
                      <w:color w:val="auto"/>
                      <w:sz w:val="21"/>
                      <w:highlight w:val="none"/>
                      <w:lang w:val="en-US" w:eastAsia="zh-CN"/>
                    </w:rPr>
                    <w:t>0.001</w:t>
                  </w:r>
                </w:p>
              </w:tc>
              <w:tc>
                <w:tcPr>
                  <w:tcW w:w="425" w:type="pct"/>
                  <w:shd w:val="clear" w:color="auto" w:fill="auto"/>
                  <w:vAlign w:val="center"/>
                </w:tcPr>
                <w:p w14:paraId="22D9C81A">
                  <w:pPr>
                    <w:adjustRightInd w:val="0"/>
                    <w:snapToGrid w:val="0"/>
                    <w:jc w:val="center"/>
                    <w:rPr>
                      <w:rFonts w:hint="eastAsia" w:eastAsiaTheme="minorEastAsia"/>
                      <w:color w:val="auto"/>
                      <w:kern w:val="0"/>
                      <w:szCs w:val="21"/>
                      <w:highlight w:val="none"/>
                      <w:lang w:eastAsia="zh-CN"/>
                    </w:rPr>
                  </w:pPr>
                  <w:r>
                    <w:rPr>
                      <w:rFonts w:hint="eastAsia" w:cs="Times New Roman" w:eastAsiaTheme="minorEastAsia"/>
                      <w:color w:val="auto"/>
                      <w:szCs w:val="21"/>
                      <w:highlight w:val="none"/>
                      <w:lang w:eastAsia="zh-CN"/>
                    </w:rPr>
                    <w:t>擦拭工序</w:t>
                  </w:r>
                </w:p>
              </w:tc>
              <w:tc>
                <w:tcPr>
                  <w:tcW w:w="268" w:type="pct"/>
                  <w:shd w:val="clear" w:color="auto" w:fill="auto"/>
                  <w:vAlign w:val="center"/>
                </w:tcPr>
                <w:p w14:paraId="1707AE7A">
                  <w:pPr>
                    <w:jc w:val="center"/>
                    <w:rPr>
                      <w:rFonts w:eastAsiaTheme="minorEastAsia"/>
                      <w:color w:val="auto"/>
                      <w:kern w:val="0"/>
                      <w:szCs w:val="21"/>
                      <w:highlight w:val="none"/>
                    </w:rPr>
                  </w:pPr>
                  <w:r>
                    <w:rPr>
                      <w:rFonts w:hint="default" w:ascii="Times New Roman" w:hAnsi="Times New Roman" w:cs="Times New Roman"/>
                      <w:color w:val="auto"/>
                      <w:szCs w:val="21"/>
                      <w:highlight w:val="none"/>
                    </w:rPr>
                    <w:t>固</w:t>
                  </w:r>
                </w:p>
              </w:tc>
              <w:tc>
                <w:tcPr>
                  <w:tcW w:w="481" w:type="pct"/>
                  <w:shd w:val="clear" w:color="auto" w:fill="auto"/>
                  <w:vAlign w:val="center"/>
                </w:tcPr>
                <w:p w14:paraId="61D37EA2">
                  <w:pPr>
                    <w:jc w:val="center"/>
                    <w:rPr>
                      <w:rFonts w:hint="eastAsia" w:eastAsiaTheme="minorEastAsia"/>
                      <w:color w:val="auto"/>
                      <w:kern w:val="0"/>
                      <w:szCs w:val="21"/>
                      <w:highlight w:val="none"/>
                      <w:lang w:val="zh-CN" w:eastAsia="zh-CN"/>
                    </w:rPr>
                  </w:pPr>
                  <w:r>
                    <w:rPr>
                      <w:rFonts w:hint="eastAsia" w:cs="Times New Roman" w:eastAsiaTheme="minorEastAsia"/>
                      <w:color w:val="auto"/>
                      <w:szCs w:val="21"/>
                      <w:highlight w:val="none"/>
                      <w:lang w:val="en-US" w:eastAsia="zh-CN"/>
                    </w:rPr>
                    <w:t>乙醇</w:t>
                  </w:r>
                </w:p>
              </w:tc>
              <w:tc>
                <w:tcPr>
                  <w:tcW w:w="342" w:type="pct"/>
                  <w:shd w:val="clear" w:color="auto" w:fill="auto"/>
                  <w:vAlign w:val="center"/>
                </w:tcPr>
                <w:p w14:paraId="14B47A64">
                  <w:pPr>
                    <w:pStyle w:val="92"/>
                    <w:spacing w:line="240" w:lineRule="auto"/>
                    <w:rPr>
                      <w:color w:val="auto"/>
                      <w:szCs w:val="21"/>
                      <w:highlight w:val="none"/>
                      <w:lang w:val="zh-CN"/>
                    </w:rPr>
                  </w:pPr>
                  <w:r>
                    <w:rPr>
                      <w:rFonts w:hint="default" w:ascii="Times New Roman" w:hAnsi="Times New Roman" w:cs="Times New Roman"/>
                      <w:color w:val="auto"/>
                      <w:sz w:val="21"/>
                      <w:highlight w:val="none"/>
                    </w:rPr>
                    <w:t>有机物</w:t>
                  </w:r>
                </w:p>
              </w:tc>
              <w:tc>
                <w:tcPr>
                  <w:tcW w:w="311" w:type="pct"/>
                  <w:shd w:val="clear" w:color="auto" w:fill="auto"/>
                  <w:vAlign w:val="center"/>
                </w:tcPr>
                <w:p w14:paraId="6253D0D6">
                  <w:pPr>
                    <w:topLinePunct/>
                    <w:adjustRightInd w:val="0"/>
                    <w:snapToGrid w:val="0"/>
                    <w:jc w:val="center"/>
                    <w:rPr>
                      <w:rFonts w:hint="default"/>
                      <w:color w:val="auto"/>
                      <w:szCs w:val="21"/>
                      <w:highlight w:val="none"/>
                      <w:lang w:val="en-US"/>
                    </w:rPr>
                  </w:pPr>
                  <w:r>
                    <w:rPr>
                      <w:rFonts w:hint="eastAsia" w:cs="Times New Roman"/>
                      <w:color w:val="auto"/>
                      <w:szCs w:val="21"/>
                      <w:highlight w:val="none"/>
                      <w:lang w:val="en-US" w:eastAsia="zh-CN"/>
                    </w:rPr>
                    <w:t>每周</w:t>
                  </w:r>
                </w:p>
              </w:tc>
              <w:tc>
                <w:tcPr>
                  <w:tcW w:w="357" w:type="pct"/>
                  <w:shd w:val="clear" w:color="auto" w:fill="auto"/>
                  <w:vAlign w:val="center"/>
                </w:tcPr>
                <w:p w14:paraId="782FF699">
                  <w:pPr>
                    <w:jc w:val="center"/>
                    <w:rPr>
                      <w:color w:val="auto"/>
                      <w:szCs w:val="21"/>
                      <w:highlight w:val="none"/>
                    </w:rPr>
                  </w:pPr>
                  <w:r>
                    <w:rPr>
                      <w:color w:val="auto"/>
                      <w:szCs w:val="21"/>
                      <w:highlight w:val="none"/>
                    </w:rPr>
                    <w:t>T/In</w:t>
                  </w:r>
                </w:p>
              </w:tc>
              <w:tc>
                <w:tcPr>
                  <w:tcW w:w="444" w:type="pct"/>
                  <w:vMerge w:val="continue"/>
                  <w:shd w:val="clear" w:color="auto" w:fill="auto"/>
                  <w:vAlign w:val="center"/>
                </w:tcPr>
                <w:p w14:paraId="2C4B6816">
                  <w:pPr>
                    <w:adjustRightInd w:val="0"/>
                    <w:snapToGrid w:val="0"/>
                    <w:jc w:val="center"/>
                    <w:rPr>
                      <w:color w:val="auto"/>
                      <w:szCs w:val="21"/>
                      <w:highlight w:val="none"/>
                    </w:rPr>
                  </w:pPr>
                </w:p>
              </w:tc>
            </w:tr>
          </w:tbl>
          <w:p w14:paraId="7CAFA602">
            <w:pPr>
              <w:pStyle w:val="15"/>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表</w:t>
            </w:r>
            <w:r>
              <w:rPr>
                <w:rFonts w:hint="default" w:ascii="Times New Roman" w:hAnsi="Times New Roman" w:eastAsia="宋体" w:cs="Times New Roman"/>
                <w:b/>
                <w:bCs/>
                <w:color w:val="auto"/>
                <w:kern w:val="0"/>
                <w:sz w:val="24"/>
                <w:highlight w:val="none"/>
                <w:lang w:bidi="en-US"/>
              </w:rPr>
              <w:t>4-</w:t>
            </w:r>
            <w:r>
              <w:rPr>
                <w:rFonts w:hint="eastAsia" w:eastAsia="宋体" w:cs="Times New Roman"/>
                <w:b/>
                <w:bCs/>
                <w:color w:val="auto"/>
                <w:kern w:val="0"/>
                <w:sz w:val="24"/>
                <w:highlight w:val="none"/>
                <w:lang w:val="en-US" w:eastAsia="zh-CN" w:bidi="en-US"/>
              </w:rPr>
              <w:t>18</w:t>
            </w:r>
            <w:r>
              <w:rPr>
                <w:rFonts w:hint="default" w:ascii="Times New Roman" w:hAnsi="Times New Roman" w:eastAsia="宋体" w:cs="Times New Roman"/>
                <w:b/>
                <w:bCs/>
                <w:color w:val="auto"/>
                <w:kern w:val="0"/>
                <w:sz w:val="24"/>
                <w:highlight w:val="none"/>
                <w:lang w:bidi="en-US"/>
              </w:rPr>
              <w:t xml:space="preserve"> </w:t>
            </w:r>
            <w:r>
              <w:rPr>
                <w:rFonts w:hint="default" w:ascii="Times New Roman" w:hAnsi="Times New Roman" w:eastAsia="宋体" w:cs="Times New Roman"/>
                <w:color w:val="auto"/>
                <w:sz w:val="24"/>
                <w:highlight w:val="none"/>
                <w:lang w:val="en-US"/>
              </w:rPr>
              <w:t>本</w:t>
            </w:r>
            <w:r>
              <w:rPr>
                <w:rFonts w:hint="default" w:ascii="Times New Roman" w:hAnsi="Times New Roman" w:eastAsia="宋体" w:cs="Times New Roman"/>
                <w:color w:val="auto"/>
                <w:sz w:val="24"/>
                <w:highlight w:val="none"/>
              </w:rPr>
              <w:t>项目固体废物利用处置方式</w:t>
            </w:r>
          </w:p>
          <w:tbl>
            <w:tblPr>
              <w:tblStyle w:val="37"/>
              <w:tblW w:w="4997" w:type="pct"/>
              <w:jc w:val="center"/>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66"/>
              <w:gridCol w:w="778"/>
              <w:gridCol w:w="778"/>
              <w:gridCol w:w="723"/>
              <w:gridCol w:w="331"/>
              <w:gridCol w:w="923"/>
              <w:gridCol w:w="1160"/>
              <w:gridCol w:w="587"/>
              <w:gridCol w:w="1237"/>
              <w:gridCol w:w="421"/>
              <w:gridCol w:w="721"/>
              <w:gridCol w:w="591"/>
            </w:tblGrid>
            <w:tr w14:paraId="17143453">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56" w:type="pct"/>
                  <w:tcBorders>
                    <w:bottom w:val="single" w:color="auto" w:sz="12" w:space="0"/>
                  </w:tcBorders>
                  <w:shd w:val="clear" w:color="auto" w:fill="auto"/>
                  <w:vAlign w:val="center"/>
                </w:tcPr>
                <w:p w14:paraId="48BBE836">
                  <w:pPr>
                    <w:overflowPunct w:val="0"/>
                    <w:adjustRightInd w:val="0"/>
                    <w:snapToGrid w:val="0"/>
                    <w:jc w:val="center"/>
                    <w:textAlignment w:val="baseline"/>
                    <w:rPr>
                      <w:b/>
                      <w:color w:val="auto"/>
                      <w:szCs w:val="21"/>
                      <w:highlight w:val="none"/>
                      <w:lang w:val="zh-CN"/>
                    </w:rPr>
                  </w:pPr>
                  <w:r>
                    <w:rPr>
                      <w:b/>
                      <w:color w:val="auto"/>
                      <w:szCs w:val="21"/>
                      <w:highlight w:val="none"/>
                      <w:lang w:val="zh-CN"/>
                    </w:rPr>
                    <w:t>序号</w:t>
                  </w:r>
                </w:p>
              </w:tc>
              <w:tc>
                <w:tcPr>
                  <w:tcW w:w="456" w:type="pct"/>
                  <w:tcBorders>
                    <w:bottom w:val="single" w:color="auto" w:sz="12" w:space="0"/>
                  </w:tcBorders>
                  <w:shd w:val="clear" w:color="auto" w:fill="auto"/>
                  <w:vAlign w:val="center"/>
                </w:tcPr>
                <w:p w14:paraId="2A645354">
                  <w:pPr>
                    <w:overflowPunct w:val="0"/>
                    <w:adjustRightInd w:val="0"/>
                    <w:snapToGrid w:val="0"/>
                    <w:jc w:val="center"/>
                    <w:textAlignment w:val="baseline"/>
                    <w:rPr>
                      <w:b/>
                      <w:color w:val="auto"/>
                      <w:szCs w:val="21"/>
                      <w:highlight w:val="none"/>
                      <w:lang w:val="zh-CN"/>
                    </w:rPr>
                  </w:pPr>
                  <w:r>
                    <w:rPr>
                      <w:b/>
                      <w:color w:val="auto"/>
                      <w:szCs w:val="21"/>
                      <w:highlight w:val="none"/>
                      <w:lang w:val="zh-CN"/>
                    </w:rPr>
                    <w:t>固废名称</w:t>
                  </w:r>
                </w:p>
              </w:tc>
              <w:tc>
                <w:tcPr>
                  <w:tcW w:w="456" w:type="pct"/>
                  <w:tcBorders>
                    <w:bottom w:val="single" w:color="auto" w:sz="12" w:space="0"/>
                  </w:tcBorders>
                  <w:shd w:val="clear" w:color="auto" w:fill="auto"/>
                  <w:vAlign w:val="center"/>
                </w:tcPr>
                <w:p w14:paraId="430118E7">
                  <w:pPr>
                    <w:overflowPunct w:val="0"/>
                    <w:adjustRightInd w:val="0"/>
                    <w:snapToGrid w:val="0"/>
                    <w:jc w:val="center"/>
                    <w:textAlignment w:val="baseline"/>
                    <w:rPr>
                      <w:b/>
                      <w:color w:val="auto"/>
                      <w:szCs w:val="21"/>
                      <w:highlight w:val="none"/>
                      <w:lang w:val="zh-CN"/>
                    </w:rPr>
                  </w:pPr>
                  <w:r>
                    <w:rPr>
                      <w:b/>
                      <w:color w:val="auto"/>
                      <w:szCs w:val="21"/>
                      <w:highlight w:val="none"/>
                      <w:lang w:val="zh-CN"/>
                    </w:rPr>
                    <w:t>属性</w:t>
                  </w:r>
                </w:p>
              </w:tc>
              <w:tc>
                <w:tcPr>
                  <w:tcW w:w="424" w:type="pct"/>
                  <w:tcBorders>
                    <w:bottom w:val="single" w:color="auto" w:sz="12" w:space="0"/>
                  </w:tcBorders>
                  <w:shd w:val="clear" w:color="auto" w:fill="auto"/>
                  <w:vAlign w:val="center"/>
                </w:tcPr>
                <w:p w14:paraId="59EC7469">
                  <w:pPr>
                    <w:overflowPunct w:val="0"/>
                    <w:adjustRightInd w:val="0"/>
                    <w:snapToGrid w:val="0"/>
                    <w:jc w:val="center"/>
                    <w:textAlignment w:val="baseline"/>
                    <w:rPr>
                      <w:b/>
                      <w:color w:val="auto"/>
                      <w:szCs w:val="21"/>
                      <w:highlight w:val="none"/>
                      <w:lang w:val="zh-CN"/>
                    </w:rPr>
                  </w:pPr>
                  <w:r>
                    <w:rPr>
                      <w:b/>
                      <w:color w:val="auto"/>
                      <w:szCs w:val="21"/>
                      <w:highlight w:val="none"/>
                      <w:lang w:val="zh-CN"/>
                    </w:rPr>
                    <w:t>产生工序</w:t>
                  </w:r>
                </w:p>
              </w:tc>
              <w:tc>
                <w:tcPr>
                  <w:tcW w:w="194" w:type="pct"/>
                  <w:tcBorders>
                    <w:bottom w:val="single" w:color="auto" w:sz="12" w:space="0"/>
                  </w:tcBorders>
                  <w:shd w:val="clear" w:color="auto" w:fill="auto"/>
                  <w:vAlign w:val="center"/>
                </w:tcPr>
                <w:p w14:paraId="208F5582">
                  <w:pPr>
                    <w:overflowPunct w:val="0"/>
                    <w:adjustRightInd w:val="0"/>
                    <w:snapToGrid w:val="0"/>
                    <w:jc w:val="center"/>
                    <w:textAlignment w:val="baseline"/>
                    <w:rPr>
                      <w:b/>
                      <w:color w:val="auto"/>
                      <w:szCs w:val="21"/>
                      <w:highlight w:val="none"/>
                      <w:lang w:val="zh-CN"/>
                    </w:rPr>
                  </w:pPr>
                  <w:r>
                    <w:rPr>
                      <w:b/>
                      <w:color w:val="auto"/>
                      <w:szCs w:val="21"/>
                      <w:highlight w:val="none"/>
                      <w:lang w:val="zh-CN"/>
                    </w:rPr>
                    <w:t>形态</w:t>
                  </w:r>
                </w:p>
              </w:tc>
              <w:tc>
                <w:tcPr>
                  <w:tcW w:w="541" w:type="pct"/>
                  <w:tcBorders>
                    <w:bottom w:val="single" w:color="auto" w:sz="12" w:space="0"/>
                  </w:tcBorders>
                  <w:shd w:val="clear" w:color="auto" w:fill="auto"/>
                  <w:vAlign w:val="center"/>
                </w:tcPr>
                <w:p w14:paraId="48F9B162">
                  <w:pPr>
                    <w:overflowPunct w:val="0"/>
                    <w:adjustRightInd w:val="0"/>
                    <w:snapToGrid w:val="0"/>
                    <w:jc w:val="center"/>
                    <w:textAlignment w:val="baseline"/>
                    <w:rPr>
                      <w:b/>
                      <w:color w:val="auto"/>
                      <w:szCs w:val="21"/>
                      <w:highlight w:val="none"/>
                      <w:lang w:val="zh-CN"/>
                    </w:rPr>
                  </w:pPr>
                  <w:r>
                    <w:rPr>
                      <w:b/>
                      <w:color w:val="auto"/>
                      <w:szCs w:val="21"/>
                      <w:highlight w:val="none"/>
                      <w:lang w:val="zh-CN"/>
                    </w:rPr>
                    <w:t>主要成分</w:t>
                  </w:r>
                </w:p>
              </w:tc>
              <w:tc>
                <w:tcPr>
                  <w:tcW w:w="681" w:type="pct"/>
                  <w:tcBorders>
                    <w:bottom w:val="single" w:color="auto" w:sz="12" w:space="0"/>
                  </w:tcBorders>
                  <w:shd w:val="clear" w:color="auto" w:fill="auto"/>
                  <w:vAlign w:val="center"/>
                </w:tcPr>
                <w:p w14:paraId="4773F09E">
                  <w:pPr>
                    <w:overflowPunct w:val="0"/>
                    <w:adjustRightInd w:val="0"/>
                    <w:snapToGrid w:val="0"/>
                    <w:jc w:val="center"/>
                    <w:textAlignment w:val="baseline"/>
                    <w:rPr>
                      <w:b/>
                      <w:color w:val="auto"/>
                      <w:szCs w:val="21"/>
                      <w:highlight w:val="none"/>
                      <w:lang w:val="zh-CN"/>
                    </w:rPr>
                  </w:pPr>
                  <w:r>
                    <w:rPr>
                      <w:b/>
                      <w:color w:val="auto"/>
                      <w:szCs w:val="21"/>
                      <w:highlight w:val="none"/>
                    </w:rPr>
                    <w:t>固废</w:t>
                  </w:r>
                  <w:r>
                    <w:rPr>
                      <w:b/>
                      <w:color w:val="auto"/>
                      <w:szCs w:val="21"/>
                      <w:highlight w:val="none"/>
                      <w:lang w:val="zh-CN"/>
                    </w:rPr>
                    <w:t>特性鉴别方法</w:t>
                  </w:r>
                </w:p>
              </w:tc>
              <w:tc>
                <w:tcPr>
                  <w:tcW w:w="344" w:type="pct"/>
                  <w:tcBorders>
                    <w:bottom w:val="single" w:color="auto" w:sz="12" w:space="0"/>
                  </w:tcBorders>
                  <w:shd w:val="clear" w:color="auto" w:fill="auto"/>
                  <w:vAlign w:val="center"/>
                </w:tcPr>
                <w:p w14:paraId="2AC478FB">
                  <w:pPr>
                    <w:overflowPunct w:val="0"/>
                    <w:adjustRightInd w:val="0"/>
                    <w:snapToGrid w:val="0"/>
                    <w:jc w:val="center"/>
                    <w:textAlignment w:val="baseline"/>
                    <w:rPr>
                      <w:b/>
                      <w:color w:val="auto"/>
                      <w:szCs w:val="21"/>
                      <w:highlight w:val="none"/>
                      <w:lang w:val="zh-CN"/>
                    </w:rPr>
                  </w:pPr>
                  <w:r>
                    <w:rPr>
                      <w:b/>
                      <w:color w:val="auto"/>
                      <w:szCs w:val="21"/>
                      <w:highlight w:val="none"/>
                      <w:lang w:val="zh-CN"/>
                    </w:rPr>
                    <w:t>废物</w:t>
                  </w:r>
                </w:p>
                <w:p w14:paraId="1315AF3B">
                  <w:pPr>
                    <w:overflowPunct w:val="0"/>
                    <w:adjustRightInd w:val="0"/>
                    <w:snapToGrid w:val="0"/>
                    <w:jc w:val="center"/>
                    <w:textAlignment w:val="baseline"/>
                    <w:rPr>
                      <w:b/>
                      <w:color w:val="auto"/>
                      <w:szCs w:val="21"/>
                      <w:highlight w:val="none"/>
                      <w:lang w:val="zh-CN"/>
                    </w:rPr>
                  </w:pPr>
                  <w:r>
                    <w:rPr>
                      <w:b/>
                      <w:color w:val="auto"/>
                      <w:szCs w:val="21"/>
                      <w:highlight w:val="none"/>
                      <w:lang w:val="zh-CN"/>
                    </w:rPr>
                    <w:t>类别</w:t>
                  </w:r>
                </w:p>
              </w:tc>
              <w:tc>
                <w:tcPr>
                  <w:tcW w:w="726" w:type="pct"/>
                  <w:tcBorders>
                    <w:bottom w:val="single" w:color="auto" w:sz="12" w:space="0"/>
                  </w:tcBorders>
                  <w:shd w:val="clear" w:color="auto" w:fill="auto"/>
                  <w:vAlign w:val="center"/>
                </w:tcPr>
                <w:p w14:paraId="288545E6">
                  <w:pPr>
                    <w:overflowPunct w:val="0"/>
                    <w:adjustRightInd w:val="0"/>
                    <w:snapToGrid w:val="0"/>
                    <w:jc w:val="center"/>
                    <w:textAlignment w:val="baseline"/>
                    <w:rPr>
                      <w:b/>
                      <w:color w:val="auto"/>
                      <w:szCs w:val="21"/>
                      <w:highlight w:val="none"/>
                      <w:lang w:val="zh-CN"/>
                    </w:rPr>
                  </w:pPr>
                  <w:r>
                    <w:rPr>
                      <w:b/>
                      <w:color w:val="auto"/>
                      <w:szCs w:val="21"/>
                      <w:highlight w:val="none"/>
                      <w:lang w:val="zh-CN"/>
                    </w:rPr>
                    <w:t>废物代码</w:t>
                  </w:r>
                </w:p>
              </w:tc>
              <w:tc>
                <w:tcPr>
                  <w:tcW w:w="247" w:type="pct"/>
                  <w:tcBorders>
                    <w:bottom w:val="single" w:color="auto" w:sz="12" w:space="0"/>
                  </w:tcBorders>
                  <w:shd w:val="clear" w:color="auto" w:fill="auto"/>
                  <w:vAlign w:val="center"/>
                </w:tcPr>
                <w:p w14:paraId="4700F7FA">
                  <w:pPr>
                    <w:overflowPunct w:val="0"/>
                    <w:adjustRightInd w:val="0"/>
                    <w:snapToGrid w:val="0"/>
                    <w:jc w:val="center"/>
                    <w:textAlignment w:val="baseline"/>
                    <w:rPr>
                      <w:b/>
                      <w:color w:val="auto"/>
                      <w:szCs w:val="21"/>
                      <w:highlight w:val="none"/>
                      <w:lang w:val="zh-CN"/>
                    </w:rPr>
                  </w:pPr>
                  <w:r>
                    <w:rPr>
                      <w:b/>
                      <w:color w:val="auto"/>
                      <w:szCs w:val="21"/>
                      <w:highlight w:val="none"/>
                      <w:lang w:val="zh-CN"/>
                    </w:rPr>
                    <w:t>危险特性</w:t>
                  </w:r>
                </w:p>
              </w:tc>
              <w:tc>
                <w:tcPr>
                  <w:tcW w:w="423" w:type="pct"/>
                  <w:tcBorders>
                    <w:bottom w:val="single" w:color="auto" w:sz="12" w:space="0"/>
                  </w:tcBorders>
                  <w:shd w:val="clear" w:color="auto" w:fill="auto"/>
                  <w:vAlign w:val="center"/>
                </w:tcPr>
                <w:p w14:paraId="53996FFF">
                  <w:pPr>
                    <w:overflowPunct w:val="0"/>
                    <w:adjustRightInd w:val="0"/>
                    <w:snapToGrid w:val="0"/>
                    <w:jc w:val="center"/>
                    <w:textAlignment w:val="baseline"/>
                    <w:rPr>
                      <w:b/>
                      <w:color w:val="auto"/>
                      <w:szCs w:val="21"/>
                      <w:highlight w:val="none"/>
                      <w:lang w:val="zh-CN"/>
                    </w:rPr>
                  </w:pPr>
                  <w:r>
                    <w:rPr>
                      <w:b/>
                      <w:color w:val="auto"/>
                      <w:szCs w:val="21"/>
                      <w:highlight w:val="none"/>
                      <w:lang w:val="zh-CN"/>
                    </w:rPr>
                    <w:t>估算产生量（t/a）</w:t>
                  </w:r>
                </w:p>
              </w:tc>
              <w:tc>
                <w:tcPr>
                  <w:tcW w:w="346" w:type="pct"/>
                  <w:tcBorders>
                    <w:bottom w:val="single" w:color="auto" w:sz="12" w:space="0"/>
                  </w:tcBorders>
                  <w:shd w:val="clear" w:color="auto" w:fill="auto"/>
                  <w:vAlign w:val="center"/>
                </w:tcPr>
                <w:p w14:paraId="552ED746">
                  <w:pPr>
                    <w:overflowPunct w:val="0"/>
                    <w:adjustRightInd w:val="0"/>
                    <w:snapToGrid w:val="0"/>
                    <w:jc w:val="center"/>
                    <w:textAlignment w:val="baseline"/>
                    <w:rPr>
                      <w:b/>
                      <w:color w:val="auto"/>
                      <w:szCs w:val="21"/>
                      <w:highlight w:val="none"/>
                      <w:lang w:val="zh-CN"/>
                    </w:rPr>
                  </w:pPr>
                  <w:r>
                    <w:rPr>
                      <w:b/>
                      <w:color w:val="auto"/>
                      <w:szCs w:val="21"/>
                      <w:highlight w:val="none"/>
                      <w:lang w:val="zh-CN"/>
                    </w:rPr>
                    <w:t>利用处置方式</w:t>
                  </w:r>
                </w:p>
              </w:tc>
            </w:tr>
            <w:tr w14:paraId="43AF5C7C">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6" w:type="pct"/>
                  <w:tcBorders>
                    <w:top w:val="single" w:color="auto" w:sz="12" w:space="0"/>
                    <w:bottom w:val="single" w:color="auto" w:sz="4" w:space="0"/>
                  </w:tcBorders>
                  <w:shd w:val="clear" w:color="auto" w:fill="auto"/>
                  <w:vAlign w:val="center"/>
                </w:tcPr>
                <w:p w14:paraId="124B8B74">
                  <w:pPr>
                    <w:widowControl/>
                    <w:adjustRightInd w:val="0"/>
                    <w:snapToGrid w:val="0"/>
                    <w:jc w:val="center"/>
                    <w:rPr>
                      <w:rFonts w:hint="eastAsia" w:eastAsiaTheme="minorEastAsia"/>
                      <w:color w:val="auto"/>
                      <w:kern w:val="0"/>
                      <w:szCs w:val="21"/>
                      <w:highlight w:val="none"/>
                      <w:lang w:val="en-US" w:eastAsia="zh-CN"/>
                    </w:rPr>
                  </w:pPr>
                  <w:r>
                    <w:rPr>
                      <w:rFonts w:eastAsiaTheme="minorEastAsia"/>
                      <w:color w:val="auto"/>
                      <w:kern w:val="0"/>
                      <w:szCs w:val="21"/>
                      <w:highlight w:val="none"/>
                    </w:rPr>
                    <w:t>1</w:t>
                  </w:r>
                </w:p>
              </w:tc>
              <w:tc>
                <w:tcPr>
                  <w:tcW w:w="456" w:type="pct"/>
                  <w:tcBorders>
                    <w:top w:val="single" w:color="auto" w:sz="12" w:space="0"/>
                    <w:bottom w:val="single" w:color="auto" w:sz="4" w:space="0"/>
                  </w:tcBorders>
                  <w:shd w:val="clear" w:color="auto" w:fill="auto"/>
                  <w:vAlign w:val="center"/>
                </w:tcPr>
                <w:p w14:paraId="42231226">
                  <w:pPr>
                    <w:pStyle w:val="92"/>
                    <w:rPr>
                      <w:rFonts w:eastAsiaTheme="minorEastAsia"/>
                      <w:color w:val="auto"/>
                      <w:kern w:val="0"/>
                      <w:szCs w:val="21"/>
                      <w:highlight w:val="none"/>
                    </w:rPr>
                  </w:pPr>
                  <w:r>
                    <w:rPr>
                      <w:rFonts w:hint="default" w:ascii="Times New Roman" w:hAnsi="Times New Roman" w:cs="Times New Roman"/>
                      <w:color w:val="auto"/>
                      <w:sz w:val="21"/>
                      <w:highlight w:val="none"/>
                    </w:rPr>
                    <w:t>生活垃圾</w:t>
                  </w:r>
                </w:p>
              </w:tc>
              <w:tc>
                <w:tcPr>
                  <w:tcW w:w="456" w:type="pct"/>
                  <w:vMerge w:val="restart"/>
                  <w:tcBorders>
                    <w:top w:val="single" w:color="auto" w:sz="12" w:space="0"/>
                  </w:tcBorders>
                  <w:shd w:val="clear" w:color="auto" w:fill="auto"/>
                  <w:vAlign w:val="center"/>
                </w:tcPr>
                <w:p w14:paraId="2889F32B">
                  <w:pPr>
                    <w:adjustRightInd w:val="0"/>
                    <w:snapToGrid w:val="0"/>
                    <w:jc w:val="center"/>
                    <w:rPr>
                      <w:color w:val="auto"/>
                      <w:szCs w:val="21"/>
                      <w:highlight w:val="none"/>
                    </w:rPr>
                  </w:pPr>
                  <w:r>
                    <w:rPr>
                      <w:color w:val="auto"/>
                      <w:szCs w:val="21"/>
                      <w:highlight w:val="none"/>
                    </w:rPr>
                    <w:t>一般固废</w:t>
                  </w:r>
                </w:p>
              </w:tc>
              <w:tc>
                <w:tcPr>
                  <w:tcW w:w="424" w:type="pct"/>
                  <w:tcBorders>
                    <w:top w:val="single" w:color="auto" w:sz="12" w:space="0"/>
                    <w:bottom w:val="single" w:color="auto" w:sz="4" w:space="0"/>
                  </w:tcBorders>
                  <w:shd w:val="clear" w:color="auto" w:fill="auto"/>
                  <w:vAlign w:val="center"/>
                </w:tcPr>
                <w:p w14:paraId="2323F8CB">
                  <w:pPr>
                    <w:widowControl/>
                    <w:adjustRightInd w:val="0"/>
                    <w:snapToGrid w:val="0"/>
                    <w:jc w:val="center"/>
                    <w:rPr>
                      <w:rFonts w:eastAsiaTheme="minorEastAsia"/>
                      <w:color w:val="auto"/>
                      <w:kern w:val="0"/>
                      <w:szCs w:val="21"/>
                      <w:highlight w:val="none"/>
                    </w:rPr>
                  </w:pPr>
                  <w:r>
                    <w:rPr>
                      <w:rFonts w:hint="default" w:ascii="Times New Roman" w:hAnsi="Times New Roman" w:cs="Times New Roman"/>
                      <w:color w:val="auto"/>
                      <w:sz w:val="21"/>
                      <w:highlight w:val="none"/>
                    </w:rPr>
                    <w:t>日常办公</w:t>
                  </w:r>
                </w:p>
              </w:tc>
              <w:tc>
                <w:tcPr>
                  <w:tcW w:w="194" w:type="pct"/>
                  <w:tcBorders>
                    <w:top w:val="single" w:color="auto" w:sz="12" w:space="0"/>
                    <w:bottom w:val="single" w:color="auto" w:sz="4" w:space="0"/>
                  </w:tcBorders>
                  <w:shd w:val="clear" w:color="auto" w:fill="auto"/>
                  <w:vAlign w:val="center"/>
                </w:tcPr>
                <w:p w14:paraId="0D1618AE">
                  <w:pPr>
                    <w:widowControl/>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固</w:t>
                  </w:r>
                </w:p>
              </w:tc>
              <w:tc>
                <w:tcPr>
                  <w:tcW w:w="541" w:type="pct"/>
                  <w:tcBorders>
                    <w:top w:val="single" w:color="auto" w:sz="12" w:space="0"/>
                    <w:bottom w:val="single" w:color="auto" w:sz="4" w:space="0"/>
                  </w:tcBorders>
                  <w:shd w:val="clear" w:color="auto" w:fill="auto"/>
                  <w:vAlign w:val="center"/>
                </w:tcPr>
                <w:p w14:paraId="00D51250">
                  <w:pPr>
                    <w:widowControl/>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瓜果、纸屑等</w:t>
                  </w:r>
                </w:p>
              </w:tc>
              <w:tc>
                <w:tcPr>
                  <w:tcW w:w="681" w:type="pct"/>
                  <w:vMerge w:val="restart"/>
                  <w:tcBorders>
                    <w:top w:val="single" w:color="auto" w:sz="12" w:space="0"/>
                  </w:tcBorders>
                  <w:shd w:val="clear" w:color="auto" w:fill="auto"/>
                  <w:vAlign w:val="center"/>
                </w:tcPr>
                <w:p w14:paraId="482C370D">
                  <w:pPr>
                    <w:adjustRightInd w:val="0"/>
                    <w:snapToGrid w:val="0"/>
                    <w:jc w:val="center"/>
                    <w:rPr>
                      <w:color w:val="auto"/>
                      <w:szCs w:val="21"/>
                      <w:highlight w:val="none"/>
                    </w:rPr>
                  </w:pPr>
                  <w:r>
                    <w:rPr>
                      <w:rFonts w:hint="eastAsia"/>
                      <w:color w:val="auto"/>
                      <w:szCs w:val="21"/>
                      <w:highlight w:val="none"/>
                    </w:rPr>
                    <w:t>《固体废物分类与代码目录</w:t>
                  </w:r>
                  <w:r>
                    <w:rPr>
                      <w:color w:val="auto"/>
                      <w:szCs w:val="21"/>
                      <w:highlight w:val="none"/>
                    </w:rPr>
                    <w:t>》（</w:t>
                  </w:r>
                  <w:r>
                    <w:rPr>
                      <w:rFonts w:hint="eastAsia"/>
                      <w:color w:val="auto"/>
                      <w:szCs w:val="21"/>
                      <w:highlight w:val="none"/>
                      <w:lang w:val="en-US" w:eastAsia="zh-CN"/>
                    </w:rPr>
                    <w:t>生态环境部2024年4号</w:t>
                  </w:r>
                  <w:r>
                    <w:rPr>
                      <w:color w:val="auto"/>
                      <w:szCs w:val="21"/>
                      <w:highlight w:val="none"/>
                    </w:rPr>
                    <w:t>）</w:t>
                  </w:r>
                </w:p>
              </w:tc>
              <w:tc>
                <w:tcPr>
                  <w:tcW w:w="344" w:type="pct"/>
                  <w:tcBorders>
                    <w:top w:val="single" w:color="auto" w:sz="12" w:space="0"/>
                    <w:bottom w:val="single" w:color="auto" w:sz="4" w:space="0"/>
                  </w:tcBorders>
                  <w:shd w:val="clear" w:color="auto" w:fill="auto"/>
                  <w:vAlign w:val="center"/>
                </w:tcPr>
                <w:p w14:paraId="4C7E9723">
                  <w:pPr>
                    <w:adjustRightInd w:val="0"/>
                    <w:snapToGrid w:val="0"/>
                    <w:spacing w:line="240" w:lineRule="auto"/>
                    <w:ind w:firstLine="0" w:firstLineChars="0"/>
                    <w:jc w:val="center"/>
                    <w:rPr>
                      <w:color w:val="auto"/>
                      <w:szCs w:val="21"/>
                      <w:highlight w:val="none"/>
                    </w:rPr>
                  </w:pPr>
                  <w:r>
                    <w:rPr>
                      <w:rFonts w:hint="eastAsia"/>
                      <w:color w:val="auto"/>
                      <w:sz w:val="21"/>
                      <w:szCs w:val="21"/>
                      <w:highlight w:val="none"/>
                    </w:rPr>
                    <w:t>SW64</w:t>
                  </w:r>
                </w:p>
              </w:tc>
              <w:tc>
                <w:tcPr>
                  <w:tcW w:w="726" w:type="pct"/>
                  <w:tcBorders>
                    <w:top w:val="single" w:color="auto" w:sz="12" w:space="0"/>
                    <w:bottom w:val="single" w:color="auto" w:sz="4" w:space="0"/>
                  </w:tcBorders>
                  <w:shd w:val="clear" w:color="auto" w:fill="auto"/>
                  <w:vAlign w:val="center"/>
                </w:tcPr>
                <w:p w14:paraId="068CA976">
                  <w:pPr>
                    <w:adjustRightInd w:val="0"/>
                    <w:snapToGrid w:val="0"/>
                    <w:spacing w:line="240" w:lineRule="auto"/>
                    <w:ind w:firstLine="0" w:firstLineChars="0"/>
                    <w:jc w:val="center"/>
                    <w:rPr>
                      <w:color w:val="auto"/>
                      <w:szCs w:val="21"/>
                      <w:highlight w:val="none"/>
                    </w:rPr>
                  </w:pPr>
                  <w:r>
                    <w:rPr>
                      <w:color w:val="auto"/>
                      <w:sz w:val="21"/>
                      <w:szCs w:val="21"/>
                      <w:highlight w:val="none"/>
                    </w:rPr>
                    <w:t>900-</w:t>
                  </w:r>
                  <w:r>
                    <w:rPr>
                      <w:rFonts w:hint="eastAsia"/>
                      <w:color w:val="auto"/>
                      <w:sz w:val="21"/>
                      <w:szCs w:val="21"/>
                      <w:highlight w:val="none"/>
                    </w:rPr>
                    <w:t>099</w:t>
                  </w:r>
                  <w:r>
                    <w:rPr>
                      <w:color w:val="auto"/>
                      <w:sz w:val="21"/>
                      <w:szCs w:val="21"/>
                      <w:highlight w:val="none"/>
                    </w:rPr>
                    <w:t>-</w:t>
                  </w:r>
                  <w:r>
                    <w:rPr>
                      <w:rFonts w:hint="eastAsia"/>
                      <w:color w:val="auto"/>
                      <w:sz w:val="21"/>
                      <w:szCs w:val="21"/>
                      <w:highlight w:val="none"/>
                    </w:rPr>
                    <w:t>S64</w:t>
                  </w:r>
                </w:p>
              </w:tc>
              <w:tc>
                <w:tcPr>
                  <w:tcW w:w="247" w:type="pct"/>
                  <w:tcBorders>
                    <w:top w:val="single" w:color="auto" w:sz="12" w:space="0"/>
                    <w:bottom w:val="single" w:color="auto" w:sz="4" w:space="0"/>
                  </w:tcBorders>
                  <w:shd w:val="clear" w:color="auto" w:fill="auto"/>
                  <w:vAlign w:val="center"/>
                </w:tcPr>
                <w:p w14:paraId="2AD70753">
                  <w:pPr>
                    <w:overflowPunct w:val="0"/>
                    <w:adjustRightInd w:val="0"/>
                    <w:snapToGrid w:val="0"/>
                    <w:jc w:val="center"/>
                    <w:textAlignment w:val="baseline"/>
                    <w:rPr>
                      <w:rFonts w:hint="eastAsia" w:eastAsia="宋体"/>
                      <w:color w:val="auto"/>
                      <w:szCs w:val="21"/>
                      <w:highlight w:val="none"/>
                      <w:lang w:val="en-US" w:eastAsia="zh-CN"/>
                    </w:rPr>
                  </w:pPr>
                  <w:r>
                    <w:rPr>
                      <w:rFonts w:hint="eastAsia"/>
                      <w:color w:val="auto"/>
                      <w:szCs w:val="21"/>
                      <w:highlight w:val="none"/>
                      <w:lang w:val="en-US" w:eastAsia="zh-CN"/>
                    </w:rPr>
                    <w:t>/</w:t>
                  </w:r>
                </w:p>
              </w:tc>
              <w:tc>
                <w:tcPr>
                  <w:tcW w:w="423" w:type="pct"/>
                  <w:tcBorders>
                    <w:top w:val="single" w:color="auto" w:sz="12" w:space="0"/>
                    <w:bottom w:val="single" w:color="auto" w:sz="4" w:space="0"/>
                  </w:tcBorders>
                  <w:shd w:val="clear" w:color="auto" w:fill="auto"/>
                  <w:vAlign w:val="center"/>
                </w:tcPr>
                <w:p w14:paraId="24496070">
                  <w:pPr>
                    <w:widowControl/>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7.5</w:t>
                  </w:r>
                </w:p>
              </w:tc>
              <w:tc>
                <w:tcPr>
                  <w:tcW w:w="346" w:type="pct"/>
                  <w:tcBorders>
                    <w:top w:val="single" w:color="auto" w:sz="12" w:space="0"/>
                    <w:bottom w:val="single" w:color="auto" w:sz="4" w:space="0"/>
                  </w:tcBorders>
                  <w:shd w:val="clear" w:color="auto" w:fill="auto"/>
                  <w:vAlign w:val="center"/>
                </w:tcPr>
                <w:p w14:paraId="65743152">
                  <w:pPr>
                    <w:adjustRightInd w:val="0"/>
                    <w:snapToGrid w:val="0"/>
                    <w:jc w:val="center"/>
                    <w:rPr>
                      <w:color w:val="auto"/>
                      <w:szCs w:val="21"/>
                      <w:highlight w:val="none"/>
                    </w:rPr>
                  </w:pPr>
                  <w:r>
                    <w:rPr>
                      <w:rFonts w:hint="default" w:ascii="Times New Roman" w:hAnsi="Times New Roman" w:cs="Times New Roman"/>
                      <w:color w:val="auto"/>
                      <w:sz w:val="21"/>
                      <w:highlight w:val="none"/>
                    </w:rPr>
                    <w:t>环卫清运</w:t>
                  </w:r>
                </w:p>
              </w:tc>
            </w:tr>
            <w:tr w14:paraId="742CF207">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6" w:type="pct"/>
                  <w:tcBorders>
                    <w:top w:val="single" w:color="auto" w:sz="4" w:space="0"/>
                    <w:bottom w:val="single" w:color="auto" w:sz="4" w:space="0"/>
                  </w:tcBorders>
                  <w:shd w:val="clear" w:color="auto" w:fill="auto"/>
                  <w:vAlign w:val="center"/>
                </w:tcPr>
                <w:p w14:paraId="0E1CEDA9">
                  <w:pPr>
                    <w:widowControl/>
                    <w:adjustRightInd w:val="0"/>
                    <w:snapToGrid w:val="0"/>
                    <w:jc w:val="center"/>
                    <w:rPr>
                      <w:rFonts w:hint="eastAsia" w:eastAsia="宋体"/>
                      <w:color w:val="auto"/>
                      <w:szCs w:val="21"/>
                      <w:highlight w:val="none"/>
                      <w:lang w:eastAsia="zh-CN"/>
                    </w:rPr>
                  </w:pPr>
                  <w:r>
                    <w:rPr>
                      <w:rFonts w:eastAsiaTheme="minorEastAsia"/>
                      <w:color w:val="auto"/>
                      <w:kern w:val="0"/>
                      <w:szCs w:val="21"/>
                      <w:highlight w:val="none"/>
                    </w:rPr>
                    <w:t>2</w:t>
                  </w:r>
                </w:p>
              </w:tc>
              <w:tc>
                <w:tcPr>
                  <w:tcW w:w="456" w:type="pct"/>
                  <w:tcBorders>
                    <w:top w:val="single" w:color="auto" w:sz="4" w:space="0"/>
                    <w:bottom w:val="single" w:color="auto" w:sz="4" w:space="0"/>
                  </w:tcBorders>
                  <w:shd w:val="clear" w:color="auto" w:fill="auto"/>
                  <w:vAlign w:val="center"/>
                </w:tcPr>
                <w:p w14:paraId="2C67A2BB">
                  <w:pPr>
                    <w:widowControl/>
                    <w:adjustRightInd w:val="0"/>
                    <w:snapToGrid w:val="0"/>
                    <w:jc w:val="center"/>
                    <w:rPr>
                      <w:rFonts w:hint="default" w:eastAsiaTheme="minorEastAsia"/>
                      <w:color w:val="auto"/>
                      <w:szCs w:val="21"/>
                      <w:highlight w:val="none"/>
                      <w:lang w:val="en-US" w:eastAsia="zh-CN"/>
                    </w:rPr>
                  </w:pPr>
                  <w:r>
                    <w:rPr>
                      <w:rFonts w:eastAsiaTheme="minorEastAsia"/>
                      <w:color w:val="auto"/>
                      <w:kern w:val="0"/>
                      <w:szCs w:val="21"/>
                      <w:highlight w:val="none"/>
                    </w:rPr>
                    <w:t>废</w:t>
                  </w:r>
                  <w:r>
                    <w:rPr>
                      <w:rFonts w:hint="eastAsia" w:eastAsiaTheme="minorEastAsia"/>
                      <w:color w:val="auto"/>
                      <w:kern w:val="0"/>
                      <w:szCs w:val="21"/>
                      <w:highlight w:val="none"/>
                      <w:lang w:val="en-US" w:eastAsia="zh-CN"/>
                    </w:rPr>
                    <w:t>镀膜材料</w:t>
                  </w:r>
                </w:p>
              </w:tc>
              <w:tc>
                <w:tcPr>
                  <w:tcW w:w="456" w:type="pct"/>
                  <w:vMerge w:val="continue"/>
                  <w:shd w:val="clear" w:color="auto" w:fill="auto"/>
                  <w:vAlign w:val="center"/>
                </w:tcPr>
                <w:p w14:paraId="5AE5D711">
                  <w:pPr>
                    <w:adjustRightInd w:val="0"/>
                    <w:snapToGrid w:val="0"/>
                    <w:jc w:val="center"/>
                    <w:rPr>
                      <w:color w:val="auto"/>
                      <w:szCs w:val="21"/>
                      <w:highlight w:val="none"/>
                    </w:rPr>
                  </w:pPr>
                </w:p>
              </w:tc>
              <w:tc>
                <w:tcPr>
                  <w:tcW w:w="424" w:type="pct"/>
                  <w:tcBorders>
                    <w:top w:val="single" w:color="auto" w:sz="4" w:space="0"/>
                    <w:bottom w:val="single" w:color="auto" w:sz="4" w:space="0"/>
                  </w:tcBorders>
                  <w:shd w:val="clear" w:color="auto" w:fill="auto"/>
                  <w:vAlign w:val="center"/>
                </w:tcPr>
                <w:p w14:paraId="45ED70A6">
                  <w:pPr>
                    <w:widowControl/>
                    <w:adjustRightInd w:val="0"/>
                    <w:snapToGrid w:val="0"/>
                    <w:jc w:val="center"/>
                    <w:rPr>
                      <w:color w:val="auto"/>
                      <w:szCs w:val="21"/>
                      <w:highlight w:val="none"/>
                      <w:lang w:val="zh-CN"/>
                    </w:rPr>
                  </w:pPr>
                  <w:r>
                    <w:rPr>
                      <w:rFonts w:hint="eastAsia" w:eastAsiaTheme="minorEastAsia"/>
                      <w:color w:val="auto"/>
                      <w:kern w:val="0"/>
                      <w:szCs w:val="21"/>
                      <w:highlight w:val="none"/>
                      <w:lang w:val="en-US" w:eastAsia="zh-CN"/>
                    </w:rPr>
                    <w:t>镀膜</w:t>
                  </w:r>
                  <w:r>
                    <w:rPr>
                      <w:rFonts w:eastAsiaTheme="minorEastAsia"/>
                      <w:color w:val="auto"/>
                      <w:kern w:val="0"/>
                      <w:szCs w:val="21"/>
                      <w:highlight w:val="none"/>
                    </w:rPr>
                    <w:t>加工</w:t>
                  </w:r>
                </w:p>
              </w:tc>
              <w:tc>
                <w:tcPr>
                  <w:tcW w:w="194" w:type="pct"/>
                  <w:tcBorders>
                    <w:top w:val="single" w:color="auto" w:sz="4" w:space="0"/>
                    <w:bottom w:val="single" w:color="auto" w:sz="4" w:space="0"/>
                  </w:tcBorders>
                  <w:shd w:val="clear" w:color="auto" w:fill="auto"/>
                  <w:vAlign w:val="center"/>
                </w:tcPr>
                <w:p w14:paraId="4845A354">
                  <w:pPr>
                    <w:widowControl/>
                    <w:adjustRightInd w:val="0"/>
                    <w:snapToGrid w:val="0"/>
                    <w:jc w:val="center"/>
                    <w:rPr>
                      <w:color w:val="auto"/>
                      <w:szCs w:val="21"/>
                      <w:highlight w:val="none"/>
                    </w:rPr>
                  </w:pPr>
                  <w:r>
                    <w:rPr>
                      <w:rFonts w:eastAsiaTheme="minorEastAsia"/>
                      <w:color w:val="auto"/>
                      <w:kern w:val="0"/>
                      <w:szCs w:val="21"/>
                      <w:highlight w:val="none"/>
                    </w:rPr>
                    <w:t>固</w:t>
                  </w:r>
                </w:p>
              </w:tc>
              <w:tc>
                <w:tcPr>
                  <w:tcW w:w="541" w:type="pct"/>
                  <w:tcBorders>
                    <w:top w:val="single" w:color="auto" w:sz="4" w:space="0"/>
                    <w:bottom w:val="single" w:color="auto" w:sz="4" w:space="0"/>
                  </w:tcBorders>
                  <w:shd w:val="clear" w:color="auto" w:fill="auto"/>
                  <w:vAlign w:val="center"/>
                </w:tcPr>
                <w:p w14:paraId="516F4C2B">
                  <w:pPr>
                    <w:widowControl/>
                    <w:adjustRightInd w:val="0"/>
                    <w:snapToGrid w:val="0"/>
                    <w:jc w:val="center"/>
                    <w:rPr>
                      <w:rFonts w:hint="eastAsia" w:eastAsiaTheme="minorEastAsia"/>
                      <w:color w:val="auto"/>
                      <w:szCs w:val="21"/>
                      <w:highlight w:val="none"/>
                      <w:lang w:val="zh-CN" w:eastAsia="zh-CN"/>
                    </w:rPr>
                  </w:pPr>
                  <w:r>
                    <w:rPr>
                      <w:rFonts w:hint="eastAsia" w:eastAsiaTheme="minorEastAsia"/>
                      <w:color w:val="auto"/>
                      <w:kern w:val="0"/>
                      <w:szCs w:val="21"/>
                      <w:highlight w:val="none"/>
                      <w:lang w:eastAsia="zh-CN"/>
                    </w:rPr>
                    <w:t>玻璃</w:t>
                  </w:r>
                </w:p>
              </w:tc>
              <w:tc>
                <w:tcPr>
                  <w:tcW w:w="681" w:type="pct"/>
                  <w:vMerge w:val="continue"/>
                  <w:shd w:val="clear" w:color="auto" w:fill="auto"/>
                  <w:vAlign w:val="center"/>
                </w:tcPr>
                <w:p w14:paraId="088538FF">
                  <w:pPr>
                    <w:adjustRightInd w:val="0"/>
                    <w:snapToGrid w:val="0"/>
                    <w:jc w:val="center"/>
                    <w:rPr>
                      <w:color w:val="auto"/>
                      <w:szCs w:val="21"/>
                      <w:highlight w:val="none"/>
                    </w:rPr>
                  </w:pPr>
                </w:p>
              </w:tc>
              <w:tc>
                <w:tcPr>
                  <w:tcW w:w="344" w:type="pct"/>
                  <w:tcBorders>
                    <w:top w:val="single" w:color="auto" w:sz="4" w:space="0"/>
                    <w:bottom w:val="single" w:color="auto" w:sz="4" w:space="0"/>
                  </w:tcBorders>
                  <w:shd w:val="clear" w:color="auto" w:fill="auto"/>
                  <w:vAlign w:val="center"/>
                </w:tcPr>
                <w:p w14:paraId="22160ACD">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rPr>
                    <w:t>SW</w:t>
                  </w:r>
                  <w:r>
                    <w:rPr>
                      <w:rFonts w:hint="eastAsia"/>
                      <w:color w:val="auto"/>
                      <w:sz w:val="21"/>
                      <w:szCs w:val="21"/>
                      <w:highlight w:val="none"/>
                      <w:lang w:val="en-US" w:eastAsia="zh-CN"/>
                    </w:rPr>
                    <w:t>59</w:t>
                  </w:r>
                </w:p>
              </w:tc>
              <w:tc>
                <w:tcPr>
                  <w:tcW w:w="726" w:type="pct"/>
                  <w:tcBorders>
                    <w:top w:val="single" w:color="auto" w:sz="4" w:space="0"/>
                    <w:bottom w:val="single" w:color="auto" w:sz="4" w:space="0"/>
                  </w:tcBorders>
                  <w:shd w:val="clear" w:color="auto" w:fill="auto"/>
                  <w:vAlign w:val="center"/>
                </w:tcPr>
                <w:p w14:paraId="7EB03626">
                  <w:pPr>
                    <w:adjustRightInd w:val="0"/>
                    <w:snapToGrid w:val="0"/>
                    <w:spacing w:line="240" w:lineRule="auto"/>
                    <w:ind w:firstLine="0" w:firstLineChars="0"/>
                    <w:jc w:val="center"/>
                    <w:rPr>
                      <w:rFonts w:hint="default" w:eastAsia="宋体"/>
                      <w:color w:val="auto"/>
                      <w:sz w:val="21"/>
                      <w:szCs w:val="21"/>
                      <w:highlight w:val="none"/>
                      <w:lang w:val="en-US" w:eastAsia="zh-CN"/>
                    </w:rPr>
                  </w:pPr>
                  <w:r>
                    <w:rPr>
                      <w:color w:val="auto"/>
                      <w:sz w:val="21"/>
                      <w:szCs w:val="21"/>
                      <w:highlight w:val="none"/>
                    </w:rPr>
                    <w:t>900-</w:t>
                  </w:r>
                  <w:r>
                    <w:rPr>
                      <w:rFonts w:hint="eastAsia"/>
                      <w:color w:val="auto"/>
                      <w:sz w:val="21"/>
                      <w:szCs w:val="21"/>
                      <w:highlight w:val="none"/>
                    </w:rPr>
                    <w:t>099</w:t>
                  </w:r>
                  <w:r>
                    <w:rPr>
                      <w:color w:val="auto"/>
                      <w:sz w:val="21"/>
                      <w:szCs w:val="21"/>
                      <w:highlight w:val="none"/>
                    </w:rPr>
                    <w:t>-</w:t>
                  </w:r>
                  <w:r>
                    <w:rPr>
                      <w:rFonts w:hint="eastAsia"/>
                      <w:color w:val="auto"/>
                      <w:sz w:val="21"/>
                      <w:szCs w:val="21"/>
                      <w:highlight w:val="none"/>
                    </w:rPr>
                    <w:t>S</w:t>
                  </w:r>
                  <w:r>
                    <w:rPr>
                      <w:rFonts w:hint="eastAsia"/>
                      <w:color w:val="auto"/>
                      <w:sz w:val="21"/>
                      <w:szCs w:val="21"/>
                      <w:highlight w:val="none"/>
                      <w:lang w:val="en-US" w:eastAsia="zh-CN"/>
                    </w:rPr>
                    <w:t>59</w:t>
                  </w:r>
                </w:p>
              </w:tc>
              <w:tc>
                <w:tcPr>
                  <w:tcW w:w="247" w:type="pct"/>
                  <w:tcBorders>
                    <w:top w:val="single" w:color="auto" w:sz="4" w:space="0"/>
                    <w:bottom w:val="single" w:color="auto" w:sz="4" w:space="0"/>
                  </w:tcBorders>
                  <w:shd w:val="clear" w:color="auto" w:fill="auto"/>
                  <w:vAlign w:val="center"/>
                </w:tcPr>
                <w:p w14:paraId="0B583BAF">
                  <w:pPr>
                    <w:overflowPunct w:val="0"/>
                    <w:adjustRightInd w:val="0"/>
                    <w:snapToGrid w:val="0"/>
                    <w:jc w:val="center"/>
                    <w:textAlignment w:val="baseline"/>
                    <w:rPr>
                      <w:color w:val="auto"/>
                      <w:szCs w:val="21"/>
                      <w:highlight w:val="none"/>
                    </w:rPr>
                  </w:pPr>
                  <w:r>
                    <w:rPr>
                      <w:color w:val="auto"/>
                      <w:szCs w:val="21"/>
                      <w:highlight w:val="none"/>
                    </w:rPr>
                    <w:t>/</w:t>
                  </w:r>
                </w:p>
              </w:tc>
              <w:tc>
                <w:tcPr>
                  <w:tcW w:w="423" w:type="pct"/>
                  <w:tcBorders>
                    <w:top w:val="single" w:color="auto" w:sz="4" w:space="0"/>
                    <w:bottom w:val="single" w:color="auto" w:sz="4" w:space="0"/>
                  </w:tcBorders>
                  <w:shd w:val="clear" w:color="auto" w:fill="auto"/>
                  <w:vAlign w:val="center"/>
                </w:tcPr>
                <w:p w14:paraId="7E1AAFFB">
                  <w:pPr>
                    <w:widowControl/>
                    <w:adjustRightInd w:val="0"/>
                    <w:snapToGrid w:val="0"/>
                    <w:jc w:val="center"/>
                    <w:rPr>
                      <w:rFonts w:hint="default" w:eastAsia="宋体"/>
                      <w:color w:val="auto"/>
                      <w:szCs w:val="21"/>
                      <w:highlight w:val="none"/>
                      <w:lang w:val="en-US" w:eastAsia="zh-CN"/>
                    </w:rPr>
                  </w:pPr>
                  <w:r>
                    <w:rPr>
                      <w:rFonts w:hint="eastAsia" w:eastAsiaTheme="minorEastAsia"/>
                      <w:color w:val="auto"/>
                      <w:kern w:val="0"/>
                      <w:szCs w:val="21"/>
                      <w:highlight w:val="none"/>
                      <w:lang w:val="en-US" w:eastAsia="zh-CN"/>
                    </w:rPr>
                    <w:t>0.02</w:t>
                  </w:r>
                </w:p>
              </w:tc>
              <w:tc>
                <w:tcPr>
                  <w:tcW w:w="346" w:type="pct"/>
                  <w:vMerge w:val="restart"/>
                  <w:tcBorders>
                    <w:top w:val="single" w:color="auto" w:sz="4" w:space="0"/>
                  </w:tcBorders>
                  <w:shd w:val="clear" w:color="auto" w:fill="auto"/>
                  <w:vAlign w:val="center"/>
                </w:tcPr>
                <w:p w14:paraId="45E5611B">
                  <w:pPr>
                    <w:adjustRightInd w:val="0"/>
                    <w:snapToGrid w:val="0"/>
                    <w:jc w:val="center"/>
                    <w:rPr>
                      <w:color w:val="auto"/>
                      <w:szCs w:val="21"/>
                      <w:highlight w:val="none"/>
                      <w:lang w:val="zh-CN"/>
                    </w:rPr>
                  </w:pPr>
                  <w:r>
                    <w:rPr>
                      <w:rFonts w:hint="eastAsia"/>
                      <w:color w:val="auto"/>
                      <w:szCs w:val="21"/>
                      <w:highlight w:val="none"/>
                      <w:lang w:eastAsia="zh-CN"/>
                    </w:rPr>
                    <w:t>收集</w:t>
                  </w:r>
                  <w:r>
                    <w:rPr>
                      <w:color w:val="auto"/>
                      <w:szCs w:val="21"/>
                      <w:highlight w:val="none"/>
                    </w:rPr>
                    <w:t>外售</w:t>
                  </w:r>
                </w:p>
              </w:tc>
            </w:tr>
            <w:tr w14:paraId="76224B42">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6" w:type="pct"/>
                  <w:tcBorders>
                    <w:top w:val="single" w:color="auto" w:sz="4" w:space="0"/>
                    <w:bottom w:val="single" w:color="auto" w:sz="4" w:space="0"/>
                  </w:tcBorders>
                  <w:shd w:val="clear" w:color="auto" w:fill="auto"/>
                  <w:vAlign w:val="center"/>
                </w:tcPr>
                <w:p w14:paraId="04510FA1">
                  <w:pPr>
                    <w:widowControl/>
                    <w:adjustRightInd w:val="0"/>
                    <w:snapToGrid w:val="0"/>
                    <w:jc w:val="center"/>
                    <w:rPr>
                      <w:rFonts w:hint="eastAsia"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3</w:t>
                  </w:r>
                </w:p>
              </w:tc>
              <w:tc>
                <w:tcPr>
                  <w:tcW w:w="456" w:type="pct"/>
                  <w:tcBorders>
                    <w:top w:val="single" w:color="auto" w:sz="4" w:space="0"/>
                    <w:bottom w:val="single" w:color="auto" w:sz="4" w:space="0"/>
                  </w:tcBorders>
                  <w:shd w:val="clear" w:color="auto" w:fill="auto"/>
                  <w:vAlign w:val="center"/>
                </w:tcPr>
                <w:p w14:paraId="42CA6DE2">
                  <w:pPr>
                    <w:widowControl/>
                    <w:adjustRightInd w:val="0"/>
                    <w:snapToGrid w:val="0"/>
                    <w:jc w:val="center"/>
                    <w:rPr>
                      <w:rFonts w:hint="eastAsia" w:eastAsiaTheme="minorEastAsia"/>
                      <w:color w:val="auto"/>
                      <w:kern w:val="0"/>
                      <w:szCs w:val="21"/>
                      <w:highlight w:val="none"/>
                      <w:lang w:eastAsia="zh-CN"/>
                    </w:rPr>
                  </w:pPr>
                  <w:r>
                    <w:rPr>
                      <w:rFonts w:hint="eastAsia" w:eastAsiaTheme="minorEastAsia"/>
                      <w:color w:val="auto"/>
                      <w:kern w:val="0"/>
                      <w:szCs w:val="21"/>
                      <w:highlight w:val="none"/>
                      <w:lang w:eastAsia="zh-CN"/>
                    </w:rPr>
                    <w:t>废包装材料</w:t>
                  </w:r>
                </w:p>
              </w:tc>
              <w:tc>
                <w:tcPr>
                  <w:tcW w:w="456" w:type="pct"/>
                  <w:vMerge w:val="continue"/>
                  <w:tcBorders>
                    <w:bottom w:val="single" w:color="auto" w:sz="4" w:space="0"/>
                  </w:tcBorders>
                  <w:shd w:val="clear" w:color="auto" w:fill="auto"/>
                  <w:vAlign w:val="center"/>
                </w:tcPr>
                <w:p w14:paraId="10722BDC">
                  <w:pPr>
                    <w:adjustRightInd w:val="0"/>
                    <w:snapToGrid w:val="0"/>
                    <w:jc w:val="center"/>
                    <w:rPr>
                      <w:color w:val="auto"/>
                      <w:szCs w:val="21"/>
                      <w:highlight w:val="none"/>
                    </w:rPr>
                  </w:pPr>
                </w:p>
              </w:tc>
              <w:tc>
                <w:tcPr>
                  <w:tcW w:w="424" w:type="pct"/>
                  <w:tcBorders>
                    <w:top w:val="single" w:color="auto" w:sz="4" w:space="0"/>
                    <w:bottom w:val="single" w:color="auto" w:sz="4" w:space="0"/>
                  </w:tcBorders>
                  <w:shd w:val="clear" w:color="auto" w:fill="auto"/>
                  <w:vAlign w:val="center"/>
                </w:tcPr>
                <w:p w14:paraId="15AFAC81">
                  <w:pPr>
                    <w:widowControl/>
                    <w:adjustRightInd w:val="0"/>
                    <w:snapToGrid w:val="0"/>
                    <w:jc w:val="center"/>
                    <w:rPr>
                      <w:rFonts w:hint="eastAsia" w:eastAsiaTheme="minorEastAsia"/>
                      <w:color w:val="auto"/>
                      <w:kern w:val="0"/>
                      <w:szCs w:val="21"/>
                      <w:highlight w:val="none"/>
                      <w:lang w:eastAsia="zh-CN"/>
                    </w:rPr>
                  </w:pPr>
                  <w:r>
                    <w:rPr>
                      <w:rFonts w:hint="eastAsia" w:eastAsiaTheme="minorEastAsia"/>
                      <w:color w:val="auto"/>
                      <w:kern w:val="0"/>
                      <w:szCs w:val="21"/>
                      <w:highlight w:val="none"/>
                      <w:lang w:eastAsia="zh-CN"/>
                    </w:rPr>
                    <w:t>原辅料包装</w:t>
                  </w:r>
                </w:p>
              </w:tc>
              <w:tc>
                <w:tcPr>
                  <w:tcW w:w="194" w:type="pct"/>
                  <w:tcBorders>
                    <w:top w:val="single" w:color="auto" w:sz="4" w:space="0"/>
                    <w:bottom w:val="single" w:color="auto" w:sz="4" w:space="0"/>
                  </w:tcBorders>
                  <w:shd w:val="clear" w:color="auto" w:fill="auto"/>
                  <w:vAlign w:val="center"/>
                </w:tcPr>
                <w:p w14:paraId="78158ED1">
                  <w:pPr>
                    <w:widowControl/>
                    <w:adjustRightInd w:val="0"/>
                    <w:snapToGrid w:val="0"/>
                    <w:jc w:val="center"/>
                    <w:rPr>
                      <w:rFonts w:hint="eastAsia" w:eastAsiaTheme="minorEastAsia"/>
                      <w:color w:val="auto"/>
                      <w:kern w:val="0"/>
                      <w:szCs w:val="21"/>
                      <w:highlight w:val="none"/>
                      <w:lang w:eastAsia="zh-CN"/>
                    </w:rPr>
                  </w:pPr>
                  <w:r>
                    <w:rPr>
                      <w:rFonts w:hint="eastAsia" w:eastAsiaTheme="minorEastAsia"/>
                      <w:color w:val="auto"/>
                      <w:kern w:val="0"/>
                      <w:szCs w:val="21"/>
                      <w:highlight w:val="none"/>
                      <w:lang w:eastAsia="zh-CN"/>
                    </w:rPr>
                    <w:t>固</w:t>
                  </w:r>
                </w:p>
              </w:tc>
              <w:tc>
                <w:tcPr>
                  <w:tcW w:w="541" w:type="pct"/>
                  <w:tcBorders>
                    <w:top w:val="single" w:color="auto" w:sz="4" w:space="0"/>
                    <w:bottom w:val="single" w:color="auto" w:sz="4" w:space="0"/>
                  </w:tcBorders>
                  <w:shd w:val="clear" w:color="auto" w:fill="auto"/>
                  <w:vAlign w:val="center"/>
                </w:tcPr>
                <w:p w14:paraId="50E465A3">
                  <w:pPr>
                    <w:widowControl/>
                    <w:adjustRightInd w:val="0"/>
                    <w:snapToGrid w:val="0"/>
                    <w:jc w:val="center"/>
                    <w:rPr>
                      <w:rFonts w:hint="eastAsia" w:eastAsiaTheme="minorEastAsia"/>
                      <w:color w:val="auto"/>
                      <w:kern w:val="0"/>
                      <w:szCs w:val="21"/>
                      <w:highlight w:val="none"/>
                      <w:lang w:eastAsia="zh-CN"/>
                    </w:rPr>
                  </w:pPr>
                  <w:r>
                    <w:rPr>
                      <w:rFonts w:hint="eastAsia" w:eastAsiaTheme="minorEastAsia"/>
                      <w:color w:val="auto"/>
                      <w:kern w:val="0"/>
                      <w:szCs w:val="21"/>
                      <w:highlight w:val="none"/>
                      <w:lang w:eastAsia="zh-CN"/>
                    </w:rPr>
                    <w:t>包装袋</w:t>
                  </w:r>
                </w:p>
              </w:tc>
              <w:tc>
                <w:tcPr>
                  <w:tcW w:w="681" w:type="pct"/>
                  <w:vMerge w:val="continue"/>
                  <w:tcBorders>
                    <w:bottom w:val="single" w:color="auto" w:sz="4" w:space="0"/>
                  </w:tcBorders>
                  <w:shd w:val="clear" w:color="auto" w:fill="auto"/>
                  <w:vAlign w:val="center"/>
                </w:tcPr>
                <w:p w14:paraId="1CCD8C50">
                  <w:pPr>
                    <w:adjustRightInd w:val="0"/>
                    <w:snapToGrid w:val="0"/>
                    <w:jc w:val="center"/>
                    <w:rPr>
                      <w:color w:val="auto"/>
                      <w:szCs w:val="21"/>
                      <w:highlight w:val="none"/>
                    </w:rPr>
                  </w:pPr>
                </w:p>
              </w:tc>
              <w:tc>
                <w:tcPr>
                  <w:tcW w:w="344" w:type="pct"/>
                  <w:tcBorders>
                    <w:top w:val="single" w:color="auto" w:sz="4" w:space="0"/>
                    <w:bottom w:val="single" w:color="auto" w:sz="4" w:space="0"/>
                  </w:tcBorders>
                  <w:shd w:val="clear" w:color="auto" w:fill="auto"/>
                  <w:vAlign w:val="center"/>
                </w:tcPr>
                <w:p w14:paraId="4B2CEE0F">
                  <w:pPr>
                    <w:adjustRightInd w:val="0"/>
                    <w:snapToGrid w:val="0"/>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sz w:val="21"/>
                      <w:szCs w:val="21"/>
                      <w:highlight w:val="none"/>
                    </w:rPr>
                    <w:t>SW</w:t>
                  </w:r>
                  <w:r>
                    <w:rPr>
                      <w:rFonts w:hint="eastAsia"/>
                      <w:color w:val="auto"/>
                      <w:sz w:val="21"/>
                      <w:szCs w:val="21"/>
                      <w:highlight w:val="none"/>
                      <w:lang w:val="en-US" w:eastAsia="zh-CN"/>
                    </w:rPr>
                    <w:t>59</w:t>
                  </w:r>
                </w:p>
              </w:tc>
              <w:tc>
                <w:tcPr>
                  <w:tcW w:w="726" w:type="pct"/>
                  <w:tcBorders>
                    <w:top w:val="single" w:color="auto" w:sz="4" w:space="0"/>
                    <w:bottom w:val="single" w:color="auto" w:sz="4" w:space="0"/>
                  </w:tcBorders>
                  <w:shd w:val="clear" w:color="auto" w:fill="auto"/>
                  <w:vAlign w:val="center"/>
                </w:tcPr>
                <w:p w14:paraId="3F26E4FF">
                  <w:pPr>
                    <w:adjustRightInd w:val="0"/>
                    <w:snapToGrid w:val="0"/>
                    <w:spacing w:line="240" w:lineRule="auto"/>
                    <w:ind w:firstLine="0" w:firstLineChars="0"/>
                    <w:jc w:val="center"/>
                    <w:rPr>
                      <w:rFonts w:hint="eastAsia"/>
                      <w:color w:val="auto"/>
                      <w:kern w:val="0"/>
                      <w:sz w:val="21"/>
                      <w:szCs w:val="21"/>
                      <w:highlight w:val="none"/>
                      <w:lang w:val="en-US" w:eastAsia="zh-CN"/>
                    </w:rPr>
                  </w:pPr>
                  <w:r>
                    <w:rPr>
                      <w:color w:val="auto"/>
                      <w:sz w:val="21"/>
                      <w:szCs w:val="21"/>
                      <w:highlight w:val="none"/>
                    </w:rPr>
                    <w:t>900-</w:t>
                  </w:r>
                  <w:r>
                    <w:rPr>
                      <w:rFonts w:hint="eastAsia"/>
                      <w:color w:val="auto"/>
                      <w:sz w:val="21"/>
                      <w:szCs w:val="21"/>
                      <w:highlight w:val="none"/>
                    </w:rPr>
                    <w:t>099</w:t>
                  </w:r>
                  <w:r>
                    <w:rPr>
                      <w:color w:val="auto"/>
                      <w:sz w:val="21"/>
                      <w:szCs w:val="21"/>
                      <w:highlight w:val="none"/>
                    </w:rPr>
                    <w:t>-</w:t>
                  </w:r>
                  <w:r>
                    <w:rPr>
                      <w:rFonts w:hint="eastAsia"/>
                      <w:color w:val="auto"/>
                      <w:sz w:val="21"/>
                      <w:szCs w:val="21"/>
                      <w:highlight w:val="none"/>
                    </w:rPr>
                    <w:t>S</w:t>
                  </w:r>
                  <w:r>
                    <w:rPr>
                      <w:rFonts w:hint="eastAsia"/>
                      <w:color w:val="auto"/>
                      <w:sz w:val="21"/>
                      <w:szCs w:val="21"/>
                      <w:highlight w:val="none"/>
                      <w:lang w:val="en-US" w:eastAsia="zh-CN"/>
                    </w:rPr>
                    <w:t>59</w:t>
                  </w:r>
                </w:p>
              </w:tc>
              <w:tc>
                <w:tcPr>
                  <w:tcW w:w="247" w:type="pct"/>
                  <w:tcBorders>
                    <w:top w:val="single" w:color="auto" w:sz="4" w:space="0"/>
                    <w:bottom w:val="single" w:color="auto" w:sz="4" w:space="0"/>
                  </w:tcBorders>
                  <w:shd w:val="clear" w:color="auto" w:fill="auto"/>
                  <w:vAlign w:val="center"/>
                </w:tcPr>
                <w:p w14:paraId="7BB07285">
                  <w:pPr>
                    <w:overflowPunct w:val="0"/>
                    <w:adjustRightInd w:val="0"/>
                    <w:snapToGrid w:val="0"/>
                    <w:jc w:val="center"/>
                    <w:textAlignment w:val="baseline"/>
                    <w:rPr>
                      <w:rFonts w:hint="eastAsia"/>
                      <w:color w:val="auto"/>
                      <w:szCs w:val="21"/>
                      <w:highlight w:val="none"/>
                      <w:lang w:val="en-US" w:eastAsia="zh-CN"/>
                    </w:rPr>
                  </w:pPr>
                  <w:r>
                    <w:rPr>
                      <w:color w:val="auto"/>
                      <w:szCs w:val="21"/>
                      <w:highlight w:val="none"/>
                    </w:rPr>
                    <w:t>/</w:t>
                  </w:r>
                </w:p>
              </w:tc>
              <w:tc>
                <w:tcPr>
                  <w:tcW w:w="423" w:type="pct"/>
                  <w:tcBorders>
                    <w:top w:val="single" w:color="auto" w:sz="4" w:space="0"/>
                    <w:bottom w:val="single" w:color="auto" w:sz="4" w:space="0"/>
                  </w:tcBorders>
                  <w:shd w:val="clear" w:color="auto" w:fill="auto"/>
                  <w:vAlign w:val="center"/>
                </w:tcPr>
                <w:p w14:paraId="75C1B085">
                  <w:pPr>
                    <w:widowControl/>
                    <w:adjustRightInd w:val="0"/>
                    <w:snapToGrid w:val="0"/>
                    <w:jc w:val="center"/>
                    <w:rPr>
                      <w:rFonts w:hint="eastAsia"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0.1</w:t>
                  </w:r>
                </w:p>
              </w:tc>
              <w:tc>
                <w:tcPr>
                  <w:tcW w:w="346" w:type="pct"/>
                  <w:vMerge w:val="continue"/>
                  <w:tcBorders>
                    <w:bottom w:val="single" w:color="auto" w:sz="4" w:space="0"/>
                  </w:tcBorders>
                  <w:shd w:val="clear" w:color="auto" w:fill="auto"/>
                  <w:vAlign w:val="center"/>
                </w:tcPr>
                <w:p w14:paraId="077CA0CA">
                  <w:pPr>
                    <w:adjustRightInd w:val="0"/>
                    <w:snapToGrid w:val="0"/>
                    <w:jc w:val="center"/>
                    <w:rPr>
                      <w:color w:val="auto"/>
                      <w:szCs w:val="21"/>
                      <w:highlight w:val="none"/>
                    </w:rPr>
                  </w:pPr>
                </w:p>
              </w:tc>
            </w:tr>
            <w:tr w14:paraId="7A62967E">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6" w:type="pct"/>
                  <w:tcBorders>
                    <w:top w:val="single" w:color="auto" w:sz="4" w:space="0"/>
                    <w:bottom w:val="single" w:color="auto" w:sz="4" w:space="0"/>
                  </w:tcBorders>
                  <w:shd w:val="clear" w:color="auto" w:fill="auto"/>
                  <w:vAlign w:val="center"/>
                </w:tcPr>
                <w:p w14:paraId="7721D198">
                  <w:pPr>
                    <w:widowControl/>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4</w:t>
                  </w:r>
                </w:p>
              </w:tc>
              <w:tc>
                <w:tcPr>
                  <w:tcW w:w="456" w:type="pct"/>
                  <w:tcBorders>
                    <w:top w:val="single" w:color="auto" w:sz="4" w:space="0"/>
                    <w:bottom w:val="single" w:color="auto" w:sz="4" w:space="0"/>
                  </w:tcBorders>
                  <w:shd w:val="clear" w:color="auto" w:fill="auto"/>
                  <w:vAlign w:val="center"/>
                </w:tcPr>
                <w:p w14:paraId="121C1A2B">
                  <w:pPr>
                    <w:widowControl/>
                    <w:adjustRightInd w:val="0"/>
                    <w:snapToGrid w:val="0"/>
                    <w:jc w:val="center"/>
                    <w:rPr>
                      <w:rFonts w:hint="eastAsia" w:eastAsiaTheme="minorEastAsia"/>
                      <w:color w:val="auto"/>
                      <w:kern w:val="0"/>
                      <w:szCs w:val="21"/>
                      <w:highlight w:val="none"/>
                      <w:lang w:val="en-US" w:eastAsia="zh-CN"/>
                    </w:rPr>
                  </w:pPr>
                  <w:r>
                    <w:rPr>
                      <w:rFonts w:eastAsiaTheme="minorEastAsia"/>
                      <w:color w:val="auto"/>
                      <w:kern w:val="0"/>
                      <w:szCs w:val="21"/>
                      <w:highlight w:val="none"/>
                    </w:rPr>
                    <w:t>废</w:t>
                  </w:r>
                  <w:r>
                    <w:rPr>
                      <w:rFonts w:hint="eastAsia" w:eastAsiaTheme="minorEastAsia"/>
                      <w:color w:val="auto"/>
                      <w:kern w:val="0"/>
                      <w:szCs w:val="21"/>
                      <w:highlight w:val="none"/>
                      <w:lang w:val="en-US" w:eastAsia="zh-CN"/>
                    </w:rPr>
                    <w:t>润滑</w:t>
                  </w:r>
                  <w:r>
                    <w:rPr>
                      <w:rFonts w:eastAsiaTheme="minorEastAsia"/>
                      <w:color w:val="auto"/>
                      <w:kern w:val="0"/>
                      <w:szCs w:val="21"/>
                      <w:highlight w:val="none"/>
                    </w:rPr>
                    <w:t>油</w:t>
                  </w:r>
                </w:p>
              </w:tc>
              <w:tc>
                <w:tcPr>
                  <w:tcW w:w="456" w:type="pct"/>
                  <w:vMerge w:val="restart"/>
                  <w:tcBorders>
                    <w:top w:val="single" w:color="auto" w:sz="4" w:space="0"/>
                  </w:tcBorders>
                  <w:shd w:val="clear" w:color="auto" w:fill="auto"/>
                  <w:vAlign w:val="center"/>
                </w:tcPr>
                <w:p w14:paraId="33FD9E16">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危险废物</w:t>
                  </w:r>
                </w:p>
              </w:tc>
              <w:tc>
                <w:tcPr>
                  <w:tcW w:w="424" w:type="pct"/>
                  <w:tcBorders>
                    <w:top w:val="single" w:color="auto" w:sz="4" w:space="0"/>
                    <w:bottom w:val="single" w:color="auto" w:sz="4" w:space="0"/>
                  </w:tcBorders>
                  <w:shd w:val="clear" w:color="auto" w:fill="auto"/>
                  <w:vAlign w:val="center"/>
                </w:tcPr>
                <w:p w14:paraId="390513BB">
                  <w:pPr>
                    <w:widowControl/>
                    <w:adjustRightInd w:val="0"/>
                    <w:snapToGrid w:val="0"/>
                    <w:jc w:val="center"/>
                    <w:rPr>
                      <w:rFonts w:hint="eastAsia"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设备维修</w:t>
                  </w:r>
                </w:p>
              </w:tc>
              <w:tc>
                <w:tcPr>
                  <w:tcW w:w="194" w:type="pct"/>
                  <w:tcBorders>
                    <w:top w:val="single" w:color="auto" w:sz="4" w:space="0"/>
                    <w:bottom w:val="single" w:color="auto" w:sz="4" w:space="0"/>
                  </w:tcBorders>
                  <w:shd w:val="clear" w:color="auto" w:fill="auto"/>
                  <w:vAlign w:val="center"/>
                </w:tcPr>
                <w:p w14:paraId="1A518627">
                  <w:pPr>
                    <w:widowControl/>
                    <w:adjustRightInd w:val="0"/>
                    <w:snapToGrid w:val="0"/>
                    <w:jc w:val="center"/>
                    <w:rPr>
                      <w:rFonts w:eastAsiaTheme="minorEastAsia"/>
                      <w:color w:val="auto"/>
                      <w:kern w:val="0"/>
                      <w:szCs w:val="21"/>
                      <w:highlight w:val="none"/>
                    </w:rPr>
                  </w:pPr>
                  <w:r>
                    <w:rPr>
                      <w:rFonts w:eastAsiaTheme="minorEastAsia"/>
                      <w:color w:val="auto"/>
                      <w:kern w:val="0"/>
                      <w:szCs w:val="21"/>
                      <w:highlight w:val="none"/>
                    </w:rPr>
                    <w:t>液</w:t>
                  </w:r>
                </w:p>
              </w:tc>
              <w:tc>
                <w:tcPr>
                  <w:tcW w:w="541" w:type="pct"/>
                  <w:tcBorders>
                    <w:top w:val="single" w:color="auto" w:sz="4" w:space="0"/>
                    <w:bottom w:val="single" w:color="auto" w:sz="4" w:space="0"/>
                  </w:tcBorders>
                  <w:shd w:val="clear" w:color="auto" w:fill="auto"/>
                  <w:vAlign w:val="center"/>
                </w:tcPr>
                <w:p w14:paraId="185E19BE">
                  <w:pPr>
                    <w:widowControl/>
                    <w:adjustRightInd w:val="0"/>
                    <w:snapToGrid w:val="0"/>
                    <w:jc w:val="center"/>
                    <w:rPr>
                      <w:rFonts w:eastAsiaTheme="minorEastAsia"/>
                      <w:color w:val="auto"/>
                      <w:kern w:val="0"/>
                      <w:szCs w:val="21"/>
                      <w:highlight w:val="none"/>
                      <w:lang w:val="zh-CN"/>
                    </w:rPr>
                  </w:pPr>
                  <w:r>
                    <w:rPr>
                      <w:rFonts w:eastAsiaTheme="minorEastAsia"/>
                      <w:color w:val="auto"/>
                      <w:kern w:val="0"/>
                      <w:szCs w:val="21"/>
                      <w:highlight w:val="none"/>
                    </w:rPr>
                    <w:t>矿物油</w:t>
                  </w:r>
                </w:p>
              </w:tc>
              <w:tc>
                <w:tcPr>
                  <w:tcW w:w="681" w:type="pct"/>
                  <w:vMerge w:val="restart"/>
                  <w:tcBorders>
                    <w:top w:val="single" w:color="auto" w:sz="4" w:space="0"/>
                  </w:tcBorders>
                  <w:shd w:val="clear" w:color="auto" w:fill="auto"/>
                  <w:vAlign w:val="center"/>
                </w:tcPr>
                <w:p w14:paraId="062C8768">
                  <w:pPr>
                    <w:adjustRightInd w:val="0"/>
                    <w:snapToGrid w:val="0"/>
                    <w:jc w:val="center"/>
                    <w:rPr>
                      <w:color w:val="auto"/>
                      <w:szCs w:val="21"/>
                      <w:highlight w:val="none"/>
                    </w:rPr>
                  </w:pPr>
                  <w:r>
                    <w:rPr>
                      <w:color w:val="0070C0"/>
                      <w:szCs w:val="21"/>
                      <w:highlight w:val="none"/>
                    </w:rPr>
                    <w:t>《国家危险废物名录》（202</w:t>
                  </w:r>
                  <w:r>
                    <w:rPr>
                      <w:rFonts w:hint="eastAsia"/>
                      <w:color w:val="0070C0"/>
                      <w:szCs w:val="21"/>
                      <w:highlight w:val="none"/>
                      <w:lang w:val="en-US" w:eastAsia="zh-CN"/>
                    </w:rPr>
                    <w:t>5</w:t>
                  </w:r>
                  <w:r>
                    <w:commentReference w:id="14"/>
                  </w:r>
                  <w:r>
                    <w:rPr>
                      <w:color w:val="0070C0"/>
                      <w:szCs w:val="21"/>
                      <w:highlight w:val="none"/>
                    </w:rPr>
                    <w:t>年）</w:t>
                  </w:r>
                </w:p>
              </w:tc>
              <w:tc>
                <w:tcPr>
                  <w:tcW w:w="344" w:type="pct"/>
                  <w:tcBorders>
                    <w:top w:val="single" w:color="auto" w:sz="4" w:space="0"/>
                    <w:bottom w:val="single" w:color="auto" w:sz="4" w:space="0"/>
                  </w:tcBorders>
                  <w:shd w:val="clear" w:color="auto" w:fill="auto"/>
                  <w:vAlign w:val="center"/>
                </w:tcPr>
                <w:p w14:paraId="60E7F97D">
                  <w:pPr>
                    <w:overflowPunct w:val="0"/>
                    <w:adjustRightInd w:val="0"/>
                    <w:snapToGrid w:val="0"/>
                    <w:jc w:val="center"/>
                    <w:textAlignment w:val="baseline"/>
                    <w:rPr>
                      <w:rFonts w:hint="eastAsia" w:eastAsia="宋体"/>
                      <w:color w:val="auto"/>
                      <w:szCs w:val="21"/>
                      <w:highlight w:val="none"/>
                      <w:lang w:eastAsia="zh-CN"/>
                    </w:rPr>
                  </w:pPr>
                  <w:r>
                    <w:rPr>
                      <w:color w:val="auto"/>
                      <w:szCs w:val="21"/>
                      <w:highlight w:val="none"/>
                    </w:rPr>
                    <w:t>HW0</w:t>
                  </w:r>
                  <w:r>
                    <w:rPr>
                      <w:rFonts w:hint="eastAsia"/>
                      <w:color w:val="auto"/>
                      <w:szCs w:val="21"/>
                      <w:highlight w:val="none"/>
                      <w:lang w:val="en-US" w:eastAsia="zh-CN"/>
                    </w:rPr>
                    <w:t>8</w:t>
                  </w:r>
                </w:p>
              </w:tc>
              <w:tc>
                <w:tcPr>
                  <w:tcW w:w="726" w:type="pct"/>
                  <w:tcBorders>
                    <w:top w:val="single" w:color="auto" w:sz="4" w:space="0"/>
                    <w:bottom w:val="single" w:color="auto" w:sz="4" w:space="0"/>
                  </w:tcBorders>
                  <w:shd w:val="clear" w:color="auto" w:fill="auto"/>
                  <w:vAlign w:val="center"/>
                </w:tcPr>
                <w:p w14:paraId="3A6F890E">
                  <w:pPr>
                    <w:overflowPunct w:val="0"/>
                    <w:adjustRightInd w:val="0"/>
                    <w:snapToGrid w:val="0"/>
                    <w:jc w:val="center"/>
                    <w:textAlignment w:val="baseline"/>
                    <w:rPr>
                      <w:rFonts w:hint="eastAsia" w:eastAsia="宋体"/>
                      <w:color w:val="auto"/>
                      <w:szCs w:val="21"/>
                      <w:highlight w:val="none"/>
                      <w:lang w:eastAsia="zh-CN"/>
                    </w:rPr>
                  </w:pPr>
                  <w:r>
                    <w:rPr>
                      <w:color w:val="auto"/>
                      <w:szCs w:val="21"/>
                      <w:highlight w:val="none"/>
                    </w:rPr>
                    <w:t>900-</w:t>
                  </w:r>
                  <w:r>
                    <w:rPr>
                      <w:rFonts w:hint="eastAsia"/>
                      <w:color w:val="auto"/>
                      <w:szCs w:val="21"/>
                      <w:highlight w:val="none"/>
                      <w:lang w:val="en-US" w:eastAsia="zh-CN"/>
                    </w:rPr>
                    <w:t>214</w:t>
                  </w:r>
                  <w:r>
                    <w:rPr>
                      <w:color w:val="auto"/>
                      <w:szCs w:val="21"/>
                      <w:highlight w:val="none"/>
                    </w:rPr>
                    <w:t>-0</w:t>
                  </w:r>
                  <w:r>
                    <w:rPr>
                      <w:rFonts w:hint="eastAsia"/>
                      <w:color w:val="auto"/>
                      <w:szCs w:val="21"/>
                      <w:highlight w:val="none"/>
                      <w:lang w:val="en-US" w:eastAsia="zh-CN"/>
                    </w:rPr>
                    <w:t>8</w:t>
                  </w:r>
                </w:p>
              </w:tc>
              <w:tc>
                <w:tcPr>
                  <w:tcW w:w="247" w:type="pct"/>
                  <w:tcBorders>
                    <w:top w:val="single" w:color="auto" w:sz="4" w:space="0"/>
                    <w:bottom w:val="single" w:color="auto" w:sz="4" w:space="0"/>
                  </w:tcBorders>
                  <w:shd w:val="clear" w:color="auto" w:fill="auto"/>
                  <w:vAlign w:val="center"/>
                </w:tcPr>
                <w:p w14:paraId="5BDBC114">
                  <w:pPr>
                    <w:adjustRightInd w:val="0"/>
                    <w:snapToGrid w:val="0"/>
                    <w:jc w:val="center"/>
                    <w:rPr>
                      <w:rFonts w:hint="default" w:eastAsia="宋体"/>
                      <w:color w:val="auto"/>
                      <w:szCs w:val="21"/>
                      <w:highlight w:val="none"/>
                      <w:lang w:val="en-US" w:eastAsia="zh-CN"/>
                    </w:rPr>
                  </w:pPr>
                  <w:r>
                    <w:rPr>
                      <w:rFonts w:hint="eastAsia"/>
                      <w:color w:val="auto"/>
                      <w:szCs w:val="21"/>
                      <w:highlight w:val="none"/>
                    </w:rPr>
                    <w:t>T</w:t>
                  </w:r>
                  <w:r>
                    <w:rPr>
                      <w:rFonts w:hint="eastAsia"/>
                      <w:color w:val="auto"/>
                      <w:szCs w:val="21"/>
                      <w:highlight w:val="none"/>
                      <w:lang w:eastAsia="zh-CN"/>
                    </w:rPr>
                    <w:t>，</w:t>
                  </w:r>
                  <w:r>
                    <w:rPr>
                      <w:rFonts w:hint="eastAsia"/>
                      <w:color w:val="auto"/>
                      <w:szCs w:val="21"/>
                      <w:highlight w:val="none"/>
                      <w:lang w:val="en-US" w:eastAsia="zh-CN"/>
                    </w:rPr>
                    <w:t>I</w:t>
                  </w:r>
                </w:p>
              </w:tc>
              <w:tc>
                <w:tcPr>
                  <w:tcW w:w="423" w:type="pct"/>
                  <w:tcBorders>
                    <w:top w:val="single" w:color="auto" w:sz="4" w:space="0"/>
                    <w:bottom w:val="single" w:color="auto" w:sz="4" w:space="0"/>
                  </w:tcBorders>
                  <w:shd w:val="clear" w:color="auto" w:fill="auto"/>
                  <w:vAlign w:val="center"/>
                </w:tcPr>
                <w:p w14:paraId="0C0244E8">
                  <w:pPr>
                    <w:widowControl/>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0.01</w:t>
                  </w:r>
                </w:p>
              </w:tc>
              <w:tc>
                <w:tcPr>
                  <w:tcW w:w="346" w:type="pct"/>
                  <w:vMerge w:val="restart"/>
                  <w:tcBorders>
                    <w:top w:val="single" w:color="auto" w:sz="4" w:space="0"/>
                  </w:tcBorders>
                  <w:shd w:val="clear" w:color="auto" w:fill="auto"/>
                  <w:vAlign w:val="center"/>
                </w:tcPr>
                <w:p w14:paraId="2C256718">
                  <w:pPr>
                    <w:overflowPunct w:val="0"/>
                    <w:adjustRightInd w:val="0"/>
                    <w:snapToGrid w:val="0"/>
                    <w:jc w:val="center"/>
                    <w:textAlignment w:val="baseline"/>
                    <w:rPr>
                      <w:color w:val="auto"/>
                      <w:szCs w:val="21"/>
                      <w:highlight w:val="none"/>
                      <w:lang w:val="zh-CN"/>
                    </w:rPr>
                  </w:pPr>
                  <w:r>
                    <w:rPr>
                      <w:color w:val="auto"/>
                      <w:szCs w:val="21"/>
                      <w:highlight w:val="none"/>
                      <w:lang w:val="zh-CN"/>
                    </w:rPr>
                    <w:t>委托</w:t>
                  </w:r>
                  <w:r>
                    <w:rPr>
                      <w:color w:val="auto"/>
                      <w:szCs w:val="21"/>
                      <w:highlight w:val="none"/>
                    </w:rPr>
                    <w:t>有资质单位</w:t>
                  </w:r>
                  <w:r>
                    <w:rPr>
                      <w:color w:val="auto"/>
                      <w:szCs w:val="21"/>
                      <w:highlight w:val="none"/>
                      <w:lang w:val="zh-CN"/>
                    </w:rPr>
                    <w:t>处置</w:t>
                  </w:r>
                </w:p>
              </w:tc>
            </w:tr>
            <w:tr w14:paraId="672AF01F">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6" w:type="pct"/>
                  <w:tcBorders>
                    <w:top w:val="single" w:color="auto" w:sz="4" w:space="0"/>
                    <w:bottom w:val="single" w:color="auto" w:sz="4" w:space="0"/>
                  </w:tcBorders>
                  <w:shd w:val="clear" w:color="auto" w:fill="auto"/>
                  <w:vAlign w:val="center"/>
                </w:tcPr>
                <w:p w14:paraId="52E1760B">
                  <w:pPr>
                    <w:widowControl/>
                    <w:adjustRightInd w:val="0"/>
                    <w:snapToGrid w:val="0"/>
                    <w:jc w:val="center"/>
                    <w:rPr>
                      <w:rFonts w:hint="eastAsia" w:eastAsia="宋体"/>
                      <w:color w:val="auto"/>
                      <w:szCs w:val="21"/>
                      <w:highlight w:val="none"/>
                      <w:lang w:eastAsia="zh-CN"/>
                    </w:rPr>
                  </w:pPr>
                  <w:r>
                    <w:rPr>
                      <w:rFonts w:hint="eastAsia" w:eastAsiaTheme="minorEastAsia"/>
                      <w:color w:val="auto"/>
                      <w:kern w:val="0"/>
                      <w:szCs w:val="21"/>
                      <w:highlight w:val="none"/>
                      <w:lang w:val="en-US" w:eastAsia="zh-CN"/>
                    </w:rPr>
                    <w:t>5</w:t>
                  </w:r>
                </w:p>
              </w:tc>
              <w:tc>
                <w:tcPr>
                  <w:tcW w:w="456" w:type="pct"/>
                  <w:tcBorders>
                    <w:top w:val="single" w:color="auto" w:sz="4" w:space="0"/>
                    <w:bottom w:val="single" w:color="auto" w:sz="4" w:space="0"/>
                  </w:tcBorders>
                  <w:shd w:val="clear" w:color="auto" w:fill="auto"/>
                  <w:vAlign w:val="center"/>
                </w:tcPr>
                <w:p w14:paraId="49F92B8B">
                  <w:pPr>
                    <w:overflowPunct w:val="0"/>
                    <w:adjustRightInd w:val="0"/>
                    <w:snapToGrid w:val="0"/>
                    <w:jc w:val="center"/>
                    <w:textAlignment w:val="baseline"/>
                    <w:rPr>
                      <w:rFonts w:hint="default"/>
                      <w:color w:val="auto"/>
                      <w:szCs w:val="21"/>
                      <w:highlight w:val="none"/>
                      <w:lang w:val="en-US"/>
                    </w:rPr>
                  </w:pPr>
                  <w:r>
                    <w:rPr>
                      <w:color w:val="auto"/>
                      <w:sz w:val="21"/>
                      <w:szCs w:val="21"/>
                      <w:highlight w:val="none"/>
                    </w:rPr>
                    <w:t>废包装</w:t>
                  </w:r>
                  <w:r>
                    <w:rPr>
                      <w:rFonts w:hint="eastAsia"/>
                      <w:color w:val="auto"/>
                      <w:sz w:val="21"/>
                      <w:szCs w:val="21"/>
                      <w:highlight w:val="none"/>
                      <w:lang w:val="en-US" w:eastAsia="zh-CN"/>
                    </w:rPr>
                    <w:t>瓶</w:t>
                  </w:r>
                </w:p>
              </w:tc>
              <w:tc>
                <w:tcPr>
                  <w:tcW w:w="456" w:type="pct"/>
                  <w:vMerge w:val="continue"/>
                  <w:shd w:val="clear" w:color="auto" w:fill="auto"/>
                  <w:vAlign w:val="center"/>
                </w:tcPr>
                <w:p w14:paraId="0FD907EE">
                  <w:pPr>
                    <w:adjustRightInd w:val="0"/>
                    <w:snapToGrid w:val="0"/>
                    <w:jc w:val="center"/>
                    <w:rPr>
                      <w:color w:val="auto"/>
                      <w:szCs w:val="21"/>
                      <w:highlight w:val="none"/>
                    </w:rPr>
                  </w:pPr>
                </w:p>
              </w:tc>
              <w:tc>
                <w:tcPr>
                  <w:tcW w:w="424" w:type="pct"/>
                  <w:vMerge w:val="restart"/>
                  <w:tcBorders>
                    <w:top w:val="single" w:color="auto" w:sz="4" w:space="0"/>
                  </w:tcBorders>
                  <w:shd w:val="clear" w:color="auto" w:fill="auto"/>
                  <w:vAlign w:val="center"/>
                </w:tcPr>
                <w:p w14:paraId="6C3C0DC7">
                  <w:pPr>
                    <w:widowControl/>
                    <w:adjustRightInd w:val="0"/>
                    <w:snapToGrid w:val="0"/>
                    <w:jc w:val="center"/>
                    <w:rPr>
                      <w:color w:val="auto"/>
                      <w:szCs w:val="21"/>
                      <w:highlight w:val="none"/>
                    </w:rPr>
                  </w:pPr>
                  <w:r>
                    <w:rPr>
                      <w:rFonts w:eastAsiaTheme="minorEastAsia"/>
                      <w:color w:val="auto"/>
                      <w:kern w:val="0"/>
                      <w:szCs w:val="21"/>
                      <w:highlight w:val="none"/>
                    </w:rPr>
                    <w:t>原辅料包装</w:t>
                  </w:r>
                </w:p>
              </w:tc>
              <w:tc>
                <w:tcPr>
                  <w:tcW w:w="194" w:type="pct"/>
                  <w:tcBorders>
                    <w:top w:val="single" w:color="auto" w:sz="4" w:space="0"/>
                    <w:bottom w:val="single" w:color="auto" w:sz="4" w:space="0"/>
                  </w:tcBorders>
                  <w:shd w:val="clear" w:color="auto" w:fill="auto"/>
                  <w:vAlign w:val="center"/>
                </w:tcPr>
                <w:p w14:paraId="59CFCEEE">
                  <w:pPr>
                    <w:widowControl/>
                    <w:adjustRightInd w:val="0"/>
                    <w:snapToGrid w:val="0"/>
                    <w:jc w:val="center"/>
                    <w:rPr>
                      <w:color w:val="auto"/>
                      <w:szCs w:val="21"/>
                      <w:highlight w:val="none"/>
                      <w:lang w:val="zh-CN"/>
                    </w:rPr>
                  </w:pPr>
                  <w:r>
                    <w:rPr>
                      <w:rFonts w:eastAsiaTheme="minorEastAsia"/>
                      <w:color w:val="auto"/>
                      <w:kern w:val="0"/>
                      <w:szCs w:val="21"/>
                      <w:highlight w:val="none"/>
                    </w:rPr>
                    <w:t>固</w:t>
                  </w:r>
                </w:p>
              </w:tc>
              <w:tc>
                <w:tcPr>
                  <w:tcW w:w="541" w:type="pct"/>
                  <w:tcBorders>
                    <w:top w:val="single" w:color="auto" w:sz="4" w:space="0"/>
                    <w:bottom w:val="single" w:color="auto" w:sz="4" w:space="0"/>
                  </w:tcBorders>
                  <w:shd w:val="clear" w:color="auto" w:fill="auto"/>
                  <w:vAlign w:val="center"/>
                </w:tcPr>
                <w:p w14:paraId="7E48A250">
                  <w:pPr>
                    <w:widowControl/>
                    <w:adjustRightInd w:val="0"/>
                    <w:snapToGrid w:val="0"/>
                    <w:jc w:val="center"/>
                    <w:rPr>
                      <w:color w:val="auto"/>
                      <w:szCs w:val="21"/>
                      <w:highlight w:val="none"/>
                      <w:lang w:val="zh-CN"/>
                    </w:rPr>
                  </w:pPr>
                  <w:r>
                    <w:rPr>
                      <w:rFonts w:hint="eastAsia" w:eastAsiaTheme="minorEastAsia"/>
                      <w:bCs/>
                      <w:color w:val="auto"/>
                      <w:kern w:val="0"/>
                      <w:sz w:val="21"/>
                      <w:szCs w:val="21"/>
                      <w:highlight w:val="none"/>
                      <w:lang w:eastAsia="zh-CN" w:bidi="en-US"/>
                    </w:rPr>
                    <w:t>胶、乙醇</w:t>
                  </w:r>
                </w:p>
              </w:tc>
              <w:tc>
                <w:tcPr>
                  <w:tcW w:w="681" w:type="pct"/>
                  <w:vMerge w:val="continue"/>
                  <w:shd w:val="clear" w:color="auto" w:fill="auto"/>
                  <w:vAlign w:val="center"/>
                </w:tcPr>
                <w:p w14:paraId="065AFB70">
                  <w:pPr>
                    <w:adjustRightInd w:val="0"/>
                    <w:snapToGrid w:val="0"/>
                    <w:jc w:val="center"/>
                    <w:rPr>
                      <w:color w:val="auto"/>
                      <w:szCs w:val="21"/>
                      <w:highlight w:val="none"/>
                    </w:rPr>
                  </w:pPr>
                </w:p>
              </w:tc>
              <w:tc>
                <w:tcPr>
                  <w:tcW w:w="344" w:type="pct"/>
                  <w:tcBorders>
                    <w:top w:val="single" w:color="auto" w:sz="4" w:space="0"/>
                    <w:bottom w:val="single" w:color="auto" w:sz="4" w:space="0"/>
                  </w:tcBorders>
                  <w:shd w:val="clear" w:color="auto" w:fill="auto"/>
                  <w:vAlign w:val="center"/>
                </w:tcPr>
                <w:p w14:paraId="51C0B8B4">
                  <w:pPr>
                    <w:overflowPunct w:val="0"/>
                    <w:adjustRightInd w:val="0"/>
                    <w:snapToGrid w:val="0"/>
                    <w:jc w:val="center"/>
                    <w:textAlignment w:val="baseline"/>
                    <w:rPr>
                      <w:rFonts w:hint="default" w:eastAsia="宋体"/>
                      <w:color w:val="auto"/>
                      <w:szCs w:val="21"/>
                      <w:highlight w:val="none"/>
                      <w:lang w:val="en-US" w:eastAsia="zh-CN"/>
                    </w:rPr>
                  </w:pPr>
                  <w:r>
                    <w:rPr>
                      <w:color w:val="auto"/>
                      <w:szCs w:val="21"/>
                      <w:highlight w:val="none"/>
                    </w:rPr>
                    <w:t>HW</w:t>
                  </w:r>
                  <w:r>
                    <w:rPr>
                      <w:rFonts w:hint="eastAsia"/>
                      <w:color w:val="auto"/>
                      <w:szCs w:val="21"/>
                      <w:highlight w:val="none"/>
                      <w:lang w:val="en-US" w:eastAsia="zh-CN"/>
                    </w:rPr>
                    <w:t>49</w:t>
                  </w:r>
                </w:p>
              </w:tc>
              <w:tc>
                <w:tcPr>
                  <w:tcW w:w="726" w:type="pct"/>
                  <w:tcBorders>
                    <w:top w:val="single" w:color="auto" w:sz="4" w:space="0"/>
                    <w:bottom w:val="single" w:color="auto" w:sz="4" w:space="0"/>
                  </w:tcBorders>
                  <w:shd w:val="clear" w:color="auto" w:fill="auto"/>
                  <w:vAlign w:val="center"/>
                </w:tcPr>
                <w:p w14:paraId="73A95F50">
                  <w:pPr>
                    <w:overflowPunct w:val="0"/>
                    <w:adjustRightInd w:val="0"/>
                    <w:snapToGrid w:val="0"/>
                    <w:jc w:val="center"/>
                    <w:textAlignment w:val="baseline"/>
                    <w:rPr>
                      <w:rFonts w:hint="default" w:eastAsia="宋体"/>
                      <w:color w:val="auto"/>
                      <w:szCs w:val="21"/>
                      <w:highlight w:val="none"/>
                      <w:lang w:val="en-US" w:eastAsia="zh-CN"/>
                    </w:rPr>
                  </w:pPr>
                  <w:r>
                    <w:rPr>
                      <w:color w:val="auto"/>
                      <w:szCs w:val="21"/>
                      <w:highlight w:val="none"/>
                    </w:rPr>
                    <w:t>900-</w:t>
                  </w:r>
                  <w:r>
                    <w:rPr>
                      <w:rFonts w:hint="eastAsia"/>
                      <w:color w:val="auto"/>
                      <w:szCs w:val="21"/>
                      <w:highlight w:val="none"/>
                      <w:lang w:val="en-US" w:eastAsia="zh-CN"/>
                    </w:rPr>
                    <w:t>041</w:t>
                  </w:r>
                  <w:r>
                    <w:rPr>
                      <w:color w:val="auto"/>
                      <w:szCs w:val="21"/>
                      <w:highlight w:val="none"/>
                    </w:rPr>
                    <w:t>-</w:t>
                  </w:r>
                  <w:r>
                    <w:rPr>
                      <w:rFonts w:hint="eastAsia"/>
                      <w:color w:val="auto"/>
                      <w:szCs w:val="21"/>
                      <w:highlight w:val="none"/>
                      <w:lang w:val="en-US" w:eastAsia="zh-CN"/>
                    </w:rPr>
                    <w:t>49</w:t>
                  </w:r>
                </w:p>
              </w:tc>
              <w:tc>
                <w:tcPr>
                  <w:tcW w:w="247" w:type="pct"/>
                  <w:tcBorders>
                    <w:top w:val="single" w:color="auto" w:sz="4" w:space="0"/>
                    <w:bottom w:val="single" w:color="auto" w:sz="4" w:space="0"/>
                  </w:tcBorders>
                  <w:shd w:val="clear" w:color="auto" w:fill="auto"/>
                  <w:vAlign w:val="center"/>
                </w:tcPr>
                <w:p w14:paraId="1B59CD66">
                  <w:pPr>
                    <w:adjustRightInd w:val="0"/>
                    <w:snapToGrid w:val="0"/>
                    <w:jc w:val="center"/>
                    <w:rPr>
                      <w:color w:val="auto"/>
                      <w:szCs w:val="21"/>
                      <w:highlight w:val="none"/>
                    </w:rPr>
                  </w:pPr>
                  <w:r>
                    <w:rPr>
                      <w:rFonts w:hint="eastAsia"/>
                      <w:color w:val="auto"/>
                      <w:szCs w:val="21"/>
                      <w:highlight w:val="none"/>
                    </w:rPr>
                    <w:t>T/In</w:t>
                  </w:r>
                </w:p>
              </w:tc>
              <w:tc>
                <w:tcPr>
                  <w:tcW w:w="423" w:type="pct"/>
                  <w:tcBorders>
                    <w:top w:val="single" w:color="auto" w:sz="4" w:space="0"/>
                    <w:bottom w:val="single" w:color="auto" w:sz="4" w:space="0"/>
                  </w:tcBorders>
                  <w:shd w:val="clear" w:color="auto" w:fill="auto"/>
                  <w:vAlign w:val="center"/>
                </w:tcPr>
                <w:p w14:paraId="5B56A350">
                  <w:pPr>
                    <w:widowControl/>
                    <w:adjustRightInd w:val="0"/>
                    <w:snapToGrid w:val="0"/>
                    <w:jc w:val="center"/>
                    <w:rPr>
                      <w:rFonts w:hint="default" w:eastAsia="宋体"/>
                      <w:color w:val="auto"/>
                      <w:szCs w:val="21"/>
                      <w:highlight w:val="none"/>
                      <w:lang w:val="en-US" w:eastAsia="zh-CN"/>
                    </w:rPr>
                  </w:pPr>
                  <w:r>
                    <w:rPr>
                      <w:rFonts w:hint="eastAsia" w:eastAsiaTheme="minorEastAsia"/>
                      <w:color w:val="auto"/>
                      <w:kern w:val="0"/>
                      <w:szCs w:val="21"/>
                      <w:highlight w:val="none"/>
                      <w:lang w:val="en-US" w:eastAsia="zh-CN"/>
                    </w:rPr>
                    <w:t>0.02</w:t>
                  </w:r>
                </w:p>
              </w:tc>
              <w:tc>
                <w:tcPr>
                  <w:tcW w:w="346" w:type="pct"/>
                  <w:vMerge w:val="continue"/>
                  <w:tcBorders>
                    <w:tl2br w:val="nil"/>
                    <w:tr2bl w:val="nil"/>
                  </w:tcBorders>
                  <w:shd w:val="clear" w:color="auto" w:fill="auto"/>
                  <w:vAlign w:val="center"/>
                </w:tcPr>
                <w:p w14:paraId="4C3AFBEF">
                  <w:pPr>
                    <w:overflowPunct w:val="0"/>
                    <w:adjustRightInd w:val="0"/>
                    <w:snapToGrid w:val="0"/>
                    <w:jc w:val="center"/>
                    <w:textAlignment w:val="baseline"/>
                    <w:rPr>
                      <w:color w:val="auto"/>
                      <w:szCs w:val="21"/>
                      <w:highlight w:val="none"/>
                      <w:lang w:val="zh-CN"/>
                    </w:rPr>
                  </w:pPr>
                </w:p>
              </w:tc>
            </w:tr>
            <w:tr w14:paraId="1AACB70A">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6" w:type="pct"/>
                  <w:tcBorders>
                    <w:top w:val="single" w:color="auto" w:sz="4" w:space="0"/>
                    <w:bottom w:val="single" w:color="auto" w:sz="4" w:space="0"/>
                  </w:tcBorders>
                  <w:shd w:val="clear" w:color="auto" w:fill="auto"/>
                  <w:vAlign w:val="center"/>
                </w:tcPr>
                <w:p w14:paraId="143F5F2E">
                  <w:pPr>
                    <w:widowControl/>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6</w:t>
                  </w:r>
                </w:p>
              </w:tc>
              <w:tc>
                <w:tcPr>
                  <w:tcW w:w="456" w:type="pct"/>
                  <w:tcBorders>
                    <w:top w:val="single" w:color="auto" w:sz="4" w:space="0"/>
                    <w:bottom w:val="single" w:color="auto" w:sz="4" w:space="0"/>
                  </w:tcBorders>
                  <w:shd w:val="clear" w:color="auto" w:fill="auto"/>
                  <w:vAlign w:val="center"/>
                </w:tcPr>
                <w:p w14:paraId="45ADED95">
                  <w:pPr>
                    <w:overflowPunct w:val="0"/>
                    <w:adjustRightInd w:val="0"/>
                    <w:snapToGrid w:val="0"/>
                    <w:jc w:val="center"/>
                    <w:textAlignment w:val="baseline"/>
                    <w:rPr>
                      <w:rFonts w:hint="eastAsia" w:eastAsia="宋体"/>
                      <w:color w:val="auto"/>
                      <w:sz w:val="21"/>
                      <w:szCs w:val="21"/>
                      <w:highlight w:val="none"/>
                      <w:lang w:eastAsia="zh-CN"/>
                    </w:rPr>
                  </w:pPr>
                  <w:r>
                    <w:rPr>
                      <w:rFonts w:hint="eastAsia"/>
                      <w:color w:val="auto"/>
                      <w:sz w:val="21"/>
                      <w:szCs w:val="21"/>
                      <w:highlight w:val="none"/>
                      <w:lang w:eastAsia="zh-CN"/>
                    </w:rPr>
                    <w:t>废油桶</w:t>
                  </w:r>
                </w:p>
              </w:tc>
              <w:tc>
                <w:tcPr>
                  <w:tcW w:w="456" w:type="pct"/>
                  <w:vMerge w:val="continue"/>
                  <w:shd w:val="clear" w:color="auto" w:fill="auto"/>
                  <w:vAlign w:val="center"/>
                </w:tcPr>
                <w:p w14:paraId="0CE89268">
                  <w:pPr>
                    <w:adjustRightInd w:val="0"/>
                    <w:snapToGrid w:val="0"/>
                    <w:jc w:val="center"/>
                    <w:rPr>
                      <w:color w:val="auto"/>
                      <w:szCs w:val="21"/>
                      <w:highlight w:val="none"/>
                    </w:rPr>
                  </w:pPr>
                </w:p>
              </w:tc>
              <w:tc>
                <w:tcPr>
                  <w:tcW w:w="424" w:type="pct"/>
                  <w:vMerge w:val="continue"/>
                  <w:tcBorders>
                    <w:bottom w:val="single" w:color="auto" w:sz="4" w:space="0"/>
                  </w:tcBorders>
                  <w:shd w:val="clear" w:color="auto" w:fill="auto"/>
                  <w:vAlign w:val="center"/>
                </w:tcPr>
                <w:p w14:paraId="1A44780C">
                  <w:pPr>
                    <w:widowControl/>
                    <w:adjustRightInd w:val="0"/>
                    <w:snapToGrid w:val="0"/>
                    <w:jc w:val="center"/>
                    <w:rPr>
                      <w:rFonts w:eastAsiaTheme="minorEastAsia"/>
                      <w:color w:val="auto"/>
                      <w:kern w:val="0"/>
                      <w:szCs w:val="21"/>
                      <w:highlight w:val="none"/>
                    </w:rPr>
                  </w:pPr>
                </w:p>
              </w:tc>
              <w:tc>
                <w:tcPr>
                  <w:tcW w:w="194" w:type="pct"/>
                  <w:tcBorders>
                    <w:top w:val="single" w:color="auto" w:sz="4" w:space="0"/>
                    <w:bottom w:val="single" w:color="auto" w:sz="4" w:space="0"/>
                  </w:tcBorders>
                  <w:shd w:val="clear" w:color="auto" w:fill="auto"/>
                  <w:vAlign w:val="center"/>
                </w:tcPr>
                <w:p w14:paraId="452770F5">
                  <w:pPr>
                    <w:widowControl/>
                    <w:adjustRightInd w:val="0"/>
                    <w:snapToGrid w:val="0"/>
                    <w:jc w:val="center"/>
                    <w:rPr>
                      <w:rFonts w:hint="eastAsia" w:eastAsiaTheme="minorEastAsia"/>
                      <w:color w:val="auto"/>
                      <w:kern w:val="0"/>
                      <w:szCs w:val="21"/>
                      <w:highlight w:val="none"/>
                      <w:lang w:eastAsia="zh-CN"/>
                    </w:rPr>
                  </w:pPr>
                  <w:r>
                    <w:rPr>
                      <w:rFonts w:hint="eastAsia" w:eastAsiaTheme="minorEastAsia"/>
                      <w:color w:val="auto"/>
                      <w:kern w:val="0"/>
                      <w:szCs w:val="21"/>
                      <w:highlight w:val="none"/>
                      <w:lang w:eastAsia="zh-CN"/>
                    </w:rPr>
                    <w:t>固</w:t>
                  </w:r>
                </w:p>
              </w:tc>
              <w:tc>
                <w:tcPr>
                  <w:tcW w:w="541" w:type="pct"/>
                  <w:tcBorders>
                    <w:top w:val="single" w:color="auto" w:sz="4" w:space="0"/>
                    <w:bottom w:val="single" w:color="auto" w:sz="4" w:space="0"/>
                  </w:tcBorders>
                  <w:shd w:val="clear" w:color="auto" w:fill="auto"/>
                  <w:vAlign w:val="center"/>
                </w:tcPr>
                <w:p w14:paraId="79E61C9A">
                  <w:pPr>
                    <w:widowControl/>
                    <w:adjustRightInd w:val="0"/>
                    <w:snapToGrid w:val="0"/>
                    <w:jc w:val="center"/>
                    <w:rPr>
                      <w:rFonts w:hint="eastAsia" w:eastAsiaTheme="minorEastAsia"/>
                      <w:bCs/>
                      <w:color w:val="auto"/>
                      <w:kern w:val="0"/>
                      <w:sz w:val="21"/>
                      <w:szCs w:val="21"/>
                      <w:highlight w:val="none"/>
                      <w:lang w:eastAsia="zh-CN" w:bidi="en-US"/>
                    </w:rPr>
                  </w:pPr>
                  <w:r>
                    <w:rPr>
                      <w:rFonts w:hint="eastAsia" w:eastAsiaTheme="minorEastAsia"/>
                      <w:bCs/>
                      <w:color w:val="auto"/>
                      <w:kern w:val="0"/>
                      <w:sz w:val="21"/>
                      <w:szCs w:val="21"/>
                      <w:highlight w:val="none"/>
                      <w:lang w:eastAsia="zh-CN" w:bidi="en-US"/>
                    </w:rPr>
                    <w:t>矿物油</w:t>
                  </w:r>
                </w:p>
              </w:tc>
              <w:tc>
                <w:tcPr>
                  <w:tcW w:w="681" w:type="pct"/>
                  <w:vMerge w:val="continue"/>
                  <w:shd w:val="clear" w:color="auto" w:fill="auto"/>
                  <w:vAlign w:val="center"/>
                </w:tcPr>
                <w:p w14:paraId="776FDC48">
                  <w:pPr>
                    <w:adjustRightInd w:val="0"/>
                    <w:snapToGrid w:val="0"/>
                    <w:jc w:val="center"/>
                    <w:rPr>
                      <w:color w:val="auto"/>
                      <w:szCs w:val="21"/>
                      <w:highlight w:val="none"/>
                    </w:rPr>
                  </w:pPr>
                </w:p>
              </w:tc>
              <w:tc>
                <w:tcPr>
                  <w:tcW w:w="344" w:type="pct"/>
                  <w:tcBorders>
                    <w:top w:val="single" w:color="auto" w:sz="4" w:space="0"/>
                    <w:bottom w:val="single" w:color="auto" w:sz="4" w:space="0"/>
                  </w:tcBorders>
                  <w:shd w:val="clear" w:color="auto" w:fill="auto"/>
                  <w:vAlign w:val="center"/>
                </w:tcPr>
                <w:p w14:paraId="3303EAE9">
                  <w:pPr>
                    <w:overflowPunct w:val="0"/>
                    <w:adjustRightInd w:val="0"/>
                    <w:snapToGrid w:val="0"/>
                    <w:jc w:val="center"/>
                    <w:textAlignment w:val="baseline"/>
                    <w:rPr>
                      <w:color w:val="auto"/>
                      <w:szCs w:val="21"/>
                      <w:highlight w:val="none"/>
                    </w:rPr>
                  </w:pPr>
                  <w:r>
                    <w:rPr>
                      <w:color w:val="auto"/>
                      <w:szCs w:val="21"/>
                      <w:highlight w:val="none"/>
                    </w:rPr>
                    <w:t>HW08</w:t>
                  </w:r>
                </w:p>
              </w:tc>
              <w:tc>
                <w:tcPr>
                  <w:tcW w:w="726" w:type="pct"/>
                  <w:tcBorders>
                    <w:top w:val="single" w:color="auto" w:sz="4" w:space="0"/>
                    <w:bottom w:val="single" w:color="auto" w:sz="4" w:space="0"/>
                  </w:tcBorders>
                  <w:shd w:val="clear" w:color="auto" w:fill="auto"/>
                  <w:vAlign w:val="center"/>
                </w:tcPr>
                <w:p w14:paraId="004739B4">
                  <w:pPr>
                    <w:overflowPunct w:val="0"/>
                    <w:adjustRightInd w:val="0"/>
                    <w:snapToGrid w:val="0"/>
                    <w:jc w:val="center"/>
                    <w:textAlignment w:val="baseline"/>
                    <w:rPr>
                      <w:color w:val="auto"/>
                      <w:szCs w:val="21"/>
                      <w:highlight w:val="none"/>
                    </w:rPr>
                  </w:pPr>
                  <w:r>
                    <w:rPr>
                      <w:color w:val="auto"/>
                      <w:szCs w:val="21"/>
                      <w:highlight w:val="none"/>
                    </w:rPr>
                    <w:t>900-</w:t>
                  </w:r>
                  <w:r>
                    <w:rPr>
                      <w:rFonts w:hint="eastAsia"/>
                      <w:color w:val="auto"/>
                      <w:szCs w:val="21"/>
                      <w:highlight w:val="none"/>
                      <w:lang w:val="en-US" w:eastAsia="zh-CN"/>
                    </w:rPr>
                    <w:t>249</w:t>
                  </w:r>
                  <w:r>
                    <w:rPr>
                      <w:color w:val="auto"/>
                      <w:szCs w:val="21"/>
                      <w:highlight w:val="none"/>
                    </w:rPr>
                    <w:t>-08</w:t>
                  </w:r>
                </w:p>
              </w:tc>
              <w:tc>
                <w:tcPr>
                  <w:tcW w:w="247" w:type="pct"/>
                  <w:tcBorders>
                    <w:top w:val="single" w:color="auto" w:sz="4" w:space="0"/>
                    <w:bottom w:val="single" w:color="auto" w:sz="4" w:space="0"/>
                  </w:tcBorders>
                  <w:shd w:val="clear" w:color="auto" w:fill="auto"/>
                  <w:vAlign w:val="center"/>
                </w:tcPr>
                <w:p w14:paraId="267A3865">
                  <w:pPr>
                    <w:adjustRightInd w:val="0"/>
                    <w:snapToGrid w:val="0"/>
                    <w:jc w:val="center"/>
                    <w:rPr>
                      <w:rFonts w:hint="eastAsia"/>
                      <w:color w:val="auto"/>
                      <w:szCs w:val="21"/>
                      <w:highlight w:val="none"/>
                    </w:rPr>
                  </w:pPr>
                  <w:r>
                    <w:rPr>
                      <w:rFonts w:hint="eastAsia"/>
                      <w:color w:val="auto"/>
                      <w:szCs w:val="21"/>
                      <w:highlight w:val="none"/>
                    </w:rPr>
                    <w:t>T</w:t>
                  </w:r>
                  <w:r>
                    <w:rPr>
                      <w:rFonts w:hint="eastAsia"/>
                      <w:color w:val="auto"/>
                      <w:szCs w:val="21"/>
                      <w:highlight w:val="none"/>
                      <w:lang w:eastAsia="zh-CN"/>
                    </w:rPr>
                    <w:t>，</w:t>
                  </w:r>
                  <w:r>
                    <w:rPr>
                      <w:rFonts w:hint="eastAsia"/>
                      <w:color w:val="auto"/>
                      <w:szCs w:val="21"/>
                      <w:highlight w:val="none"/>
                      <w:lang w:val="en-US" w:eastAsia="zh-CN"/>
                    </w:rPr>
                    <w:t>I</w:t>
                  </w:r>
                </w:p>
              </w:tc>
              <w:tc>
                <w:tcPr>
                  <w:tcW w:w="423" w:type="pct"/>
                  <w:tcBorders>
                    <w:top w:val="single" w:color="auto" w:sz="4" w:space="0"/>
                    <w:bottom w:val="single" w:color="auto" w:sz="4" w:space="0"/>
                  </w:tcBorders>
                  <w:shd w:val="clear" w:color="auto" w:fill="auto"/>
                  <w:vAlign w:val="center"/>
                </w:tcPr>
                <w:p w14:paraId="5E740F98">
                  <w:pPr>
                    <w:widowControl/>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0.01</w:t>
                  </w:r>
                </w:p>
              </w:tc>
              <w:tc>
                <w:tcPr>
                  <w:tcW w:w="346" w:type="pct"/>
                  <w:vMerge w:val="continue"/>
                  <w:tcBorders>
                    <w:tl2br w:val="nil"/>
                    <w:tr2bl w:val="nil"/>
                  </w:tcBorders>
                  <w:shd w:val="clear" w:color="auto" w:fill="auto"/>
                  <w:vAlign w:val="center"/>
                </w:tcPr>
                <w:p w14:paraId="32D02BF2">
                  <w:pPr>
                    <w:overflowPunct w:val="0"/>
                    <w:adjustRightInd w:val="0"/>
                    <w:snapToGrid w:val="0"/>
                    <w:jc w:val="center"/>
                    <w:textAlignment w:val="baseline"/>
                    <w:rPr>
                      <w:color w:val="auto"/>
                      <w:szCs w:val="21"/>
                      <w:highlight w:val="none"/>
                      <w:lang w:val="zh-CN"/>
                    </w:rPr>
                  </w:pPr>
                </w:p>
              </w:tc>
            </w:tr>
            <w:tr w14:paraId="008F2B84">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6" w:type="pct"/>
                  <w:tcBorders>
                    <w:top w:val="single" w:color="auto" w:sz="4" w:space="0"/>
                    <w:bottom w:val="single" w:color="auto" w:sz="4" w:space="0"/>
                  </w:tcBorders>
                  <w:shd w:val="clear" w:color="auto" w:fill="auto"/>
                  <w:vAlign w:val="center"/>
                </w:tcPr>
                <w:p w14:paraId="51ADE52F">
                  <w:pPr>
                    <w:widowControl/>
                    <w:adjustRightInd w:val="0"/>
                    <w:snapToGrid w:val="0"/>
                    <w:jc w:val="center"/>
                    <w:rPr>
                      <w:rFonts w:hint="default" w:eastAsiaTheme="minorEastAsia"/>
                      <w:color w:val="0000FF"/>
                      <w:kern w:val="0"/>
                      <w:szCs w:val="21"/>
                      <w:highlight w:val="none"/>
                      <w:lang w:val="en-US" w:eastAsia="zh-CN"/>
                    </w:rPr>
                  </w:pPr>
                  <w:r>
                    <w:rPr>
                      <w:rFonts w:hint="eastAsia" w:eastAsiaTheme="minorEastAsia"/>
                      <w:color w:val="0000FF"/>
                      <w:kern w:val="0"/>
                      <w:szCs w:val="21"/>
                      <w:highlight w:val="none"/>
                      <w:lang w:val="en-US" w:eastAsia="zh-CN"/>
                    </w:rPr>
                    <w:t>7</w:t>
                  </w:r>
                </w:p>
              </w:tc>
              <w:tc>
                <w:tcPr>
                  <w:tcW w:w="456" w:type="pct"/>
                  <w:tcBorders>
                    <w:top w:val="single" w:color="auto" w:sz="4" w:space="0"/>
                    <w:bottom w:val="single" w:color="auto" w:sz="4" w:space="0"/>
                  </w:tcBorders>
                  <w:shd w:val="clear" w:color="auto" w:fill="auto"/>
                  <w:vAlign w:val="center"/>
                </w:tcPr>
                <w:p w14:paraId="5DA124CB">
                  <w:pPr>
                    <w:widowControl/>
                    <w:adjustRightInd w:val="0"/>
                    <w:snapToGrid w:val="0"/>
                    <w:jc w:val="center"/>
                    <w:rPr>
                      <w:rFonts w:hint="default" w:eastAsia="宋体"/>
                      <w:color w:val="0000FF"/>
                      <w:szCs w:val="21"/>
                      <w:highlight w:val="none"/>
                      <w:lang w:val="en-US" w:eastAsia="zh-CN"/>
                    </w:rPr>
                  </w:pPr>
                  <w:r>
                    <w:rPr>
                      <w:rFonts w:hint="default" w:ascii="Times New Roman" w:hAnsi="Times New Roman" w:cs="Times New Roman"/>
                      <w:color w:val="0000FF"/>
                      <w:kern w:val="0"/>
                      <w:szCs w:val="21"/>
                      <w:highlight w:val="none"/>
                    </w:rPr>
                    <w:t>废无尘纸/布</w:t>
                  </w:r>
                </w:p>
              </w:tc>
              <w:tc>
                <w:tcPr>
                  <w:tcW w:w="456" w:type="pct"/>
                  <w:vMerge w:val="continue"/>
                  <w:shd w:val="clear" w:color="auto" w:fill="auto"/>
                  <w:vAlign w:val="center"/>
                </w:tcPr>
                <w:p w14:paraId="70884CA2">
                  <w:pPr>
                    <w:adjustRightInd w:val="0"/>
                    <w:snapToGrid w:val="0"/>
                    <w:jc w:val="center"/>
                    <w:rPr>
                      <w:color w:val="auto"/>
                      <w:szCs w:val="21"/>
                      <w:highlight w:val="none"/>
                    </w:rPr>
                  </w:pPr>
                </w:p>
              </w:tc>
              <w:tc>
                <w:tcPr>
                  <w:tcW w:w="424" w:type="pct"/>
                  <w:tcBorders>
                    <w:top w:val="single" w:color="auto" w:sz="4" w:space="0"/>
                    <w:bottom w:val="single" w:color="auto" w:sz="4" w:space="0"/>
                  </w:tcBorders>
                  <w:shd w:val="clear" w:color="auto" w:fill="auto"/>
                  <w:vAlign w:val="center"/>
                </w:tcPr>
                <w:p w14:paraId="36525253">
                  <w:pPr>
                    <w:widowControl/>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擦拭</w:t>
                  </w:r>
                </w:p>
              </w:tc>
              <w:tc>
                <w:tcPr>
                  <w:tcW w:w="194" w:type="pct"/>
                  <w:tcBorders>
                    <w:top w:val="single" w:color="auto" w:sz="4" w:space="0"/>
                    <w:bottom w:val="single" w:color="auto" w:sz="4" w:space="0"/>
                  </w:tcBorders>
                  <w:shd w:val="clear" w:color="auto" w:fill="auto"/>
                  <w:vAlign w:val="center"/>
                </w:tcPr>
                <w:p w14:paraId="64A4B76A">
                  <w:pPr>
                    <w:widowControl/>
                    <w:adjustRightInd w:val="0"/>
                    <w:snapToGrid w:val="0"/>
                    <w:jc w:val="center"/>
                    <w:rPr>
                      <w:rFonts w:hint="eastAsia"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固</w:t>
                  </w:r>
                </w:p>
              </w:tc>
              <w:tc>
                <w:tcPr>
                  <w:tcW w:w="541" w:type="pct"/>
                  <w:tcBorders>
                    <w:top w:val="single" w:color="auto" w:sz="4" w:space="0"/>
                    <w:bottom w:val="single" w:color="auto" w:sz="4" w:space="0"/>
                  </w:tcBorders>
                  <w:shd w:val="clear" w:color="auto" w:fill="auto"/>
                  <w:vAlign w:val="center"/>
                </w:tcPr>
                <w:p w14:paraId="70671C84">
                  <w:pPr>
                    <w:widowControl/>
                    <w:adjustRightInd w:val="0"/>
                    <w:snapToGrid w:val="0"/>
                    <w:jc w:val="center"/>
                    <w:rPr>
                      <w:rFonts w:hint="eastAsia" w:eastAsiaTheme="minorEastAsia"/>
                      <w:color w:val="auto"/>
                      <w:kern w:val="0"/>
                      <w:szCs w:val="21"/>
                      <w:highlight w:val="none"/>
                      <w:lang w:val="zh-CN" w:eastAsia="zh-CN"/>
                    </w:rPr>
                  </w:pPr>
                  <w:r>
                    <w:rPr>
                      <w:rFonts w:hint="eastAsia" w:cs="Times New Roman" w:eastAsiaTheme="minorEastAsia"/>
                      <w:color w:val="auto"/>
                      <w:szCs w:val="21"/>
                      <w:highlight w:val="none"/>
                      <w:lang w:val="en-US" w:eastAsia="zh-CN"/>
                    </w:rPr>
                    <w:t>乙醇</w:t>
                  </w:r>
                </w:p>
              </w:tc>
              <w:tc>
                <w:tcPr>
                  <w:tcW w:w="681" w:type="pct"/>
                  <w:vMerge w:val="continue"/>
                  <w:shd w:val="clear" w:color="auto" w:fill="auto"/>
                  <w:vAlign w:val="center"/>
                </w:tcPr>
                <w:p w14:paraId="321C6E0F">
                  <w:pPr>
                    <w:adjustRightInd w:val="0"/>
                    <w:snapToGrid w:val="0"/>
                    <w:jc w:val="center"/>
                    <w:rPr>
                      <w:color w:val="auto"/>
                      <w:szCs w:val="21"/>
                      <w:highlight w:val="none"/>
                    </w:rPr>
                  </w:pPr>
                </w:p>
              </w:tc>
              <w:tc>
                <w:tcPr>
                  <w:tcW w:w="344" w:type="pct"/>
                  <w:tcBorders>
                    <w:top w:val="single" w:color="auto" w:sz="4" w:space="0"/>
                    <w:bottom w:val="single" w:color="auto" w:sz="4" w:space="0"/>
                  </w:tcBorders>
                  <w:shd w:val="clear" w:color="auto" w:fill="auto"/>
                  <w:vAlign w:val="center"/>
                </w:tcPr>
                <w:p w14:paraId="683F05EE">
                  <w:pPr>
                    <w:overflowPunct w:val="0"/>
                    <w:adjustRightInd w:val="0"/>
                    <w:snapToGrid w:val="0"/>
                    <w:jc w:val="center"/>
                    <w:textAlignment w:val="baseline"/>
                    <w:rPr>
                      <w:rFonts w:hint="eastAsia"/>
                      <w:color w:val="auto"/>
                      <w:szCs w:val="21"/>
                      <w:highlight w:val="none"/>
                      <w:lang w:eastAsia="zh-CN"/>
                    </w:rPr>
                  </w:pPr>
                  <w:r>
                    <w:rPr>
                      <w:rFonts w:hint="default"/>
                      <w:color w:val="auto"/>
                      <w:szCs w:val="21"/>
                      <w:highlight w:val="none"/>
                    </w:rPr>
                    <w:t>HW4</w:t>
                  </w:r>
                  <w:r>
                    <w:rPr>
                      <w:rFonts w:hint="eastAsia"/>
                      <w:color w:val="auto"/>
                      <w:szCs w:val="21"/>
                      <w:highlight w:val="none"/>
                      <w:lang w:val="en-US" w:eastAsia="zh-CN"/>
                    </w:rPr>
                    <w:t>9</w:t>
                  </w:r>
                </w:p>
              </w:tc>
              <w:tc>
                <w:tcPr>
                  <w:tcW w:w="726" w:type="pct"/>
                  <w:tcBorders>
                    <w:top w:val="single" w:color="auto" w:sz="4" w:space="0"/>
                    <w:bottom w:val="single" w:color="auto" w:sz="4" w:space="0"/>
                  </w:tcBorders>
                  <w:shd w:val="clear" w:color="auto" w:fill="auto"/>
                  <w:vAlign w:val="center"/>
                </w:tcPr>
                <w:p w14:paraId="748AE04A">
                  <w:pPr>
                    <w:overflowPunct w:val="0"/>
                    <w:adjustRightInd w:val="0"/>
                    <w:snapToGrid w:val="0"/>
                    <w:jc w:val="center"/>
                    <w:textAlignment w:val="baseline"/>
                    <w:rPr>
                      <w:rFonts w:hint="eastAsia"/>
                      <w:color w:val="auto"/>
                      <w:szCs w:val="21"/>
                      <w:highlight w:val="none"/>
                      <w:lang w:eastAsia="zh-CN"/>
                    </w:rPr>
                  </w:pPr>
                  <w:r>
                    <w:rPr>
                      <w:rFonts w:hint="default"/>
                      <w:color w:val="auto"/>
                      <w:szCs w:val="21"/>
                      <w:highlight w:val="none"/>
                    </w:rPr>
                    <w:t>900-0</w:t>
                  </w:r>
                  <w:r>
                    <w:rPr>
                      <w:rFonts w:hint="eastAsia"/>
                      <w:color w:val="auto"/>
                      <w:szCs w:val="21"/>
                      <w:highlight w:val="none"/>
                      <w:lang w:val="en-US" w:eastAsia="zh-CN"/>
                    </w:rPr>
                    <w:t>41-</w:t>
                  </w:r>
                  <w:r>
                    <w:rPr>
                      <w:rFonts w:hint="default"/>
                      <w:color w:val="auto"/>
                      <w:szCs w:val="21"/>
                      <w:highlight w:val="none"/>
                    </w:rPr>
                    <w:t>4</w:t>
                  </w:r>
                  <w:r>
                    <w:rPr>
                      <w:rFonts w:hint="eastAsia"/>
                      <w:color w:val="auto"/>
                      <w:szCs w:val="21"/>
                      <w:highlight w:val="none"/>
                      <w:lang w:val="en-US" w:eastAsia="zh-CN"/>
                    </w:rPr>
                    <w:t>9</w:t>
                  </w:r>
                </w:p>
              </w:tc>
              <w:tc>
                <w:tcPr>
                  <w:tcW w:w="247" w:type="pct"/>
                  <w:tcBorders>
                    <w:top w:val="single" w:color="auto" w:sz="4" w:space="0"/>
                    <w:bottom w:val="single" w:color="auto" w:sz="4" w:space="0"/>
                  </w:tcBorders>
                  <w:shd w:val="clear" w:color="auto" w:fill="auto"/>
                  <w:vAlign w:val="center"/>
                </w:tcPr>
                <w:p w14:paraId="2F4C4A60">
                  <w:pPr>
                    <w:adjustRightInd w:val="0"/>
                    <w:snapToGrid w:val="0"/>
                    <w:jc w:val="center"/>
                    <w:rPr>
                      <w:rFonts w:hint="eastAsia" w:eastAsia="宋体"/>
                      <w:color w:val="auto"/>
                      <w:szCs w:val="21"/>
                      <w:highlight w:val="none"/>
                      <w:lang w:val="en-US" w:eastAsia="zh-CN"/>
                    </w:rPr>
                  </w:pPr>
                  <w:r>
                    <w:rPr>
                      <w:rFonts w:hint="eastAsia"/>
                      <w:color w:val="auto"/>
                      <w:szCs w:val="21"/>
                      <w:highlight w:val="none"/>
                    </w:rPr>
                    <w:t>T/In</w:t>
                  </w:r>
                </w:p>
              </w:tc>
              <w:tc>
                <w:tcPr>
                  <w:tcW w:w="423" w:type="pct"/>
                  <w:tcBorders>
                    <w:top w:val="single" w:color="auto" w:sz="4" w:space="0"/>
                    <w:bottom w:val="single" w:color="auto" w:sz="4" w:space="0"/>
                  </w:tcBorders>
                  <w:shd w:val="clear" w:color="auto" w:fill="auto"/>
                  <w:vAlign w:val="center"/>
                </w:tcPr>
                <w:p w14:paraId="09F5BCD3">
                  <w:pPr>
                    <w:widowControl/>
                    <w:adjustRightInd w:val="0"/>
                    <w:snapToGrid w:val="0"/>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0.001</w:t>
                  </w:r>
                </w:p>
              </w:tc>
              <w:tc>
                <w:tcPr>
                  <w:tcW w:w="346" w:type="pct"/>
                  <w:vMerge w:val="continue"/>
                  <w:tcBorders>
                    <w:tl2br w:val="nil"/>
                    <w:tr2bl w:val="nil"/>
                  </w:tcBorders>
                  <w:shd w:val="clear" w:color="auto" w:fill="auto"/>
                  <w:vAlign w:val="center"/>
                </w:tcPr>
                <w:p w14:paraId="3CF0CDA8">
                  <w:pPr>
                    <w:overflowPunct w:val="0"/>
                    <w:adjustRightInd w:val="0"/>
                    <w:snapToGrid w:val="0"/>
                    <w:jc w:val="center"/>
                    <w:textAlignment w:val="baseline"/>
                    <w:rPr>
                      <w:color w:val="auto"/>
                      <w:szCs w:val="21"/>
                      <w:highlight w:val="none"/>
                      <w:lang w:val="zh-CN"/>
                    </w:rPr>
                  </w:pPr>
                </w:p>
              </w:tc>
            </w:tr>
          </w:tbl>
          <w:p w14:paraId="2A0EDC81">
            <w:pPr>
              <w:pStyle w:val="47"/>
              <w:rPr>
                <w:rFonts w:hAnsi="Times New Roman" w:cs="Times New Roman" w:eastAsiaTheme="minorEastAsia"/>
                <w:color w:val="auto"/>
                <w:highlight w:val="none"/>
              </w:rPr>
            </w:pPr>
          </w:p>
        </w:tc>
      </w:tr>
    </w:tbl>
    <w:p w14:paraId="33178FBA">
      <w:pPr>
        <w:adjustRightInd w:val="0"/>
        <w:snapToGrid w:val="0"/>
        <w:jc w:val="center"/>
        <w:rPr>
          <w:rFonts w:eastAsiaTheme="minorEastAsia"/>
          <w:b/>
          <w:bCs/>
          <w:color w:val="auto"/>
          <w:sz w:val="24"/>
          <w:highlight w:val="none"/>
        </w:rPr>
        <w:sectPr>
          <w:pgSz w:w="11907" w:h="16840"/>
          <w:pgMar w:top="1701" w:right="1531" w:bottom="2126" w:left="1531" w:header="851" w:footer="851" w:gutter="0"/>
          <w:pgBorders>
            <w:top w:val="none" w:sz="0" w:space="0"/>
            <w:left w:val="none" w:sz="0" w:space="0"/>
            <w:bottom w:val="none" w:sz="0" w:space="0"/>
            <w:right w:val="none" w:sz="0" w:space="0"/>
          </w:pgBorders>
          <w:cols w:space="720" w:num="1"/>
          <w:docGrid w:linePitch="312" w:charSpace="0"/>
        </w:sectPr>
      </w:pPr>
    </w:p>
    <w:tbl>
      <w:tblPr>
        <w:tblStyle w:val="37"/>
        <w:tblpPr w:leftFromText="180" w:rightFromText="180" w:vertAnchor="text" w:tblpXSpec="center" w:tblpY="1"/>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80"/>
        <w:gridCol w:w="8700"/>
      </w:tblGrid>
      <w:tr w14:paraId="2598E1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trPr>
        <w:tc>
          <w:tcPr>
            <w:tcW w:w="295" w:type="dxa"/>
            <w:tcMar>
              <w:left w:w="28" w:type="dxa"/>
              <w:right w:w="28" w:type="dxa"/>
            </w:tcMar>
            <w:vAlign w:val="center"/>
          </w:tcPr>
          <w:p w14:paraId="276C3E06">
            <w:pPr>
              <w:adjustRightInd w:val="0"/>
              <w:snapToGrid w:val="0"/>
              <w:jc w:val="center"/>
              <w:rPr>
                <w:rFonts w:eastAsiaTheme="minorEastAsia"/>
                <w:b/>
                <w:bCs/>
                <w:color w:val="auto"/>
                <w:sz w:val="24"/>
                <w:highlight w:val="none"/>
              </w:rPr>
            </w:pPr>
            <w:r>
              <w:rPr>
                <w:rFonts w:eastAsiaTheme="minorEastAsia"/>
                <w:b/>
                <w:bCs/>
                <w:color w:val="auto"/>
                <w:sz w:val="24"/>
                <w:highlight w:val="none"/>
              </w:rPr>
              <w:t>运营</w:t>
            </w:r>
          </w:p>
          <w:p w14:paraId="4F608A54">
            <w:pPr>
              <w:adjustRightInd w:val="0"/>
              <w:snapToGrid w:val="0"/>
              <w:jc w:val="center"/>
              <w:rPr>
                <w:rFonts w:eastAsiaTheme="minorEastAsia"/>
                <w:b/>
                <w:bCs/>
                <w:color w:val="auto"/>
                <w:sz w:val="24"/>
                <w:highlight w:val="none"/>
              </w:rPr>
            </w:pPr>
            <w:r>
              <w:rPr>
                <w:rFonts w:eastAsiaTheme="minorEastAsia"/>
                <w:b/>
                <w:bCs/>
                <w:color w:val="auto"/>
                <w:sz w:val="24"/>
                <w:highlight w:val="none"/>
              </w:rPr>
              <w:t>期环</w:t>
            </w:r>
          </w:p>
          <w:p w14:paraId="3E686ECF">
            <w:pPr>
              <w:adjustRightInd w:val="0"/>
              <w:snapToGrid w:val="0"/>
              <w:jc w:val="center"/>
              <w:rPr>
                <w:rFonts w:eastAsiaTheme="minorEastAsia"/>
                <w:b/>
                <w:bCs/>
                <w:color w:val="auto"/>
                <w:sz w:val="24"/>
                <w:highlight w:val="none"/>
              </w:rPr>
            </w:pPr>
            <w:r>
              <w:rPr>
                <w:rFonts w:eastAsiaTheme="minorEastAsia"/>
                <w:b/>
                <w:bCs/>
                <w:color w:val="auto"/>
                <w:sz w:val="24"/>
                <w:highlight w:val="none"/>
              </w:rPr>
              <w:t>境影</w:t>
            </w:r>
          </w:p>
          <w:p w14:paraId="7C3C5391">
            <w:pPr>
              <w:adjustRightInd w:val="0"/>
              <w:snapToGrid w:val="0"/>
              <w:jc w:val="center"/>
              <w:rPr>
                <w:rFonts w:eastAsiaTheme="minorEastAsia"/>
                <w:b/>
                <w:bCs/>
                <w:color w:val="auto"/>
                <w:sz w:val="24"/>
                <w:highlight w:val="none"/>
              </w:rPr>
            </w:pPr>
            <w:r>
              <w:rPr>
                <w:rFonts w:eastAsiaTheme="minorEastAsia"/>
                <w:b/>
                <w:bCs/>
                <w:color w:val="auto"/>
                <w:sz w:val="24"/>
                <w:highlight w:val="none"/>
              </w:rPr>
              <w:t>响和</w:t>
            </w:r>
          </w:p>
          <w:p w14:paraId="4205D0B8">
            <w:pPr>
              <w:adjustRightInd w:val="0"/>
              <w:snapToGrid w:val="0"/>
              <w:jc w:val="center"/>
              <w:rPr>
                <w:rFonts w:eastAsiaTheme="minorEastAsia"/>
                <w:b/>
                <w:bCs/>
                <w:color w:val="auto"/>
                <w:sz w:val="24"/>
                <w:highlight w:val="none"/>
              </w:rPr>
            </w:pPr>
            <w:r>
              <w:rPr>
                <w:rFonts w:eastAsiaTheme="minorEastAsia"/>
                <w:b/>
                <w:bCs/>
                <w:color w:val="auto"/>
                <w:sz w:val="24"/>
                <w:highlight w:val="none"/>
              </w:rPr>
              <w:t>保护</w:t>
            </w:r>
          </w:p>
          <w:p w14:paraId="3448B96E">
            <w:pPr>
              <w:adjustRightInd w:val="0"/>
              <w:snapToGrid w:val="0"/>
              <w:jc w:val="center"/>
              <w:rPr>
                <w:rFonts w:eastAsiaTheme="minorEastAsia"/>
                <w:b/>
                <w:bCs/>
                <w:color w:val="auto"/>
                <w:sz w:val="24"/>
                <w:highlight w:val="none"/>
              </w:rPr>
            </w:pPr>
            <w:r>
              <w:rPr>
                <w:rFonts w:eastAsiaTheme="minorEastAsia"/>
                <w:b/>
                <w:bCs/>
                <w:color w:val="auto"/>
                <w:sz w:val="24"/>
                <w:highlight w:val="none"/>
              </w:rPr>
              <w:t>措施</w:t>
            </w:r>
          </w:p>
        </w:tc>
        <w:tc>
          <w:tcPr>
            <w:tcW w:w="8686" w:type="dxa"/>
            <w:vAlign w:val="center"/>
          </w:tcPr>
          <w:p w14:paraId="3483DBFC">
            <w:pPr>
              <w:adjustRightInd w:val="0"/>
              <w:snapToGrid w:val="0"/>
              <w:spacing w:line="360" w:lineRule="auto"/>
              <w:ind w:firstLine="482" w:firstLineChars="200"/>
              <w:rPr>
                <w:b/>
                <w:color w:val="auto"/>
                <w:kern w:val="0"/>
                <w:sz w:val="24"/>
                <w:szCs w:val="20"/>
                <w:highlight w:val="none"/>
              </w:rPr>
            </w:pPr>
            <w:r>
              <w:rPr>
                <w:b/>
                <w:color w:val="auto"/>
                <w:kern w:val="0"/>
                <w:sz w:val="24"/>
                <w:szCs w:val="20"/>
                <w:highlight w:val="none"/>
              </w:rPr>
              <w:t>2、固体废物污染防治措施及其经济、技术分析</w:t>
            </w:r>
          </w:p>
          <w:p w14:paraId="7C7F47AB">
            <w:pPr>
              <w:adjustRightInd w:val="0"/>
              <w:snapToGrid w:val="0"/>
              <w:spacing w:line="360" w:lineRule="auto"/>
              <w:ind w:firstLine="480" w:firstLineChars="200"/>
              <w:rPr>
                <w:color w:val="auto"/>
                <w:kern w:val="0"/>
                <w:sz w:val="24"/>
                <w:szCs w:val="20"/>
                <w:highlight w:val="none"/>
              </w:rPr>
            </w:pPr>
            <w:r>
              <w:rPr>
                <w:color w:val="auto"/>
                <w:kern w:val="0"/>
                <w:sz w:val="24"/>
                <w:szCs w:val="20"/>
                <w:highlight w:val="none"/>
              </w:rPr>
              <w:t>（1）包装及贮存场所防治措施</w:t>
            </w:r>
          </w:p>
          <w:p w14:paraId="5E8D5B57">
            <w:pPr>
              <w:adjustRightInd w:val="0"/>
              <w:snapToGrid w:val="0"/>
              <w:spacing w:line="360" w:lineRule="auto"/>
              <w:ind w:firstLine="480" w:firstLineChars="200"/>
              <w:rPr>
                <w:color w:val="auto"/>
                <w:kern w:val="0"/>
                <w:sz w:val="24"/>
                <w:szCs w:val="20"/>
                <w:highlight w:val="none"/>
              </w:rPr>
            </w:pPr>
            <w:r>
              <w:rPr>
                <w:color w:val="auto"/>
                <w:kern w:val="0"/>
                <w:sz w:val="24"/>
                <w:szCs w:val="20"/>
                <w:highlight w:val="none"/>
              </w:rPr>
              <w:t>根据《一般工业固体废物贮存和填埋污染控制标准》（GB18599-2020）、《危险废物贮存污染控制标准》（GB18597-20</w:t>
            </w:r>
            <w:r>
              <w:rPr>
                <w:rFonts w:hint="eastAsia"/>
                <w:color w:val="auto"/>
                <w:kern w:val="0"/>
                <w:sz w:val="24"/>
                <w:szCs w:val="20"/>
                <w:highlight w:val="none"/>
                <w:lang w:val="en-US" w:eastAsia="zh-CN"/>
              </w:rPr>
              <w:t>23</w:t>
            </w:r>
            <w:r>
              <w:rPr>
                <w:color w:val="auto"/>
                <w:kern w:val="0"/>
                <w:sz w:val="24"/>
                <w:szCs w:val="20"/>
                <w:highlight w:val="none"/>
              </w:rPr>
              <w:t>）等规定要求，各类固体废物按照相关要求分类收集贮存。包装容器符合相关规定，与固体废物无任何反应，对固废无影响。</w:t>
            </w:r>
          </w:p>
          <w:p w14:paraId="081B325D">
            <w:pPr>
              <w:adjustRightInd w:val="0"/>
              <w:snapToGrid w:val="0"/>
              <w:spacing w:line="360" w:lineRule="auto"/>
              <w:ind w:firstLine="480" w:firstLineChars="200"/>
              <w:rPr>
                <w:color w:val="auto"/>
                <w:kern w:val="0"/>
                <w:sz w:val="24"/>
                <w:szCs w:val="20"/>
                <w:highlight w:val="none"/>
              </w:rPr>
            </w:pPr>
            <w:r>
              <w:rPr>
                <w:color w:val="auto"/>
                <w:kern w:val="0"/>
                <w:sz w:val="24"/>
                <w:szCs w:val="20"/>
                <w:highlight w:val="none"/>
              </w:rPr>
              <w:fldChar w:fldCharType="begin"/>
            </w:r>
            <w:r>
              <w:rPr>
                <w:color w:val="auto"/>
                <w:kern w:val="0"/>
                <w:sz w:val="24"/>
                <w:szCs w:val="20"/>
                <w:highlight w:val="none"/>
              </w:rPr>
              <w:instrText xml:space="preserve"> = 1 \* GB3 </w:instrText>
            </w:r>
            <w:r>
              <w:rPr>
                <w:color w:val="auto"/>
                <w:kern w:val="0"/>
                <w:sz w:val="24"/>
                <w:szCs w:val="20"/>
                <w:highlight w:val="none"/>
              </w:rPr>
              <w:fldChar w:fldCharType="separate"/>
            </w:r>
            <w:r>
              <w:rPr>
                <w:color w:val="auto"/>
                <w:kern w:val="0"/>
                <w:sz w:val="24"/>
                <w:szCs w:val="20"/>
                <w:highlight w:val="none"/>
              </w:rPr>
              <w:t>①</w:t>
            </w:r>
            <w:r>
              <w:rPr>
                <w:color w:val="auto"/>
                <w:kern w:val="0"/>
                <w:sz w:val="24"/>
                <w:szCs w:val="20"/>
                <w:highlight w:val="none"/>
              </w:rPr>
              <w:fldChar w:fldCharType="end"/>
            </w:r>
            <w:r>
              <w:rPr>
                <w:color w:val="auto"/>
                <w:kern w:val="0"/>
                <w:sz w:val="24"/>
                <w:szCs w:val="20"/>
                <w:highlight w:val="none"/>
              </w:rPr>
              <w:t>一般固废暂存具体要求如下：</w:t>
            </w:r>
          </w:p>
          <w:p w14:paraId="3480B416">
            <w:pPr>
              <w:adjustRightInd w:val="0"/>
              <w:snapToGrid w:val="0"/>
              <w:spacing w:line="360" w:lineRule="auto"/>
              <w:ind w:firstLine="480" w:firstLineChars="200"/>
              <w:rPr>
                <w:color w:val="auto"/>
                <w:kern w:val="0"/>
                <w:sz w:val="24"/>
                <w:szCs w:val="20"/>
                <w:highlight w:val="none"/>
              </w:rPr>
            </w:pPr>
            <w:r>
              <w:rPr>
                <w:color w:val="auto"/>
                <w:kern w:val="0"/>
                <w:sz w:val="24"/>
                <w:szCs w:val="20"/>
                <w:highlight w:val="none"/>
              </w:rPr>
              <w:t>a.贮存、处置场的建设类型必须与将要堆放的一般工业固体废物的类别一致。</w:t>
            </w:r>
          </w:p>
          <w:p w14:paraId="69A7D8CF">
            <w:pPr>
              <w:adjustRightInd w:val="0"/>
              <w:snapToGrid w:val="0"/>
              <w:spacing w:line="360" w:lineRule="auto"/>
              <w:ind w:firstLine="480" w:firstLineChars="200"/>
              <w:rPr>
                <w:color w:val="auto"/>
                <w:kern w:val="0"/>
                <w:sz w:val="24"/>
                <w:szCs w:val="20"/>
                <w:highlight w:val="none"/>
              </w:rPr>
            </w:pPr>
            <w:r>
              <w:rPr>
                <w:color w:val="auto"/>
                <w:kern w:val="0"/>
                <w:sz w:val="24"/>
                <w:szCs w:val="20"/>
                <w:highlight w:val="none"/>
              </w:rPr>
              <w:t>b.加强监督管理，采取防火、防扬散、防雨、防流失措施，贮存、处置场应按GB1552.2设置环境保护图形标志。</w:t>
            </w:r>
          </w:p>
          <w:p w14:paraId="04C7F8A7">
            <w:pPr>
              <w:adjustRightInd w:val="0"/>
              <w:snapToGrid w:val="0"/>
              <w:spacing w:line="360" w:lineRule="auto"/>
              <w:ind w:firstLine="480" w:firstLineChars="200"/>
              <w:rPr>
                <w:color w:val="auto"/>
                <w:kern w:val="0"/>
                <w:sz w:val="20"/>
                <w:szCs w:val="20"/>
                <w:highlight w:val="none"/>
              </w:rPr>
            </w:pPr>
            <w:r>
              <w:rPr>
                <w:color w:val="auto"/>
                <w:kern w:val="0"/>
                <w:sz w:val="24"/>
                <w:szCs w:val="20"/>
                <w:highlight w:val="none"/>
              </w:rPr>
              <w:fldChar w:fldCharType="begin"/>
            </w:r>
            <w:r>
              <w:rPr>
                <w:color w:val="auto"/>
                <w:kern w:val="0"/>
                <w:sz w:val="24"/>
                <w:szCs w:val="20"/>
                <w:highlight w:val="none"/>
              </w:rPr>
              <w:instrText xml:space="preserve"> = 2 \* GB3 </w:instrText>
            </w:r>
            <w:r>
              <w:rPr>
                <w:color w:val="auto"/>
                <w:kern w:val="0"/>
                <w:sz w:val="24"/>
                <w:szCs w:val="20"/>
                <w:highlight w:val="none"/>
              </w:rPr>
              <w:fldChar w:fldCharType="separate"/>
            </w:r>
            <w:r>
              <w:rPr>
                <w:color w:val="auto"/>
                <w:kern w:val="0"/>
                <w:sz w:val="24"/>
                <w:szCs w:val="20"/>
                <w:highlight w:val="none"/>
              </w:rPr>
              <w:t>②</w:t>
            </w:r>
            <w:r>
              <w:rPr>
                <w:color w:val="auto"/>
                <w:kern w:val="0"/>
                <w:sz w:val="24"/>
                <w:szCs w:val="20"/>
                <w:highlight w:val="none"/>
              </w:rPr>
              <w:fldChar w:fldCharType="end"/>
            </w:r>
            <w:r>
              <w:rPr>
                <w:color w:val="auto"/>
                <w:kern w:val="0"/>
                <w:sz w:val="24"/>
                <w:szCs w:val="20"/>
                <w:highlight w:val="none"/>
              </w:rPr>
              <w:t>危险废物堆放场所要求如下</w:t>
            </w:r>
            <w:r>
              <w:rPr>
                <w:color w:val="auto"/>
                <w:kern w:val="0"/>
                <w:sz w:val="20"/>
                <w:szCs w:val="20"/>
                <w:highlight w:val="none"/>
              </w:rPr>
              <w:t>：</w:t>
            </w:r>
          </w:p>
          <w:p w14:paraId="20543D8C">
            <w:pPr>
              <w:adjustRightInd w:val="0"/>
              <w:snapToGrid w:val="0"/>
              <w:spacing w:line="36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根据《省生态环境厅关于印发〈江苏省固体废物全过程环境监管工作意见〉</w:t>
            </w:r>
          </w:p>
          <w:p w14:paraId="0D99200D">
            <w:pPr>
              <w:adjustRightInd w:val="0"/>
              <w:snapToGrid w:val="0"/>
              <w:spacing w:line="360" w:lineRule="auto"/>
              <w:ind w:left="0" w:leftChars="0"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的通知》（苏环办〔2024〕16号）、《省生态环境厅关于印发江苏省危险废物贮存规范化管理专项整治行动方案的通知》（苏环办〔2019〕149号）等相关文件的要求对项目危废的收集、贮存、转移处置过程环境影响进行分析：</w:t>
            </w:r>
          </w:p>
          <w:p w14:paraId="03EED8E1">
            <w:pPr>
              <w:adjustRightInd w:val="0"/>
              <w:snapToGrid w:val="0"/>
              <w:spacing w:line="36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（1）危险废物收集过程要求</w:t>
            </w:r>
          </w:p>
          <w:p w14:paraId="7493634F">
            <w:pPr>
              <w:adjustRightInd w:val="0"/>
              <w:snapToGrid w:val="0"/>
              <w:spacing w:line="36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危险废物在收集时，应清楚废物的类别及主要成分，以方便委托处置单位处置，根据危险废物的性质和形态，可采用不同大小和不同材质的容器进行包装，所有包装容器应足够安全，并经过周密检查，严防在装载、搬移或运输途中出现渗漏、溢出、抛洒或挥发等情况。最后按照对危险废物交换和转移管理工作的有关要求，对危险废物进行安全包装，并在包装的明显位置附上危险废物标签。</w:t>
            </w:r>
          </w:p>
          <w:p w14:paraId="6303B5D9">
            <w:pPr>
              <w:adjustRightInd w:val="0"/>
              <w:snapToGrid w:val="0"/>
              <w:spacing w:line="360" w:lineRule="auto"/>
              <w:ind w:firstLine="480" w:firstLineChars="200"/>
              <w:rPr>
                <w:color w:val="auto"/>
                <w:kern w:val="0"/>
                <w:sz w:val="24"/>
                <w:szCs w:val="20"/>
                <w:highlight w:val="none"/>
              </w:rPr>
            </w:pPr>
            <w:r>
              <w:rPr>
                <w:color w:val="auto"/>
                <w:kern w:val="0"/>
                <w:sz w:val="24"/>
                <w:szCs w:val="20"/>
                <w:highlight w:val="none"/>
              </w:rPr>
              <w:t>（2）固体废物自行利用、处置分析</w:t>
            </w:r>
          </w:p>
          <w:p w14:paraId="149EB1FF">
            <w:pPr>
              <w:adjustRightInd w:val="0"/>
              <w:snapToGrid w:val="0"/>
              <w:spacing w:line="360" w:lineRule="auto"/>
              <w:ind w:firstLine="480" w:firstLineChars="200"/>
              <w:rPr>
                <w:color w:val="auto"/>
                <w:kern w:val="0"/>
                <w:sz w:val="24"/>
                <w:szCs w:val="20"/>
                <w:highlight w:val="none"/>
              </w:rPr>
            </w:pPr>
            <w:r>
              <w:rPr>
                <w:color w:val="auto"/>
                <w:kern w:val="0"/>
                <w:sz w:val="24"/>
                <w:szCs w:val="20"/>
                <w:highlight w:val="none"/>
              </w:rPr>
              <w:t>本项目产生的固体废物无自行利用和处置的情况。</w:t>
            </w:r>
          </w:p>
          <w:p w14:paraId="281123D7">
            <w:pPr>
              <w:adjustRightInd w:val="0"/>
              <w:snapToGrid w:val="0"/>
              <w:spacing w:line="360" w:lineRule="auto"/>
              <w:ind w:firstLine="480" w:firstLineChars="200"/>
              <w:rPr>
                <w:color w:val="auto"/>
                <w:kern w:val="0"/>
                <w:sz w:val="24"/>
                <w:szCs w:val="20"/>
                <w:highlight w:val="none"/>
              </w:rPr>
            </w:pPr>
            <w:r>
              <w:rPr>
                <w:color w:val="auto"/>
                <w:kern w:val="0"/>
                <w:sz w:val="24"/>
                <w:szCs w:val="20"/>
                <w:highlight w:val="none"/>
              </w:rPr>
              <w:t>（3）固体废物委托处置分析</w:t>
            </w:r>
          </w:p>
          <w:p w14:paraId="4C7BCF19">
            <w:pPr>
              <w:autoSpaceDE w:val="0"/>
              <w:autoSpaceDN w:val="0"/>
              <w:adjustRightInd w:val="0"/>
              <w:spacing w:line="360" w:lineRule="auto"/>
              <w:ind w:firstLine="480" w:firstLineChars="200"/>
              <w:rPr>
                <w:color w:val="auto"/>
                <w:kern w:val="0"/>
                <w:sz w:val="24"/>
                <w:szCs w:val="20"/>
                <w:highlight w:val="none"/>
              </w:rPr>
            </w:pPr>
            <w:r>
              <w:rPr>
                <w:color w:val="auto"/>
                <w:kern w:val="0"/>
                <w:sz w:val="24"/>
                <w:szCs w:val="20"/>
                <w:highlight w:val="none"/>
              </w:rPr>
              <w:t>本项目危险废物</w:t>
            </w:r>
            <w:r>
              <w:rPr>
                <w:rFonts w:hint="eastAsia"/>
                <w:color w:val="auto"/>
                <w:kern w:val="0"/>
                <w:sz w:val="24"/>
                <w:szCs w:val="20"/>
                <w:highlight w:val="none"/>
                <w:lang w:eastAsia="zh-CN"/>
              </w:rPr>
              <w:t>拟</w:t>
            </w:r>
            <w:r>
              <w:rPr>
                <w:color w:val="auto"/>
                <w:kern w:val="0"/>
                <w:sz w:val="24"/>
                <w:szCs w:val="20"/>
                <w:highlight w:val="none"/>
              </w:rPr>
              <w:t>委托</w:t>
            </w:r>
            <w:r>
              <w:rPr>
                <w:rFonts w:hint="eastAsia"/>
                <w:color w:val="auto"/>
                <w:kern w:val="0"/>
                <w:sz w:val="24"/>
                <w:szCs w:val="20"/>
                <w:highlight w:val="none"/>
                <w:lang w:eastAsia="zh-CN"/>
              </w:rPr>
              <w:t>有资质单位</w:t>
            </w:r>
            <w:r>
              <w:rPr>
                <w:color w:val="auto"/>
                <w:kern w:val="0"/>
                <w:sz w:val="24"/>
                <w:szCs w:val="20"/>
                <w:highlight w:val="none"/>
              </w:rPr>
              <w:t>处置，保证项目产生的危废全部得到安全处置，因此本项目产生的危险废物交由资质单位处理后对环境影响较小。</w:t>
            </w:r>
          </w:p>
          <w:p w14:paraId="0EA73717">
            <w:pPr>
              <w:adjustRightInd w:val="0"/>
              <w:snapToGrid w:val="0"/>
              <w:spacing w:line="360" w:lineRule="auto"/>
              <w:ind w:firstLine="482" w:firstLineChars="200"/>
              <w:rPr>
                <w:b/>
                <w:color w:val="auto"/>
                <w:kern w:val="0"/>
                <w:sz w:val="24"/>
                <w:szCs w:val="20"/>
                <w:highlight w:val="none"/>
              </w:rPr>
            </w:pPr>
            <w:r>
              <w:rPr>
                <w:b/>
                <w:color w:val="auto"/>
                <w:kern w:val="0"/>
                <w:sz w:val="24"/>
                <w:szCs w:val="20"/>
                <w:highlight w:val="none"/>
              </w:rPr>
              <w:t>3、固体废物管理措施</w:t>
            </w:r>
          </w:p>
          <w:p w14:paraId="63E20FBA">
            <w:pPr>
              <w:autoSpaceDE w:val="0"/>
              <w:autoSpaceDN w:val="0"/>
              <w:adjustRightInd w:val="0"/>
              <w:spacing w:line="360" w:lineRule="auto"/>
              <w:ind w:firstLine="480" w:firstLineChars="200"/>
              <w:rPr>
                <w:color w:val="auto"/>
                <w:kern w:val="0"/>
                <w:sz w:val="24"/>
                <w:szCs w:val="20"/>
                <w:highlight w:val="none"/>
              </w:rPr>
            </w:pPr>
            <w:r>
              <w:rPr>
                <w:color w:val="auto"/>
                <w:kern w:val="0"/>
                <w:sz w:val="24"/>
                <w:szCs w:val="20"/>
                <w:highlight w:val="none"/>
              </w:rPr>
              <w:t>项目建设单位根据《中华人民共和国固体废物污染环境防治法》（2020年4月修订）中有关规定，对其固废收集、贮存、运输和处置做好妥善处理。同时场地应严格执行《一般工业固体废物贮存和填埋污染控制标准》（GB 18599-2020）有关规定，设置防雨、防扬散、防流失、防渗透等措施。危险固废暂存场地的设置应按《危险废物贮存污染控制</w:t>
            </w:r>
            <w:r>
              <w:rPr>
                <w:rFonts w:hint="eastAsia"/>
                <w:color w:val="auto"/>
                <w:kern w:val="0"/>
                <w:sz w:val="24"/>
                <w:szCs w:val="20"/>
                <w:highlight w:val="none"/>
                <w:lang w:val="en-US" w:eastAsia="zh-CN"/>
              </w:rPr>
              <w:t>标准</w:t>
            </w:r>
            <w:r>
              <w:rPr>
                <w:color w:val="auto"/>
                <w:kern w:val="0"/>
                <w:sz w:val="24"/>
                <w:szCs w:val="20"/>
                <w:highlight w:val="none"/>
              </w:rPr>
              <w:t>》（GB185</w:t>
            </w:r>
            <w:r>
              <w:rPr>
                <w:rFonts w:hint="eastAsia"/>
                <w:color w:val="auto"/>
                <w:kern w:val="0"/>
                <w:sz w:val="24"/>
                <w:szCs w:val="20"/>
                <w:highlight w:val="none"/>
                <w:lang w:val="en-US" w:eastAsia="zh-CN"/>
              </w:rPr>
              <w:t>97</w:t>
            </w:r>
            <w:r>
              <w:rPr>
                <w:color w:val="auto"/>
                <w:kern w:val="0"/>
                <w:sz w:val="24"/>
                <w:szCs w:val="20"/>
                <w:highlight w:val="none"/>
              </w:rPr>
              <w:t>-20</w:t>
            </w:r>
            <w:r>
              <w:rPr>
                <w:rFonts w:hint="eastAsia"/>
                <w:color w:val="auto"/>
                <w:kern w:val="0"/>
                <w:sz w:val="24"/>
                <w:szCs w:val="20"/>
                <w:highlight w:val="none"/>
                <w:lang w:val="en-US" w:eastAsia="zh-CN"/>
              </w:rPr>
              <w:t>23</w:t>
            </w:r>
            <w:r>
              <w:rPr>
                <w:color w:val="auto"/>
                <w:kern w:val="0"/>
                <w:sz w:val="24"/>
                <w:szCs w:val="20"/>
                <w:highlight w:val="none"/>
              </w:rPr>
              <w:t>）要求设置，应该做到防漏、防渗。危险固废的暂存方案：建设单位拟收集危险固废后，放置在厂内的指定危废仓库，同时</w:t>
            </w:r>
            <w:r>
              <w:rPr>
                <w:rFonts w:hint="eastAsia"/>
                <w:color w:val="auto"/>
                <w:kern w:val="0"/>
                <w:sz w:val="24"/>
                <w:szCs w:val="20"/>
                <w:highlight w:val="none"/>
                <w:lang w:eastAsia="zh-CN"/>
              </w:rPr>
              <w:t>做好</w:t>
            </w:r>
            <w:r>
              <w:rPr>
                <w:color w:val="auto"/>
                <w:kern w:val="0"/>
                <w:sz w:val="24"/>
                <w:szCs w:val="20"/>
                <w:highlight w:val="none"/>
              </w:rPr>
              <w:t>危险废物情况的记录，记录上注明危险废物的名称、来源、数量、特性和包装容器的类别、入库日期、存放库位、废物出库日期及接收单位名称。本项目</w:t>
            </w:r>
            <w:r>
              <w:rPr>
                <w:rFonts w:hint="eastAsia"/>
                <w:color w:val="auto"/>
                <w:kern w:val="0"/>
                <w:sz w:val="24"/>
                <w:szCs w:val="20"/>
                <w:highlight w:val="none"/>
                <w:lang w:val="en-US" w:eastAsia="zh-CN"/>
              </w:rPr>
              <w:t>新建</w:t>
            </w:r>
            <w:r>
              <w:rPr>
                <w:color w:val="auto"/>
                <w:kern w:val="0"/>
                <w:sz w:val="24"/>
                <w:szCs w:val="20"/>
                <w:highlight w:val="none"/>
              </w:rPr>
              <w:t>1个</w:t>
            </w:r>
            <w:r>
              <w:rPr>
                <w:rFonts w:hint="eastAsia"/>
                <w:color w:val="auto"/>
                <w:kern w:val="0"/>
                <w:sz w:val="24"/>
                <w:szCs w:val="20"/>
                <w:highlight w:val="none"/>
                <w:lang w:val="en-US" w:eastAsia="zh-CN"/>
              </w:rPr>
              <w:t>5</w:t>
            </w:r>
            <w:r>
              <w:rPr>
                <w:color w:val="auto"/>
                <w:kern w:val="0"/>
                <w:sz w:val="24"/>
                <w:szCs w:val="20"/>
                <w:highlight w:val="none"/>
              </w:rPr>
              <w:t>m</w:t>
            </w:r>
            <w:r>
              <w:rPr>
                <w:color w:val="auto"/>
                <w:kern w:val="0"/>
                <w:sz w:val="24"/>
                <w:szCs w:val="20"/>
                <w:highlight w:val="none"/>
                <w:vertAlign w:val="superscript"/>
              </w:rPr>
              <w:t>2</w:t>
            </w:r>
            <w:r>
              <w:rPr>
                <w:color w:val="auto"/>
                <w:kern w:val="0"/>
                <w:sz w:val="24"/>
                <w:szCs w:val="20"/>
                <w:highlight w:val="none"/>
              </w:rPr>
              <w:t>一般固体废物暂存区和1个</w:t>
            </w:r>
            <w:r>
              <w:rPr>
                <w:rFonts w:hint="eastAsia"/>
                <w:color w:val="auto"/>
                <w:kern w:val="0"/>
                <w:sz w:val="24"/>
                <w:szCs w:val="20"/>
                <w:highlight w:val="none"/>
                <w:lang w:val="en-US" w:eastAsia="zh-CN"/>
              </w:rPr>
              <w:t>5</w:t>
            </w:r>
            <w:r>
              <w:rPr>
                <w:color w:val="auto"/>
                <w:kern w:val="0"/>
                <w:sz w:val="24"/>
                <w:szCs w:val="20"/>
                <w:highlight w:val="none"/>
              </w:rPr>
              <w:t>m</w:t>
            </w:r>
            <w:r>
              <w:rPr>
                <w:color w:val="auto"/>
                <w:kern w:val="0"/>
                <w:sz w:val="24"/>
                <w:szCs w:val="20"/>
                <w:highlight w:val="none"/>
                <w:vertAlign w:val="superscript"/>
              </w:rPr>
              <w:t>2</w:t>
            </w:r>
            <w:r>
              <w:rPr>
                <w:color w:val="auto"/>
                <w:kern w:val="0"/>
                <w:sz w:val="24"/>
                <w:szCs w:val="20"/>
                <w:highlight w:val="none"/>
              </w:rPr>
              <w:t>危废仓库。</w:t>
            </w:r>
          </w:p>
          <w:p w14:paraId="50E01FC7">
            <w:pPr>
              <w:wordWrap w:val="0"/>
              <w:spacing w:line="360" w:lineRule="auto"/>
              <w:ind w:firstLine="480" w:firstLineChars="200"/>
              <w:jc w:val="left"/>
              <w:rPr>
                <w:color w:val="auto"/>
                <w:kern w:val="0"/>
                <w:sz w:val="24"/>
                <w:szCs w:val="20"/>
                <w:highlight w:val="none"/>
              </w:rPr>
            </w:pPr>
            <w:r>
              <w:rPr>
                <w:color w:val="auto"/>
                <w:kern w:val="0"/>
                <w:sz w:val="24"/>
                <w:szCs w:val="20"/>
                <w:highlight w:val="none"/>
              </w:rPr>
              <w:t>（1）分类收集</w:t>
            </w:r>
          </w:p>
          <w:p w14:paraId="079607E5">
            <w:pPr>
              <w:wordWrap w:val="0"/>
              <w:spacing w:line="360" w:lineRule="auto"/>
              <w:ind w:firstLine="480" w:firstLineChars="200"/>
              <w:jc w:val="left"/>
              <w:rPr>
                <w:color w:val="auto"/>
                <w:kern w:val="0"/>
                <w:sz w:val="24"/>
                <w:szCs w:val="28"/>
                <w:highlight w:val="none"/>
              </w:rPr>
            </w:pPr>
            <w:r>
              <w:rPr>
                <w:color w:val="auto"/>
                <w:kern w:val="0"/>
                <w:sz w:val="24"/>
                <w:szCs w:val="28"/>
                <w:highlight w:val="none"/>
              </w:rPr>
              <w:fldChar w:fldCharType="begin"/>
            </w:r>
            <w:r>
              <w:rPr>
                <w:color w:val="auto"/>
                <w:kern w:val="0"/>
                <w:sz w:val="24"/>
                <w:szCs w:val="28"/>
                <w:highlight w:val="none"/>
              </w:rPr>
              <w:instrText xml:space="preserve"> = 1 \* GB3 </w:instrText>
            </w:r>
            <w:r>
              <w:rPr>
                <w:color w:val="auto"/>
                <w:kern w:val="0"/>
                <w:sz w:val="24"/>
                <w:szCs w:val="28"/>
                <w:highlight w:val="none"/>
              </w:rPr>
              <w:fldChar w:fldCharType="separate"/>
            </w:r>
            <w:r>
              <w:rPr>
                <w:color w:val="auto"/>
                <w:kern w:val="0"/>
                <w:sz w:val="24"/>
                <w:szCs w:val="28"/>
                <w:highlight w:val="none"/>
              </w:rPr>
              <w:t>①</w:t>
            </w:r>
            <w:r>
              <w:rPr>
                <w:color w:val="auto"/>
                <w:kern w:val="0"/>
                <w:sz w:val="24"/>
                <w:szCs w:val="28"/>
                <w:highlight w:val="none"/>
              </w:rPr>
              <w:fldChar w:fldCharType="end"/>
            </w:r>
            <w:r>
              <w:rPr>
                <w:color w:val="auto"/>
                <w:kern w:val="0"/>
                <w:sz w:val="24"/>
                <w:szCs w:val="28"/>
                <w:highlight w:val="none"/>
              </w:rPr>
              <w:t>一般固废收集</w:t>
            </w:r>
          </w:p>
          <w:p w14:paraId="1E2E1A64">
            <w:pPr>
              <w:spacing w:line="360" w:lineRule="auto"/>
              <w:ind w:firstLine="480" w:firstLineChars="200"/>
              <w:rPr>
                <w:color w:val="auto"/>
                <w:kern w:val="0"/>
                <w:sz w:val="24"/>
                <w:szCs w:val="20"/>
                <w:highlight w:val="none"/>
              </w:rPr>
            </w:pPr>
            <w:r>
              <w:rPr>
                <w:color w:val="auto"/>
                <w:kern w:val="0"/>
                <w:sz w:val="24"/>
                <w:szCs w:val="28"/>
                <w:highlight w:val="none"/>
              </w:rPr>
              <w:t>本项目产生的一般固废</w:t>
            </w:r>
            <w:r>
              <w:rPr>
                <w:rFonts w:hint="eastAsia"/>
                <w:color w:val="auto"/>
                <w:kern w:val="0"/>
                <w:sz w:val="24"/>
                <w:szCs w:val="28"/>
                <w:highlight w:val="none"/>
                <w:lang w:val="en-US" w:eastAsia="zh-CN"/>
              </w:rPr>
              <w:t>主要为</w:t>
            </w:r>
            <w:r>
              <w:rPr>
                <w:color w:val="auto"/>
                <w:kern w:val="0"/>
                <w:sz w:val="24"/>
                <w:szCs w:val="20"/>
                <w:highlight w:val="none"/>
              </w:rPr>
              <w:t>废</w:t>
            </w:r>
            <w:r>
              <w:rPr>
                <w:rFonts w:hint="eastAsia"/>
                <w:color w:val="auto"/>
                <w:kern w:val="0"/>
                <w:sz w:val="24"/>
                <w:szCs w:val="20"/>
                <w:highlight w:val="none"/>
                <w:lang w:val="en-US" w:eastAsia="zh-CN"/>
              </w:rPr>
              <w:t>镀膜材料和废包装材料</w:t>
            </w:r>
            <w:r>
              <w:rPr>
                <w:color w:val="auto"/>
                <w:kern w:val="0"/>
                <w:sz w:val="24"/>
                <w:szCs w:val="20"/>
                <w:highlight w:val="none"/>
              </w:rPr>
              <w:t>。收集后暂存一般固废暂存区，定期外售处理。</w:t>
            </w:r>
          </w:p>
          <w:p w14:paraId="1EB5C342">
            <w:pPr>
              <w:wordWrap w:val="0"/>
              <w:spacing w:line="360" w:lineRule="auto"/>
              <w:ind w:firstLine="480" w:firstLineChars="200"/>
              <w:jc w:val="left"/>
              <w:rPr>
                <w:color w:val="auto"/>
                <w:kern w:val="0"/>
                <w:sz w:val="24"/>
                <w:szCs w:val="28"/>
                <w:highlight w:val="none"/>
              </w:rPr>
            </w:pPr>
            <w:r>
              <w:rPr>
                <w:color w:val="auto"/>
                <w:kern w:val="0"/>
                <w:sz w:val="24"/>
                <w:szCs w:val="28"/>
                <w:highlight w:val="none"/>
              </w:rPr>
              <w:fldChar w:fldCharType="begin"/>
            </w:r>
            <w:r>
              <w:rPr>
                <w:color w:val="auto"/>
                <w:kern w:val="0"/>
                <w:sz w:val="24"/>
                <w:szCs w:val="28"/>
                <w:highlight w:val="none"/>
              </w:rPr>
              <w:instrText xml:space="preserve"> = 2 \* GB3 </w:instrText>
            </w:r>
            <w:r>
              <w:rPr>
                <w:color w:val="auto"/>
                <w:kern w:val="0"/>
                <w:sz w:val="24"/>
                <w:szCs w:val="28"/>
                <w:highlight w:val="none"/>
              </w:rPr>
              <w:fldChar w:fldCharType="separate"/>
            </w:r>
            <w:r>
              <w:rPr>
                <w:color w:val="auto"/>
                <w:kern w:val="0"/>
                <w:sz w:val="24"/>
                <w:szCs w:val="28"/>
                <w:highlight w:val="none"/>
              </w:rPr>
              <w:t>②</w:t>
            </w:r>
            <w:r>
              <w:rPr>
                <w:color w:val="auto"/>
                <w:kern w:val="0"/>
                <w:sz w:val="24"/>
                <w:szCs w:val="28"/>
                <w:highlight w:val="none"/>
              </w:rPr>
              <w:fldChar w:fldCharType="end"/>
            </w:r>
            <w:r>
              <w:rPr>
                <w:color w:val="auto"/>
                <w:kern w:val="0"/>
                <w:sz w:val="24"/>
                <w:szCs w:val="28"/>
                <w:highlight w:val="none"/>
              </w:rPr>
              <w:t>危险废物收集</w:t>
            </w:r>
          </w:p>
          <w:p w14:paraId="22A7DDC3">
            <w:pPr>
              <w:spacing w:line="360" w:lineRule="auto"/>
              <w:ind w:firstLine="480" w:firstLineChars="200"/>
              <w:rPr>
                <w:color w:val="auto"/>
                <w:kern w:val="0"/>
                <w:sz w:val="24"/>
                <w:szCs w:val="20"/>
                <w:highlight w:val="none"/>
              </w:rPr>
            </w:pPr>
            <w:r>
              <w:rPr>
                <w:color w:val="auto"/>
                <w:kern w:val="0"/>
                <w:sz w:val="24"/>
                <w:szCs w:val="20"/>
                <w:highlight w:val="none"/>
              </w:rPr>
              <w:t>厂区内危险废物收集过程中应做到以下几个方面：</w:t>
            </w:r>
          </w:p>
          <w:p w14:paraId="42837A83">
            <w:pPr>
              <w:spacing w:line="360" w:lineRule="auto"/>
              <w:ind w:firstLine="480" w:firstLineChars="200"/>
              <w:rPr>
                <w:color w:val="auto"/>
                <w:kern w:val="0"/>
                <w:sz w:val="24"/>
                <w:szCs w:val="20"/>
                <w:highlight w:val="none"/>
              </w:rPr>
            </w:pPr>
            <w:r>
              <w:rPr>
                <w:color w:val="auto"/>
                <w:kern w:val="0"/>
                <w:sz w:val="24"/>
                <w:szCs w:val="20"/>
                <w:highlight w:val="none"/>
              </w:rPr>
              <w:t>a.危险废物在收集时，根据危险废物的性质和形态，采用不同大小和不同材质的容器进行安全包装，并在包装的明显位置附上危险废物标签。通过严格检查，严防在装载、搬迁或运输中出现渗漏、溢出、抛洒或挥发等不利情况。</w:t>
            </w:r>
          </w:p>
          <w:p w14:paraId="03A809AE">
            <w:pPr>
              <w:adjustRightInd w:val="0"/>
              <w:snapToGrid w:val="0"/>
              <w:spacing w:line="360" w:lineRule="auto"/>
              <w:ind w:firstLine="480" w:firstLineChars="200"/>
              <w:rPr>
                <w:b/>
                <w:color w:val="auto"/>
                <w:kern w:val="0"/>
                <w:sz w:val="24"/>
                <w:szCs w:val="20"/>
                <w:highlight w:val="none"/>
              </w:rPr>
            </w:pPr>
            <w:r>
              <w:rPr>
                <w:color w:val="auto"/>
                <w:kern w:val="0"/>
                <w:sz w:val="24"/>
                <w:szCs w:val="20"/>
                <w:highlight w:val="none"/>
              </w:rPr>
              <w:t>b.危险废物收集时应根据危险废物的种类、数量、危险特性、物理形态、运输要求等因素确定包装形式，具体包装应符合如下要求：</w:t>
            </w:r>
          </w:p>
          <w:p w14:paraId="04DBBEE7">
            <w:pPr>
              <w:spacing w:line="360" w:lineRule="auto"/>
              <w:ind w:firstLine="480" w:firstLineChars="200"/>
              <w:rPr>
                <w:color w:val="auto"/>
                <w:kern w:val="0"/>
                <w:sz w:val="24"/>
                <w:szCs w:val="20"/>
                <w:highlight w:val="none"/>
              </w:rPr>
            </w:pPr>
            <w:r>
              <w:rPr>
                <w:color w:val="auto"/>
                <w:kern w:val="0"/>
                <w:sz w:val="24"/>
                <w:szCs w:val="20"/>
                <w:highlight w:val="none"/>
              </w:rPr>
              <w:fldChar w:fldCharType="begin"/>
            </w:r>
            <w:r>
              <w:rPr>
                <w:color w:val="auto"/>
                <w:kern w:val="0"/>
                <w:sz w:val="24"/>
                <w:szCs w:val="20"/>
                <w:highlight w:val="none"/>
              </w:rPr>
              <w:instrText xml:space="preserve"> = 1 \* roman </w:instrText>
            </w:r>
            <w:r>
              <w:rPr>
                <w:color w:val="auto"/>
                <w:kern w:val="0"/>
                <w:sz w:val="24"/>
                <w:szCs w:val="20"/>
                <w:highlight w:val="none"/>
              </w:rPr>
              <w:fldChar w:fldCharType="separate"/>
            </w:r>
            <w:r>
              <w:rPr>
                <w:color w:val="auto"/>
                <w:kern w:val="0"/>
                <w:sz w:val="24"/>
                <w:szCs w:val="20"/>
                <w:highlight w:val="none"/>
              </w:rPr>
              <w:t>i</w:t>
            </w:r>
            <w:r>
              <w:rPr>
                <w:color w:val="auto"/>
                <w:kern w:val="0"/>
                <w:sz w:val="24"/>
                <w:szCs w:val="20"/>
                <w:highlight w:val="none"/>
              </w:rPr>
              <w:fldChar w:fldCharType="end"/>
            </w:r>
            <w:r>
              <w:rPr>
                <w:color w:val="auto"/>
                <w:kern w:val="0"/>
                <w:sz w:val="24"/>
                <w:szCs w:val="20"/>
                <w:highlight w:val="none"/>
              </w:rPr>
              <w:t>.包装材质要与危险废物相容，可根据危险特性选择钢、铝、塑料等材质；</w:t>
            </w:r>
          </w:p>
          <w:p w14:paraId="65E83DD9">
            <w:pPr>
              <w:spacing w:line="360" w:lineRule="auto"/>
              <w:ind w:firstLine="480" w:firstLineChars="200"/>
              <w:rPr>
                <w:color w:val="auto"/>
                <w:kern w:val="0"/>
                <w:sz w:val="24"/>
                <w:szCs w:val="20"/>
                <w:highlight w:val="none"/>
              </w:rPr>
            </w:pPr>
            <w:r>
              <w:rPr>
                <w:color w:val="auto"/>
                <w:kern w:val="0"/>
                <w:sz w:val="24"/>
                <w:szCs w:val="20"/>
                <w:highlight w:val="none"/>
              </w:rPr>
              <w:fldChar w:fldCharType="begin"/>
            </w:r>
            <w:r>
              <w:rPr>
                <w:color w:val="auto"/>
                <w:kern w:val="0"/>
                <w:sz w:val="24"/>
                <w:szCs w:val="20"/>
                <w:highlight w:val="none"/>
              </w:rPr>
              <w:instrText xml:space="preserve"> = 2 \* roman </w:instrText>
            </w:r>
            <w:r>
              <w:rPr>
                <w:color w:val="auto"/>
                <w:kern w:val="0"/>
                <w:sz w:val="24"/>
                <w:szCs w:val="20"/>
                <w:highlight w:val="none"/>
              </w:rPr>
              <w:fldChar w:fldCharType="separate"/>
            </w:r>
            <w:r>
              <w:rPr>
                <w:color w:val="auto"/>
                <w:kern w:val="0"/>
                <w:sz w:val="24"/>
                <w:szCs w:val="20"/>
                <w:highlight w:val="none"/>
              </w:rPr>
              <w:t>ii</w:t>
            </w:r>
            <w:r>
              <w:rPr>
                <w:color w:val="auto"/>
                <w:kern w:val="0"/>
                <w:sz w:val="24"/>
                <w:szCs w:val="20"/>
                <w:highlight w:val="none"/>
              </w:rPr>
              <w:fldChar w:fldCharType="end"/>
            </w:r>
            <w:r>
              <w:rPr>
                <w:color w:val="auto"/>
                <w:kern w:val="0"/>
                <w:sz w:val="24"/>
                <w:szCs w:val="20"/>
                <w:highlight w:val="none"/>
              </w:rPr>
              <w:t>.性质类似的危废可收集到同一容器中，性质不相容的危险废物不应混合收集；</w:t>
            </w:r>
          </w:p>
          <w:p w14:paraId="2E5FF47E">
            <w:pPr>
              <w:spacing w:line="360" w:lineRule="auto"/>
              <w:ind w:firstLine="480" w:firstLineChars="200"/>
              <w:rPr>
                <w:color w:val="auto"/>
                <w:kern w:val="0"/>
                <w:sz w:val="24"/>
                <w:szCs w:val="20"/>
                <w:highlight w:val="none"/>
              </w:rPr>
            </w:pPr>
            <w:r>
              <w:rPr>
                <w:color w:val="auto"/>
                <w:kern w:val="0"/>
                <w:sz w:val="24"/>
                <w:szCs w:val="20"/>
                <w:highlight w:val="none"/>
              </w:rPr>
              <w:fldChar w:fldCharType="begin"/>
            </w:r>
            <w:r>
              <w:rPr>
                <w:color w:val="auto"/>
                <w:kern w:val="0"/>
                <w:sz w:val="24"/>
                <w:szCs w:val="20"/>
                <w:highlight w:val="none"/>
              </w:rPr>
              <w:instrText xml:space="preserve"> = 3 \* roman </w:instrText>
            </w:r>
            <w:r>
              <w:rPr>
                <w:color w:val="auto"/>
                <w:kern w:val="0"/>
                <w:sz w:val="24"/>
                <w:szCs w:val="20"/>
                <w:highlight w:val="none"/>
              </w:rPr>
              <w:fldChar w:fldCharType="separate"/>
            </w:r>
            <w:r>
              <w:rPr>
                <w:color w:val="auto"/>
                <w:kern w:val="0"/>
                <w:sz w:val="24"/>
                <w:szCs w:val="20"/>
                <w:highlight w:val="none"/>
              </w:rPr>
              <w:t>iii</w:t>
            </w:r>
            <w:r>
              <w:rPr>
                <w:color w:val="auto"/>
                <w:kern w:val="0"/>
                <w:sz w:val="24"/>
                <w:szCs w:val="20"/>
                <w:highlight w:val="none"/>
              </w:rPr>
              <w:fldChar w:fldCharType="end"/>
            </w:r>
            <w:r>
              <w:rPr>
                <w:color w:val="auto"/>
                <w:kern w:val="0"/>
                <w:sz w:val="24"/>
                <w:szCs w:val="20"/>
                <w:highlight w:val="none"/>
              </w:rPr>
              <w:t>.危险废物包装应能有效隔断危险废物的迁移扩散途径，并达到防渗、防漏要求；</w:t>
            </w:r>
          </w:p>
          <w:p w14:paraId="727B68CA">
            <w:pPr>
              <w:spacing w:line="360" w:lineRule="auto"/>
              <w:ind w:firstLine="480" w:firstLineChars="200"/>
              <w:rPr>
                <w:color w:val="auto"/>
                <w:kern w:val="0"/>
                <w:sz w:val="24"/>
                <w:szCs w:val="20"/>
                <w:highlight w:val="none"/>
              </w:rPr>
            </w:pPr>
            <w:r>
              <w:rPr>
                <w:color w:val="auto"/>
                <w:kern w:val="0"/>
                <w:sz w:val="24"/>
                <w:szCs w:val="20"/>
                <w:highlight w:val="none"/>
              </w:rPr>
              <w:fldChar w:fldCharType="begin"/>
            </w:r>
            <w:r>
              <w:rPr>
                <w:color w:val="auto"/>
                <w:kern w:val="0"/>
                <w:sz w:val="24"/>
                <w:szCs w:val="20"/>
                <w:highlight w:val="none"/>
              </w:rPr>
              <w:instrText xml:space="preserve"> = 4 \* roman </w:instrText>
            </w:r>
            <w:r>
              <w:rPr>
                <w:color w:val="auto"/>
                <w:kern w:val="0"/>
                <w:sz w:val="24"/>
                <w:szCs w:val="20"/>
                <w:highlight w:val="none"/>
              </w:rPr>
              <w:fldChar w:fldCharType="separate"/>
            </w:r>
            <w:r>
              <w:rPr>
                <w:color w:val="auto"/>
                <w:kern w:val="0"/>
                <w:sz w:val="24"/>
                <w:szCs w:val="20"/>
                <w:highlight w:val="none"/>
              </w:rPr>
              <w:t>iv</w:t>
            </w:r>
            <w:r>
              <w:rPr>
                <w:color w:val="auto"/>
                <w:kern w:val="0"/>
                <w:sz w:val="24"/>
                <w:szCs w:val="20"/>
                <w:highlight w:val="none"/>
              </w:rPr>
              <w:fldChar w:fldCharType="end"/>
            </w:r>
            <w:r>
              <w:rPr>
                <w:color w:val="auto"/>
                <w:kern w:val="0"/>
                <w:sz w:val="24"/>
                <w:szCs w:val="20"/>
                <w:highlight w:val="none"/>
              </w:rPr>
              <w:t>.包装好的危险废物应设置相应的标签，标签信息应填写完整详实；</w:t>
            </w:r>
          </w:p>
          <w:p w14:paraId="33929DF7">
            <w:pPr>
              <w:adjustRightInd w:val="0"/>
              <w:snapToGrid w:val="0"/>
              <w:spacing w:line="360" w:lineRule="auto"/>
              <w:ind w:firstLine="480" w:firstLineChars="200"/>
              <w:rPr>
                <w:color w:val="auto"/>
                <w:kern w:val="0"/>
                <w:sz w:val="24"/>
                <w:szCs w:val="20"/>
                <w:highlight w:val="none"/>
              </w:rPr>
            </w:pPr>
            <w:r>
              <w:rPr>
                <w:color w:val="auto"/>
                <w:kern w:val="0"/>
                <w:sz w:val="24"/>
                <w:szCs w:val="20"/>
                <w:highlight w:val="none"/>
              </w:rPr>
              <w:fldChar w:fldCharType="begin"/>
            </w:r>
            <w:r>
              <w:rPr>
                <w:color w:val="auto"/>
                <w:kern w:val="0"/>
                <w:sz w:val="24"/>
                <w:szCs w:val="20"/>
                <w:highlight w:val="none"/>
              </w:rPr>
              <w:instrText xml:space="preserve"> = 6 \* roman </w:instrText>
            </w:r>
            <w:r>
              <w:rPr>
                <w:color w:val="auto"/>
                <w:kern w:val="0"/>
                <w:sz w:val="24"/>
                <w:szCs w:val="20"/>
                <w:highlight w:val="none"/>
              </w:rPr>
              <w:fldChar w:fldCharType="separate"/>
            </w:r>
            <w:r>
              <w:rPr>
                <w:color w:val="auto"/>
                <w:kern w:val="0"/>
                <w:sz w:val="24"/>
                <w:szCs w:val="20"/>
                <w:highlight w:val="none"/>
              </w:rPr>
              <w:t>vi</w:t>
            </w:r>
            <w:r>
              <w:rPr>
                <w:color w:val="auto"/>
                <w:kern w:val="0"/>
                <w:sz w:val="24"/>
                <w:szCs w:val="20"/>
                <w:highlight w:val="none"/>
              </w:rPr>
              <w:fldChar w:fldCharType="end"/>
            </w:r>
            <w:r>
              <w:rPr>
                <w:color w:val="auto"/>
                <w:kern w:val="0"/>
                <w:sz w:val="24"/>
                <w:szCs w:val="20"/>
                <w:highlight w:val="none"/>
              </w:rPr>
              <w:t>.盛装过危险废物的包装袋或包装容器破损后应按危险废物进行管理和处置。</w:t>
            </w:r>
          </w:p>
          <w:p w14:paraId="58072797">
            <w:pPr>
              <w:spacing w:line="360" w:lineRule="auto"/>
              <w:ind w:firstLine="480" w:firstLineChars="200"/>
              <w:rPr>
                <w:color w:val="auto"/>
                <w:kern w:val="0"/>
                <w:sz w:val="24"/>
                <w:szCs w:val="20"/>
                <w:highlight w:val="none"/>
              </w:rPr>
            </w:pPr>
            <w:r>
              <w:rPr>
                <w:color w:val="auto"/>
                <w:kern w:val="0"/>
                <w:sz w:val="24"/>
                <w:szCs w:val="20"/>
                <w:highlight w:val="none"/>
              </w:rPr>
              <w:fldChar w:fldCharType="begin"/>
            </w:r>
            <w:r>
              <w:rPr>
                <w:color w:val="auto"/>
                <w:kern w:val="0"/>
                <w:sz w:val="24"/>
                <w:szCs w:val="20"/>
                <w:highlight w:val="none"/>
              </w:rPr>
              <w:instrText xml:space="preserve"> = 3 \* GB3 </w:instrText>
            </w:r>
            <w:r>
              <w:rPr>
                <w:color w:val="auto"/>
                <w:kern w:val="0"/>
                <w:sz w:val="24"/>
                <w:szCs w:val="20"/>
                <w:highlight w:val="none"/>
              </w:rPr>
              <w:fldChar w:fldCharType="separate"/>
            </w:r>
            <w:r>
              <w:rPr>
                <w:color w:val="auto"/>
                <w:kern w:val="0"/>
                <w:sz w:val="24"/>
                <w:szCs w:val="20"/>
                <w:highlight w:val="none"/>
              </w:rPr>
              <w:t>③</w:t>
            </w:r>
            <w:r>
              <w:rPr>
                <w:color w:val="auto"/>
                <w:kern w:val="0"/>
                <w:sz w:val="24"/>
                <w:szCs w:val="20"/>
                <w:highlight w:val="none"/>
              </w:rPr>
              <w:fldChar w:fldCharType="end"/>
            </w:r>
            <w:r>
              <w:rPr>
                <w:color w:val="auto"/>
                <w:kern w:val="0"/>
                <w:sz w:val="24"/>
                <w:szCs w:val="20"/>
                <w:highlight w:val="none"/>
              </w:rPr>
              <w:t>危险废物收集和转运作业人员应根据工作需要配备必要的个人防护装备，如手套、防护镜、防护服、防毒面具或口罩等。</w:t>
            </w:r>
          </w:p>
          <w:p w14:paraId="7CFB4F28">
            <w:pPr>
              <w:wordWrap w:val="0"/>
              <w:spacing w:line="360" w:lineRule="auto"/>
              <w:ind w:firstLine="480" w:firstLineChars="200"/>
              <w:jc w:val="left"/>
              <w:rPr>
                <w:color w:val="auto"/>
                <w:kern w:val="0"/>
                <w:sz w:val="24"/>
                <w:szCs w:val="20"/>
                <w:highlight w:val="none"/>
              </w:rPr>
            </w:pPr>
            <w:r>
              <w:rPr>
                <w:color w:val="auto"/>
                <w:kern w:val="0"/>
                <w:sz w:val="24"/>
                <w:szCs w:val="20"/>
                <w:highlight w:val="none"/>
              </w:rPr>
              <w:fldChar w:fldCharType="begin"/>
            </w:r>
            <w:r>
              <w:rPr>
                <w:color w:val="auto"/>
                <w:kern w:val="0"/>
                <w:sz w:val="24"/>
                <w:szCs w:val="20"/>
                <w:highlight w:val="none"/>
              </w:rPr>
              <w:instrText xml:space="preserve"> = 4 \* GB3 </w:instrText>
            </w:r>
            <w:r>
              <w:rPr>
                <w:color w:val="auto"/>
                <w:kern w:val="0"/>
                <w:sz w:val="24"/>
                <w:szCs w:val="20"/>
                <w:highlight w:val="none"/>
              </w:rPr>
              <w:fldChar w:fldCharType="separate"/>
            </w:r>
            <w:r>
              <w:rPr>
                <w:color w:val="auto"/>
                <w:kern w:val="0"/>
                <w:sz w:val="24"/>
                <w:szCs w:val="20"/>
                <w:highlight w:val="none"/>
              </w:rPr>
              <w:t>④</w:t>
            </w:r>
            <w:r>
              <w:rPr>
                <w:color w:val="auto"/>
                <w:kern w:val="0"/>
                <w:sz w:val="24"/>
                <w:szCs w:val="20"/>
                <w:highlight w:val="none"/>
              </w:rPr>
              <w:fldChar w:fldCharType="end"/>
            </w:r>
            <w:r>
              <w:rPr>
                <w:color w:val="auto"/>
                <w:kern w:val="0"/>
                <w:sz w:val="24"/>
                <w:szCs w:val="20"/>
                <w:highlight w:val="none"/>
              </w:rPr>
              <w:t>在危险废物的收集和转运过程中，应采取相应的安全防护和污染防治措施，包括防爆、防火、防中毒、防泄漏、防雨或其他防止污染环境的措施。</w:t>
            </w:r>
          </w:p>
          <w:p w14:paraId="478F8328">
            <w:pPr>
              <w:spacing w:line="360" w:lineRule="auto"/>
              <w:ind w:firstLine="480" w:firstLineChars="200"/>
              <w:jc w:val="left"/>
              <w:rPr>
                <w:b/>
                <w:color w:val="auto"/>
                <w:kern w:val="0"/>
                <w:sz w:val="24"/>
                <w:szCs w:val="20"/>
                <w:highlight w:val="none"/>
              </w:rPr>
            </w:pPr>
            <w:r>
              <w:rPr>
                <w:color w:val="auto"/>
                <w:kern w:val="0"/>
                <w:sz w:val="24"/>
                <w:szCs w:val="20"/>
                <w:highlight w:val="none"/>
              </w:rPr>
              <w:t>（2）一般固废处理可行性分析</w:t>
            </w:r>
          </w:p>
          <w:p w14:paraId="32AC4A31">
            <w:pPr>
              <w:spacing w:line="360" w:lineRule="auto"/>
              <w:ind w:firstLine="480" w:firstLineChars="200"/>
              <w:jc w:val="left"/>
              <w:rPr>
                <w:rFonts w:hint="eastAsia" w:eastAsia="宋体"/>
                <w:bCs/>
                <w:color w:val="auto"/>
                <w:kern w:val="0"/>
                <w:sz w:val="24"/>
                <w:szCs w:val="20"/>
                <w:highlight w:val="none"/>
                <w:lang w:eastAsia="zh-CN"/>
              </w:rPr>
            </w:pPr>
            <w:r>
              <w:rPr>
                <w:bCs/>
                <w:color w:val="auto"/>
                <w:kern w:val="0"/>
                <w:sz w:val="24"/>
                <w:szCs w:val="20"/>
                <w:highlight w:val="none"/>
              </w:rPr>
              <w:t>本项目暂存的一般固废废</w:t>
            </w:r>
            <w:r>
              <w:rPr>
                <w:rFonts w:hint="eastAsia"/>
                <w:bCs/>
                <w:color w:val="auto"/>
                <w:kern w:val="0"/>
                <w:sz w:val="24"/>
                <w:szCs w:val="20"/>
                <w:highlight w:val="none"/>
                <w:lang w:val="en-US" w:eastAsia="zh-CN"/>
              </w:rPr>
              <w:t>镀膜材料</w:t>
            </w:r>
            <w:r>
              <w:rPr>
                <w:rFonts w:hint="eastAsia"/>
                <w:bCs/>
                <w:color w:val="auto"/>
                <w:kern w:val="0"/>
                <w:sz w:val="24"/>
                <w:szCs w:val="20"/>
                <w:highlight w:val="none"/>
                <w:lang w:eastAsia="zh-CN"/>
              </w:rPr>
              <w:t>、</w:t>
            </w:r>
            <w:r>
              <w:rPr>
                <w:rFonts w:hint="eastAsia"/>
                <w:bCs/>
                <w:color w:val="auto"/>
                <w:kern w:val="0"/>
                <w:sz w:val="24"/>
                <w:szCs w:val="20"/>
                <w:highlight w:val="none"/>
                <w:lang w:val="en-US" w:eastAsia="zh-CN"/>
              </w:rPr>
              <w:t>废包装材料</w:t>
            </w:r>
            <w:r>
              <w:rPr>
                <w:bCs/>
                <w:color w:val="auto"/>
                <w:kern w:val="0"/>
                <w:sz w:val="24"/>
                <w:szCs w:val="20"/>
                <w:highlight w:val="none"/>
              </w:rPr>
              <w:t>产生量最大为</w:t>
            </w:r>
            <w:r>
              <w:rPr>
                <w:rFonts w:hint="eastAsia"/>
                <w:bCs/>
                <w:color w:val="auto"/>
                <w:kern w:val="0"/>
                <w:sz w:val="24"/>
                <w:szCs w:val="20"/>
                <w:highlight w:val="none"/>
                <w:lang w:val="en-US" w:eastAsia="zh-CN"/>
              </w:rPr>
              <w:t>0.3</w:t>
            </w:r>
            <w:r>
              <w:rPr>
                <w:bCs/>
                <w:color w:val="auto"/>
                <w:kern w:val="0"/>
                <w:sz w:val="24"/>
                <w:szCs w:val="20"/>
                <w:highlight w:val="none"/>
              </w:rPr>
              <w:t>t/a，统一收集后出售，周转周期为每</w:t>
            </w:r>
            <w:r>
              <w:rPr>
                <w:rFonts w:hint="eastAsia"/>
                <w:bCs/>
                <w:color w:val="auto"/>
                <w:kern w:val="0"/>
                <w:sz w:val="24"/>
                <w:szCs w:val="20"/>
                <w:highlight w:val="none"/>
                <w:lang w:val="en-US" w:eastAsia="zh-CN"/>
              </w:rPr>
              <w:t>月</w:t>
            </w:r>
            <w:r>
              <w:rPr>
                <w:bCs/>
                <w:color w:val="auto"/>
                <w:kern w:val="0"/>
                <w:sz w:val="24"/>
                <w:szCs w:val="20"/>
                <w:highlight w:val="none"/>
              </w:rPr>
              <w:t>一次，</w:t>
            </w:r>
            <w:r>
              <w:rPr>
                <w:rFonts w:hint="eastAsia"/>
                <w:bCs/>
                <w:color w:val="auto"/>
                <w:kern w:val="0"/>
                <w:sz w:val="24"/>
                <w:szCs w:val="20"/>
                <w:highlight w:val="none"/>
                <w:lang w:val="en-US" w:eastAsia="zh-CN"/>
              </w:rPr>
              <w:t>新建5</w:t>
            </w:r>
            <w:r>
              <w:rPr>
                <w:bCs/>
                <w:color w:val="auto"/>
                <w:kern w:val="0"/>
                <w:sz w:val="24"/>
                <w:szCs w:val="20"/>
                <w:highlight w:val="none"/>
              </w:rPr>
              <w:t>m</w:t>
            </w:r>
            <w:r>
              <w:rPr>
                <w:bCs/>
                <w:color w:val="auto"/>
                <w:kern w:val="0"/>
                <w:sz w:val="24"/>
                <w:szCs w:val="20"/>
                <w:highlight w:val="none"/>
                <w:vertAlign w:val="superscript"/>
              </w:rPr>
              <w:t>2</w:t>
            </w:r>
            <w:r>
              <w:rPr>
                <w:bCs/>
                <w:color w:val="auto"/>
                <w:kern w:val="0"/>
                <w:sz w:val="24"/>
                <w:szCs w:val="20"/>
                <w:highlight w:val="none"/>
              </w:rPr>
              <w:t>一般固废暂存区暂存，因此一般固废暂存区可满足全厂一般固废暂存需求</w:t>
            </w:r>
            <w:r>
              <w:rPr>
                <w:rFonts w:hint="eastAsia"/>
                <w:bCs/>
                <w:color w:val="auto"/>
                <w:kern w:val="0"/>
                <w:sz w:val="24"/>
                <w:szCs w:val="20"/>
                <w:highlight w:val="none"/>
                <w:lang w:eastAsia="zh-CN"/>
              </w:rPr>
              <w:t>。</w:t>
            </w:r>
          </w:p>
          <w:p w14:paraId="7A0CF145">
            <w:pPr>
              <w:adjustRightInd w:val="0"/>
              <w:snapToGrid w:val="0"/>
              <w:spacing w:line="360" w:lineRule="auto"/>
              <w:ind w:firstLine="480" w:firstLineChars="200"/>
              <w:rPr>
                <w:color w:val="auto"/>
                <w:kern w:val="0"/>
                <w:sz w:val="32"/>
                <w:szCs w:val="20"/>
                <w:highlight w:val="none"/>
              </w:rPr>
            </w:pPr>
            <w:r>
              <w:rPr>
                <w:bCs/>
                <w:color w:val="auto"/>
                <w:kern w:val="0"/>
                <w:sz w:val="24"/>
                <w:szCs w:val="20"/>
                <w:highlight w:val="none"/>
              </w:rPr>
              <w:t>一般固废暂存具体要求如下：</w:t>
            </w:r>
          </w:p>
          <w:p w14:paraId="37DC6F58">
            <w:pPr>
              <w:spacing w:line="360" w:lineRule="auto"/>
              <w:ind w:firstLine="480" w:firstLineChars="200"/>
              <w:jc w:val="left"/>
              <w:rPr>
                <w:bCs/>
                <w:color w:val="auto"/>
                <w:kern w:val="0"/>
                <w:sz w:val="24"/>
                <w:szCs w:val="20"/>
                <w:highlight w:val="none"/>
              </w:rPr>
            </w:pPr>
            <w:r>
              <w:rPr>
                <w:bCs/>
                <w:color w:val="auto"/>
                <w:kern w:val="0"/>
                <w:sz w:val="24"/>
                <w:szCs w:val="20"/>
                <w:highlight w:val="none"/>
              </w:rPr>
              <w:fldChar w:fldCharType="begin"/>
            </w:r>
            <w:r>
              <w:rPr>
                <w:bCs/>
                <w:color w:val="auto"/>
                <w:kern w:val="0"/>
                <w:sz w:val="24"/>
                <w:szCs w:val="20"/>
                <w:highlight w:val="none"/>
              </w:rPr>
              <w:instrText xml:space="preserve"> = 1 \* GB3 </w:instrText>
            </w:r>
            <w:r>
              <w:rPr>
                <w:bCs/>
                <w:color w:val="auto"/>
                <w:kern w:val="0"/>
                <w:sz w:val="24"/>
                <w:szCs w:val="20"/>
                <w:highlight w:val="none"/>
              </w:rPr>
              <w:fldChar w:fldCharType="separate"/>
            </w:r>
            <w:r>
              <w:rPr>
                <w:bCs/>
                <w:color w:val="auto"/>
                <w:kern w:val="0"/>
                <w:sz w:val="24"/>
                <w:szCs w:val="20"/>
                <w:highlight w:val="none"/>
              </w:rPr>
              <w:t>①</w:t>
            </w:r>
            <w:r>
              <w:rPr>
                <w:bCs/>
                <w:color w:val="auto"/>
                <w:kern w:val="0"/>
                <w:sz w:val="24"/>
                <w:szCs w:val="20"/>
                <w:highlight w:val="none"/>
              </w:rPr>
              <w:fldChar w:fldCharType="end"/>
            </w:r>
            <w:r>
              <w:rPr>
                <w:bCs/>
                <w:color w:val="auto"/>
                <w:kern w:val="0"/>
                <w:sz w:val="24"/>
                <w:szCs w:val="20"/>
                <w:highlight w:val="none"/>
              </w:rPr>
              <w:t>贮存、处置场的建设类型必须与将要堆放的一般工业固体废物的类别一致。</w:t>
            </w:r>
          </w:p>
          <w:p w14:paraId="50D98BAE">
            <w:pPr>
              <w:spacing w:line="360" w:lineRule="auto"/>
              <w:ind w:firstLine="480" w:firstLineChars="200"/>
              <w:jc w:val="left"/>
              <w:rPr>
                <w:bCs/>
                <w:color w:val="auto"/>
                <w:kern w:val="0"/>
                <w:sz w:val="24"/>
                <w:szCs w:val="20"/>
                <w:highlight w:val="none"/>
              </w:rPr>
            </w:pPr>
            <w:r>
              <w:rPr>
                <w:bCs/>
                <w:color w:val="auto"/>
                <w:kern w:val="0"/>
                <w:sz w:val="24"/>
                <w:szCs w:val="20"/>
                <w:highlight w:val="none"/>
              </w:rPr>
              <w:fldChar w:fldCharType="begin"/>
            </w:r>
            <w:r>
              <w:rPr>
                <w:bCs/>
                <w:color w:val="auto"/>
                <w:kern w:val="0"/>
                <w:sz w:val="24"/>
                <w:szCs w:val="20"/>
                <w:highlight w:val="none"/>
              </w:rPr>
              <w:instrText xml:space="preserve"> = 2 \* GB3 </w:instrText>
            </w:r>
            <w:r>
              <w:rPr>
                <w:bCs/>
                <w:color w:val="auto"/>
                <w:kern w:val="0"/>
                <w:sz w:val="24"/>
                <w:szCs w:val="20"/>
                <w:highlight w:val="none"/>
              </w:rPr>
              <w:fldChar w:fldCharType="separate"/>
            </w:r>
            <w:r>
              <w:rPr>
                <w:bCs/>
                <w:color w:val="auto"/>
                <w:kern w:val="0"/>
                <w:sz w:val="24"/>
                <w:szCs w:val="20"/>
                <w:highlight w:val="none"/>
              </w:rPr>
              <w:t>②</w:t>
            </w:r>
            <w:r>
              <w:rPr>
                <w:bCs/>
                <w:color w:val="auto"/>
                <w:kern w:val="0"/>
                <w:sz w:val="24"/>
                <w:szCs w:val="20"/>
                <w:highlight w:val="none"/>
              </w:rPr>
              <w:fldChar w:fldCharType="end"/>
            </w:r>
            <w:r>
              <w:rPr>
                <w:bCs/>
                <w:color w:val="auto"/>
                <w:kern w:val="0"/>
                <w:sz w:val="24"/>
                <w:szCs w:val="20"/>
                <w:highlight w:val="none"/>
              </w:rPr>
              <w:t>加强监督管理，采取防火、防扬散、防雨、防流失措施，贮存、处置场应按GB1552.2设置环境保护图形标志。</w:t>
            </w:r>
          </w:p>
          <w:p w14:paraId="79126100">
            <w:pPr>
              <w:adjustRightInd w:val="0"/>
              <w:snapToGrid w:val="0"/>
              <w:spacing w:line="360" w:lineRule="auto"/>
              <w:ind w:firstLine="480" w:firstLineChars="200"/>
              <w:rPr>
                <w:bCs/>
                <w:color w:val="auto"/>
                <w:kern w:val="0"/>
                <w:sz w:val="24"/>
                <w:szCs w:val="20"/>
                <w:highlight w:val="none"/>
              </w:rPr>
            </w:pPr>
            <w:r>
              <w:rPr>
                <w:bCs/>
                <w:color w:val="auto"/>
                <w:kern w:val="0"/>
                <w:sz w:val="24"/>
                <w:szCs w:val="20"/>
                <w:highlight w:val="none"/>
              </w:rPr>
              <w:t>综上所述，本项目一般固废暂存措施是切实可行的，能够使一般固废得到妥善处理，不会对周边环境产生二次污染。</w:t>
            </w:r>
          </w:p>
          <w:p w14:paraId="30AEAEE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bCs/>
                <w:snapToGrid w:val="0"/>
                <w:color w:val="auto"/>
                <w:sz w:val="24"/>
                <w:szCs w:val="24"/>
                <w:highlight w:val="none"/>
              </w:rPr>
            </w:pPr>
            <w:r>
              <w:rPr>
                <w:b/>
                <w:bCs/>
                <w:snapToGrid w:val="0"/>
                <w:color w:val="auto"/>
                <w:sz w:val="24"/>
                <w:szCs w:val="24"/>
                <w:highlight w:val="none"/>
              </w:rPr>
              <w:t>表4-</w:t>
            </w:r>
            <w:r>
              <w:rPr>
                <w:rFonts w:hint="eastAsia"/>
                <w:b/>
                <w:bCs/>
                <w:snapToGrid w:val="0"/>
                <w:color w:val="auto"/>
                <w:sz w:val="24"/>
                <w:szCs w:val="24"/>
                <w:highlight w:val="none"/>
                <w:lang w:val="en-US" w:eastAsia="zh-CN"/>
              </w:rPr>
              <w:t>19</w:t>
            </w:r>
            <w:r>
              <w:rPr>
                <w:b/>
                <w:bCs/>
                <w:snapToGrid w:val="0"/>
                <w:color w:val="auto"/>
                <w:sz w:val="24"/>
                <w:szCs w:val="24"/>
                <w:highlight w:val="none"/>
              </w:rPr>
              <w:t xml:space="preserve">  固废堆放场的环境保护图形标志一览表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21"/>
              <w:gridCol w:w="977"/>
              <w:gridCol w:w="895"/>
              <w:gridCol w:w="873"/>
              <w:gridCol w:w="873"/>
              <w:gridCol w:w="3745"/>
            </w:tblGrid>
            <w:tr w14:paraId="60DB4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0" w:type="pct"/>
                  <w:tcBorders>
                    <w:bottom w:val="single" w:color="auto" w:sz="12" w:space="0"/>
                  </w:tcBorders>
                  <w:noWrap w:val="0"/>
                  <w:vAlign w:val="center"/>
                </w:tcPr>
                <w:p w14:paraId="770163B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排放口名称</w:t>
                  </w:r>
                </w:p>
              </w:tc>
              <w:tc>
                <w:tcPr>
                  <w:tcW w:w="575" w:type="pct"/>
                  <w:tcBorders>
                    <w:bottom w:val="single" w:color="auto" w:sz="12" w:space="0"/>
                  </w:tcBorders>
                  <w:noWrap w:val="0"/>
                  <w:vAlign w:val="center"/>
                </w:tcPr>
                <w:p w14:paraId="7B852B0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图形</w:t>
                  </w:r>
                </w:p>
                <w:p w14:paraId="2AE07EB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标志</w:t>
                  </w:r>
                </w:p>
              </w:tc>
              <w:tc>
                <w:tcPr>
                  <w:tcW w:w="527" w:type="pct"/>
                  <w:tcBorders>
                    <w:bottom w:val="single" w:color="auto" w:sz="12" w:space="0"/>
                  </w:tcBorders>
                  <w:noWrap w:val="0"/>
                  <w:vAlign w:val="center"/>
                </w:tcPr>
                <w:p w14:paraId="05C8C5C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形状</w:t>
                  </w:r>
                </w:p>
              </w:tc>
              <w:tc>
                <w:tcPr>
                  <w:tcW w:w="514" w:type="pct"/>
                  <w:tcBorders>
                    <w:bottom w:val="single" w:color="auto" w:sz="12" w:space="0"/>
                  </w:tcBorders>
                  <w:noWrap w:val="0"/>
                  <w:vAlign w:val="center"/>
                </w:tcPr>
                <w:p w14:paraId="0DC4A32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背景</w:t>
                  </w:r>
                </w:p>
                <w:p w14:paraId="3DFEB1C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颜色</w:t>
                  </w:r>
                </w:p>
              </w:tc>
              <w:tc>
                <w:tcPr>
                  <w:tcW w:w="514" w:type="pct"/>
                  <w:tcBorders>
                    <w:bottom w:val="single" w:color="auto" w:sz="12" w:space="0"/>
                  </w:tcBorders>
                  <w:noWrap w:val="0"/>
                  <w:vAlign w:val="center"/>
                </w:tcPr>
                <w:p w14:paraId="5B297FB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图形</w:t>
                  </w:r>
                </w:p>
                <w:p w14:paraId="33C428E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颜色</w:t>
                  </w:r>
                </w:p>
              </w:tc>
              <w:tc>
                <w:tcPr>
                  <w:tcW w:w="2205" w:type="pct"/>
                  <w:tcBorders>
                    <w:bottom w:val="single" w:color="auto" w:sz="12" w:space="0"/>
                  </w:tcBorders>
                  <w:noWrap w:val="0"/>
                  <w:vAlign w:val="center"/>
                </w:tcPr>
                <w:p w14:paraId="7077E21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提示图形符号</w:t>
                  </w:r>
                </w:p>
              </w:tc>
            </w:tr>
            <w:tr w14:paraId="1E029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01" w:hRule="atLeast"/>
                <w:jc w:val="center"/>
              </w:trPr>
              <w:tc>
                <w:tcPr>
                  <w:tcW w:w="660" w:type="pct"/>
                  <w:tcBorders>
                    <w:top w:val="single" w:color="auto" w:sz="12" w:space="0"/>
                  </w:tcBorders>
                  <w:noWrap w:val="0"/>
                  <w:vAlign w:val="center"/>
                </w:tcPr>
                <w:p w14:paraId="4E7390C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一般固废</w:t>
                  </w:r>
                </w:p>
                <w:p w14:paraId="676B5A4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暂存场所</w:t>
                  </w:r>
                </w:p>
              </w:tc>
              <w:tc>
                <w:tcPr>
                  <w:tcW w:w="575" w:type="pct"/>
                  <w:tcBorders>
                    <w:top w:val="single" w:color="auto" w:sz="12" w:space="0"/>
                  </w:tcBorders>
                  <w:noWrap w:val="0"/>
                  <w:vAlign w:val="center"/>
                </w:tcPr>
                <w:p w14:paraId="1465DCE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提示标志</w:t>
                  </w:r>
                </w:p>
              </w:tc>
              <w:tc>
                <w:tcPr>
                  <w:tcW w:w="527" w:type="pct"/>
                  <w:tcBorders>
                    <w:top w:val="single" w:color="auto" w:sz="12" w:space="0"/>
                  </w:tcBorders>
                  <w:noWrap w:val="0"/>
                  <w:vAlign w:val="center"/>
                </w:tcPr>
                <w:p w14:paraId="440C0AA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正方形边框</w:t>
                  </w:r>
                </w:p>
              </w:tc>
              <w:tc>
                <w:tcPr>
                  <w:tcW w:w="514" w:type="pct"/>
                  <w:tcBorders>
                    <w:top w:val="single" w:color="auto" w:sz="12" w:space="0"/>
                  </w:tcBorders>
                  <w:noWrap w:val="0"/>
                  <w:vAlign w:val="center"/>
                </w:tcPr>
                <w:p w14:paraId="61C7E03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绿色</w:t>
                  </w:r>
                </w:p>
              </w:tc>
              <w:tc>
                <w:tcPr>
                  <w:tcW w:w="514" w:type="pct"/>
                  <w:tcBorders>
                    <w:top w:val="single" w:color="auto" w:sz="12" w:space="0"/>
                  </w:tcBorders>
                  <w:noWrap w:val="0"/>
                  <w:vAlign w:val="center"/>
                </w:tcPr>
                <w:p w14:paraId="713C721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白色</w:t>
                  </w:r>
                </w:p>
              </w:tc>
              <w:tc>
                <w:tcPr>
                  <w:tcW w:w="2205" w:type="pct"/>
                  <w:tcBorders>
                    <w:top w:val="single" w:color="auto" w:sz="12" w:space="0"/>
                  </w:tcBorders>
                  <w:noWrap w:val="0"/>
                  <w:vAlign w:val="center"/>
                </w:tcPr>
                <w:p w14:paraId="25E4CE3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drawing>
                      <wp:inline distT="0" distB="0" distL="114300" distR="114300">
                        <wp:extent cx="1768475" cy="1069975"/>
                        <wp:effectExtent l="0" t="0" r="3175" b="1587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21"/>
                                <a:stretch>
                                  <a:fillRect/>
                                </a:stretch>
                              </pic:blipFill>
                              <pic:spPr>
                                <a:xfrm>
                                  <a:off x="0" y="0"/>
                                  <a:ext cx="1768475" cy="1069975"/>
                                </a:xfrm>
                                <a:prstGeom prst="rect">
                                  <a:avLst/>
                                </a:prstGeom>
                                <a:noFill/>
                                <a:ln>
                                  <a:noFill/>
                                </a:ln>
                              </pic:spPr>
                            </pic:pic>
                          </a:graphicData>
                        </a:graphic>
                      </wp:inline>
                    </w:drawing>
                  </w:r>
                </w:p>
              </w:tc>
            </w:tr>
          </w:tbl>
          <w:p w14:paraId="2E19C066">
            <w:pPr>
              <w:adjustRightInd w:val="0"/>
              <w:snapToGrid w:val="0"/>
              <w:spacing w:line="360" w:lineRule="auto"/>
              <w:ind w:firstLine="480" w:firstLineChars="200"/>
              <w:rPr>
                <w:color w:val="auto"/>
                <w:kern w:val="0"/>
                <w:sz w:val="24"/>
                <w:szCs w:val="20"/>
                <w:highlight w:val="none"/>
              </w:rPr>
            </w:pPr>
            <w:r>
              <w:rPr>
                <w:color w:val="auto"/>
                <w:kern w:val="0"/>
                <w:sz w:val="24"/>
                <w:szCs w:val="20"/>
                <w:highlight w:val="none"/>
              </w:rPr>
              <w:t>（3）危险废物处置可行性分析</w:t>
            </w:r>
          </w:p>
          <w:p w14:paraId="26E99A28">
            <w:pPr>
              <w:spacing w:line="360" w:lineRule="auto"/>
              <w:ind w:firstLine="480" w:firstLineChars="200"/>
              <w:jc w:val="left"/>
              <w:rPr>
                <w:color w:val="auto"/>
                <w:kern w:val="0"/>
                <w:sz w:val="24"/>
                <w:szCs w:val="20"/>
                <w:highlight w:val="none"/>
              </w:rPr>
            </w:pPr>
            <w:r>
              <w:rPr>
                <w:color w:val="auto"/>
                <w:kern w:val="0"/>
                <w:sz w:val="24"/>
                <w:szCs w:val="20"/>
                <w:highlight w:val="none"/>
              </w:rPr>
              <w:t>本项目危废最大产生量约为</w:t>
            </w:r>
            <w:r>
              <w:rPr>
                <w:rFonts w:hint="eastAsia"/>
                <w:color w:val="auto"/>
                <w:kern w:val="0"/>
                <w:sz w:val="24"/>
                <w:szCs w:val="20"/>
                <w:highlight w:val="none"/>
                <w:lang w:val="en-US" w:eastAsia="zh-CN"/>
              </w:rPr>
              <w:t>0.041</w:t>
            </w:r>
            <w:r>
              <w:rPr>
                <w:color w:val="auto"/>
                <w:kern w:val="0"/>
                <w:sz w:val="24"/>
                <w:szCs w:val="20"/>
                <w:highlight w:val="none"/>
              </w:rPr>
              <w:t>t/a，</w:t>
            </w:r>
            <w:r>
              <w:rPr>
                <w:bCs/>
                <w:color w:val="auto"/>
                <w:kern w:val="0"/>
                <w:sz w:val="24"/>
                <w:szCs w:val="20"/>
                <w:highlight w:val="none"/>
              </w:rPr>
              <w:t>危险废物收集后每</w:t>
            </w:r>
            <w:r>
              <w:rPr>
                <w:rFonts w:hint="eastAsia"/>
                <w:bCs/>
                <w:color w:val="auto"/>
                <w:kern w:val="0"/>
                <w:sz w:val="24"/>
                <w:szCs w:val="20"/>
                <w:highlight w:val="none"/>
                <w:lang w:val="en-US" w:eastAsia="zh-CN"/>
              </w:rPr>
              <w:t>3个</w:t>
            </w:r>
            <w:r>
              <w:rPr>
                <w:bCs/>
                <w:color w:val="auto"/>
                <w:kern w:val="0"/>
                <w:sz w:val="24"/>
                <w:szCs w:val="20"/>
                <w:highlight w:val="none"/>
              </w:rPr>
              <w:t>月委外处理一次，收集后均加盖密封。企业</w:t>
            </w:r>
            <w:r>
              <w:rPr>
                <w:rFonts w:hint="eastAsia"/>
                <w:bCs/>
                <w:color w:val="auto"/>
                <w:kern w:val="0"/>
                <w:sz w:val="24"/>
                <w:szCs w:val="20"/>
                <w:highlight w:val="none"/>
                <w:lang w:val="en-US" w:eastAsia="zh-CN"/>
              </w:rPr>
              <w:t>新建</w:t>
            </w:r>
            <w:r>
              <w:rPr>
                <w:bCs/>
                <w:color w:val="auto"/>
                <w:kern w:val="0"/>
                <w:sz w:val="24"/>
                <w:szCs w:val="20"/>
                <w:highlight w:val="none"/>
              </w:rPr>
              <w:t>危废仓库面积为</w:t>
            </w:r>
            <w:r>
              <w:rPr>
                <w:rFonts w:hint="eastAsia"/>
                <w:bCs/>
                <w:color w:val="auto"/>
                <w:kern w:val="0"/>
                <w:sz w:val="24"/>
                <w:szCs w:val="20"/>
                <w:highlight w:val="none"/>
                <w:lang w:val="en-US" w:eastAsia="zh-CN"/>
              </w:rPr>
              <w:t>5</w:t>
            </w:r>
            <w:r>
              <w:rPr>
                <w:bCs/>
                <w:color w:val="auto"/>
                <w:kern w:val="0"/>
                <w:sz w:val="24"/>
                <w:szCs w:val="20"/>
                <w:highlight w:val="none"/>
              </w:rPr>
              <w:t>m</w:t>
            </w:r>
            <w:r>
              <w:rPr>
                <w:bCs/>
                <w:color w:val="auto"/>
                <w:kern w:val="0"/>
                <w:sz w:val="24"/>
                <w:szCs w:val="20"/>
                <w:highlight w:val="none"/>
                <w:vertAlign w:val="superscript"/>
              </w:rPr>
              <w:t>2</w:t>
            </w:r>
            <w:r>
              <w:rPr>
                <w:bCs/>
                <w:color w:val="auto"/>
                <w:kern w:val="0"/>
                <w:sz w:val="24"/>
                <w:szCs w:val="20"/>
                <w:highlight w:val="none"/>
              </w:rPr>
              <w:t>，贮存能力能够满足</w:t>
            </w:r>
            <w:r>
              <w:rPr>
                <w:rFonts w:hint="eastAsia"/>
                <w:bCs/>
                <w:color w:val="auto"/>
                <w:kern w:val="0"/>
                <w:sz w:val="24"/>
                <w:szCs w:val="20"/>
                <w:highlight w:val="none"/>
                <w:lang w:val="en-US" w:eastAsia="zh-CN"/>
              </w:rPr>
              <w:t>本项目</w:t>
            </w:r>
            <w:r>
              <w:rPr>
                <w:bCs/>
                <w:color w:val="auto"/>
                <w:kern w:val="0"/>
                <w:sz w:val="24"/>
                <w:szCs w:val="20"/>
                <w:highlight w:val="none"/>
              </w:rPr>
              <w:t>危废暂存需求。</w:t>
            </w:r>
            <w:r>
              <w:rPr>
                <w:color w:val="auto"/>
                <w:kern w:val="0"/>
                <w:sz w:val="24"/>
                <w:szCs w:val="20"/>
                <w:highlight w:val="none"/>
              </w:rPr>
              <w:t>本项目危险废物贮存场所（设施）情况见表4-</w:t>
            </w:r>
            <w:r>
              <w:rPr>
                <w:rFonts w:hint="eastAsia"/>
                <w:color w:val="auto"/>
                <w:kern w:val="0"/>
                <w:sz w:val="24"/>
                <w:szCs w:val="20"/>
                <w:highlight w:val="none"/>
                <w:lang w:val="en-US" w:eastAsia="zh-CN"/>
              </w:rPr>
              <w:t>20</w:t>
            </w:r>
            <w:r>
              <w:rPr>
                <w:color w:val="auto"/>
                <w:kern w:val="0"/>
                <w:sz w:val="24"/>
                <w:szCs w:val="20"/>
                <w:highlight w:val="none"/>
              </w:rPr>
              <w:t>。</w:t>
            </w:r>
          </w:p>
          <w:p w14:paraId="46E0E505">
            <w:pPr>
              <w:ind w:firstLine="482" w:firstLineChars="200"/>
              <w:jc w:val="center"/>
              <w:rPr>
                <w:b/>
                <w:color w:val="auto"/>
                <w:kern w:val="0"/>
                <w:sz w:val="24"/>
                <w:szCs w:val="20"/>
                <w:highlight w:val="none"/>
              </w:rPr>
            </w:pPr>
            <w:r>
              <w:rPr>
                <w:b/>
                <w:color w:val="auto"/>
                <w:kern w:val="0"/>
                <w:sz w:val="24"/>
                <w:szCs w:val="20"/>
                <w:highlight w:val="none"/>
              </w:rPr>
              <w:t>表4-</w:t>
            </w:r>
            <w:r>
              <w:rPr>
                <w:rFonts w:hint="eastAsia"/>
                <w:b/>
                <w:color w:val="auto"/>
                <w:kern w:val="0"/>
                <w:sz w:val="24"/>
                <w:szCs w:val="20"/>
                <w:highlight w:val="none"/>
                <w:lang w:val="en-US" w:eastAsia="zh-CN"/>
              </w:rPr>
              <w:t>20</w:t>
            </w:r>
            <w:r>
              <w:rPr>
                <w:b/>
                <w:color w:val="auto"/>
                <w:kern w:val="0"/>
                <w:sz w:val="24"/>
                <w:szCs w:val="20"/>
                <w:highlight w:val="none"/>
              </w:rPr>
              <w:t>建设项目危险废物贮存场所（设施）基本情况</w:t>
            </w:r>
          </w:p>
          <w:tbl>
            <w:tblPr>
              <w:tblStyle w:val="37"/>
              <w:tblW w:w="4907" w:type="pct"/>
              <w:jc w:val="center"/>
              <w:tblBorders>
                <w:top w:val="single" w:color="auto" w:sz="12"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3" w:type="dxa"/>
                <w:bottom w:w="0" w:type="dxa"/>
                <w:right w:w="3" w:type="dxa"/>
              </w:tblCellMar>
            </w:tblPr>
            <w:tblGrid>
              <w:gridCol w:w="471"/>
              <w:gridCol w:w="1089"/>
              <w:gridCol w:w="1029"/>
              <w:gridCol w:w="880"/>
              <w:gridCol w:w="1074"/>
              <w:gridCol w:w="673"/>
              <w:gridCol w:w="673"/>
              <w:gridCol w:w="603"/>
              <w:gridCol w:w="603"/>
              <w:gridCol w:w="617"/>
              <w:gridCol w:w="609"/>
            </w:tblGrid>
            <w:tr w14:paraId="43EEECFB">
              <w:tblPrEx>
                <w:tblBorders>
                  <w:top w:val="single" w:color="auto" w:sz="12" w:space="0"/>
                  <w:left w:val="none" w:color="auto" w:sz="0"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283" w:type="pct"/>
                  <w:tcBorders>
                    <w:bottom w:val="single" w:color="auto" w:sz="12" w:space="0"/>
                  </w:tcBorders>
                  <w:vAlign w:val="center"/>
                </w:tcPr>
                <w:p w14:paraId="2BEB5DCB">
                  <w:pPr>
                    <w:topLinePunct/>
                    <w:adjustRightInd w:val="0"/>
                    <w:snapToGrid w:val="0"/>
                    <w:jc w:val="center"/>
                    <w:rPr>
                      <w:b/>
                      <w:color w:val="auto"/>
                      <w:kern w:val="0"/>
                      <w:szCs w:val="21"/>
                      <w:highlight w:val="none"/>
                    </w:rPr>
                  </w:pPr>
                  <w:r>
                    <w:rPr>
                      <w:b/>
                      <w:color w:val="auto"/>
                      <w:kern w:val="0"/>
                      <w:szCs w:val="21"/>
                      <w:highlight w:val="none"/>
                    </w:rPr>
                    <w:t>序号</w:t>
                  </w:r>
                </w:p>
              </w:tc>
              <w:tc>
                <w:tcPr>
                  <w:tcW w:w="654" w:type="pct"/>
                  <w:tcBorders>
                    <w:bottom w:val="single" w:color="auto" w:sz="12" w:space="0"/>
                  </w:tcBorders>
                  <w:vAlign w:val="center"/>
                </w:tcPr>
                <w:p w14:paraId="06859E2A">
                  <w:pPr>
                    <w:topLinePunct/>
                    <w:adjustRightInd w:val="0"/>
                    <w:snapToGrid w:val="0"/>
                    <w:jc w:val="center"/>
                    <w:rPr>
                      <w:b/>
                      <w:color w:val="auto"/>
                      <w:kern w:val="0"/>
                      <w:szCs w:val="21"/>
                      <w:highlight w:val="none"/>
                    </w:rPr>
                  </w:pPr>
                  <w:r>
                    <w:rPr>
                      <w:b/>
                      <w:color w:val="auto"/>
                      <w:kern w:val="0"/>
                      <w:szCs w:val="21"/>
                      <w:highlight w:val="none"/>
                    </w:rPr>
                    <w:t>贮存场所（设施）名称</w:t>
                  </w:r>
                </w:p>
              </w:tc>
              <w:tc>
                <w:tcPr>
                  <w:tcW w:w="618" w:type="pct"/>
                  <w:tcBorders>
                    <w:bottom w:val="single" w:color="auto" w:sz="12" w:space="0"/>
                  </w:tcBorders>
                  <w:vAlign w:val="center"/>
                </w:tcPr>
                <w:p w14:paraId="36692549">
                  <w:pPr>
                    <w:topLinePunct/>
                    <w:adjustRightInd w:val="0"/>
                    <w:snapToGrid w:val="0"/>
                    <w:jc w:val="center"/>
                    <w:rPr>
                      <w:b/>
                      <w:color w:val="auto"/>
                      <w:kern w:val="0"/>
                      <w:szCs w:val="21"/>
                      <w:highlight w:val="none"/>
                    </w:rPr>
                  </w:pPr>
                  <w:r>
                    <w:rPr>
                      <w:b/>
                      <w:color w:val="auto"/>
                      <w:kern w:val="0"/>
                      <w:szCs w:val="21"/>
                      <w:highlight w:val="none"/>
                    </w:rPr>
                    <w:t>危险废物名称</w:t>
                  </w:r>
                </w:p>
              </w:tc>
              <w:tc>
                <w:tcPr>
                  <w:tcW w:w="528" w:type="pct"/>
                  <w:tcBorders>
                    <w:bottom w:val="single" w:color="auto" w:sz="12" w:space="0"/>
                  </w:tcBorders>
                  <w:vAlign w:val="center"/>
                </w:tcPr>
                <w:p w14:paraId="31C6AFC8">
                  <w:pPr>
                    <w:topLinePunct/>
                    <w:adjustRightInd w:val="0"/>
                    <w:snapToGrid w:val="0"/>
                    <w:jc w:val="center"/>
                    <w:rPr>
                      <w:b/>
                      <w:color w:val="auto"/>
                      <w:kern w:val="0"/>
                      <w:szCs w:val="21"/>
                      <w:highlight w:val="none"/>
                    </w:rPr>
                  </w:pPr>
                  <w:r>
                    <w:rPr>
                      <w:b/>
                      <w:color w:val="auto"/>
                      <w:kern w:val="0"/>
                      <w:szCs w:val="21"/>
                      <w:highlight w:val="none"/>
                    </w:rPr>
                    <w:t>危险废物类别</w:t>
                  </w:r>
                </w:p>
              </w:tc>
              <w:tc>
                <w:tcPr>
                  <w:tcW w:w="645" w:type="pct"/>
                  <w:tcBorders>
                    <w:bottom w:val="single" w:color="auto" w:sz="12" w:space="0"/>
                  </w:tcBorders>
                  <w:vAlign w:val="center"/>
                </w:tcPr>
                <w:p w14:paraId="6837F779">
                  <w:pPr>
                    <w:topLinePunct/>
                    <w:adjustRightInd w:val="0"/>
                    <w:snapToGrid w:val="0"/>
                    <w:jc w:val="center"/>
                    <w:rPr>
                      <w:b/>
                      <w:color w:val="auto"/>
                      <w:kern w:val="0"/>
                      <w:szCs w:val="21"/>
                      <w:highlight w:val="none"/>
                    </w:rPr>
                  </w:pPr>
                  <w:r>
                    <w:rPr>
                      <w:b/>
                      <w:color w:val="auto"/>
                      <w:kern w:val="0"/>
                      <w:szCs w:val="21"/>
                      <w:highlight w:val="none"/>
                    </w:rPr>
                    <w:t>危险废物</w:t>
                  </w:r>
                </w:p>
                <w:p w14:paraId="736918AD">
                  <w:pPr>
                    <w:topLinePunct/>
                    <w:adjustRightInd w:val="0"/>
                    <w:snapToGrid w:val="0"/>
                    <w:jc w:val="center"/>
                    <w:rPr>
                      <w:b/>
                      <w:color w:val="auto"/>
                      <w:kern w:val="0"/>
                      <w:szCs w:val="21"/>
                      <w:highlight w:val="none"/>
                    </w:rPr>
                  </w:pPr>
                  <w:r>
                    <w:rPr>
                      <w:b/>
                      <w:color w:val="auto"/>
                      <w:kern w:val="0"/>
                      <w:szCs w:val="21"/>
                      <w:highlight w:val="none"/>
                    </w:rPr>
                    <w:t>代码</w:t>
                  </w:r>
                </w:p>
              </w:tc>
              <w:tc>
                <w:tcPr>
                  <w:tcW w:w="404" w:type="pct"/>
                  <w:tcBorders>
                    <w:bottom w:val="single" w:color="auto" w:sz="12" w:space="0"/>
                  </w:tcBorders>
                  <w:vAlign w:val="center"/>
                </w:tcPr>
                <w:p w14:paraId="6075CD2A">
                  <w:pPr>
                    <w:topLinePunct/>
                    <w:adjustRightInd w:val="0"/>
                    <w:snapToGrid w:val="0"/>
                    <w:jc w:val="center"/>
                    <w:rPr>
                      <w:b/>
                      <w:color w:val="auto"/>
                      <w:kern w:val="0"/>
                      <w:szCs w:val="21"/>
                      <w:highlight w:val="none"/>
                    </w:rPr>
                  </w:pPr>
                  <w:r>
                    <w:rPr>
                      <w:b/>
                      <w:color w:val="auto"/>
                      <w:kern w:val="0"/>
                      <w:szCs w:val="21"/>
                      <w:highlight w:val="none"/>
                    </w:rPr>
                    <w:t>位置</w:t>
                  </w:r>
                </w:p>
              </w:tc>
              <w:tc>
                <w:tcPr>
                  <w:tcW w:w="404" w:type="pct"/>
                  <w:tcBorders>
                    <w:bottom w:val="single" w:color="auto" w:sz="12" w:space="0"/>
                  </w:tcBorders>
                  <w:vAlign w:val="center"/>
                </w:tcPr>
                <w:p w14:paraId="044E3E65">
                  <w:pPr>
                    <w:topLinePunct/>
                    <w:adjustRightInd w:val="0"/>
                    <w:snapToGrid w:val="0"/>
                    <w:jc w:val="center"/>
                    <w:rPr>
                      <w:b/>
                      <w:color w:val="auto"/>
                      <w:kern w:val="0"/>
                      <w:szCs w:val="21"/>
                      <w:highlight w:val="none"/>
                    </w:rPr>
                  </w:pPr>
                  <w:r>
                    <w:rPr>
                      <w:b/>
                      <w:color w:val="auto"/>
                      <w:kern w:val="0"/>
                      <w:szCs w:val="21"/>
                      <w:highlight w:val="none"/>
                    </w:rPr>
                    <w:t>占地</w:t>
                  </w:r>
                </w:p>
                <w:p w14:paraId="41D14E48">
                  <w:pPr>
                    <w:topLinePunct/>
                    <w:adjustRightInd w:val="0"/>
                    <w:snapToGrid w:val="0"/>
                    <w:jc w:val="center"/>
                    <w:rPr>
                      <w:b/>
                      <w:color w:val="auto"/>
                      <w:kern w:val="0"/>
                      <w:szCs w:val="21"/>
                      <w:highlight w:val="none"/>
                    </w:rPr>
                  </w:pPr>
                  <w:r>
                    <w:rPr>
                      <w:b/>
                      <w:color w:val="auto"/>
                      <w:kern w:val="0"/>
                      <w:szCs w:val="21"/>
                      <w:highlight w:val="none"/>
                    </w:rPr>
                    <w:t>面积</w:t>
                  </w:r>
                </w:p>
              </w:tc>
              <w:tc>
                <w:tcPr>
                  <w:tcW w:w="362" w:type="pct"/>
                  <w:tcBorders>
                    <w:bottom w:val="single" w:color="auto" w:sz="12" w:space="0"/>
                  </w:tcBorders>
                  <w:vAlign w:val="center"/>
                </w:tcPr>
                <w:p w14:paraId="41F23F5E">
                  <w:pPr>
                    <w:topLinePunct/>
                    <w:adjustRightInd w:val="0"/>
                    <w:snapToGrid w:val="0"/>
                    <w:jc w:val="center"/>
                    <w:rPr>
                      <w:b/>
                      <w:color w:val="auto"/>
                      <w:kern w:val="0"/>
                      <w:szCs w:val="21"/>
                      <w:highlight w:val="none"/>
                    </w:rPr>
                  </w:pPr>
                  <w:r>
                    <w:rPr>
                      <w:b/>
                      <w:color w:val="auto"/>
                      <w:kern w:val="0"/>
                      <w:szCs w:val="21"/>
                      <w:highlight w:val="none"/>
                    </w:rPr>
                    <w:t>高度</w:t>
                  </w:r>
                </w:p>
              </w:tc>
              <w:tc>
                <w:tcPr>
                  <w:tcW w:w="362" w:type="pct"/>
                  <w:tcBorders>
                    <w:bottom w:val="single" w:color="auto" w:sz="12" w:space="0"/>
                  </w:tcBorders>
                  <w:vAlign w:val="center"/>
                </w:tcPr>
                <w:p w14:paraId="28B2344C">
                  <w:pPr>
                    <w:topLinePunct/>
                    <w:adjustRightInd w:val="0"/>
                    <w:snapToGrid w:val="0"/>
                    <w:jc w:val="center"/>
                    <w:rPr>
                      <w:b/>
                      <w:color w:val="auto"/>
                      <w:kern w:val="0"/>
                      <w:szCs w:val="21"/>
                      <w:highlight w:val="none"/>
                    </w:rPr>
                  </w:pPr>
                  <w:r>
                    <w:rPr>
                      <w:b/>
                      <w:color w:val="auto"/>
                      <w:kern w:val="0"/>
                      <w:szCs w:val="21"/>
                      <w:highlight w:val="none"/>
                    </w:rPr>
                    <w:t>贮存</w:t>
                  </w:r>
                </w:p>
                <w:p w14:paraId="1D76CFB9">
                  <w:pPr>
                    <w:topLinePunct/>
                    <w:adjustRightInd w:val="0"/>
                    <w:snapToGrid w:val="0"/>
                    <w:jc w:val="center"/>
                    <w:rPr>
                      <w:b/>
                      <w:color w:val="auto"/>
                      <w:kern w:val="0"/>
                      <w:szCs w:val="21"/>
                      <w:highlight w:val="none"/>
                    </w:rPr>
                  </w:pPr>
                  <w:r>
                    <w:rPr>
                      <w:b/>
                      <w:color w:val="auto"/>
                      <w:kern w:val="0"/>
                      <w:szCs w:val="21"/>
                      <w:highlight w:val="none"/>
                    </w:rPr>
                    <w:t>方式</w:t>
                  </w:r>
                </w:p>
              </w:tc>
              <w:tc>
                <w:tcPr>
                  <w:tcW w:w="370" w:type="pct"/>
                  <w:tcBorders>
                    <w:bottom w:val="single" w:color="auto" w:sz="12" w:space="0"/>
                  </w:tcBorders>
                  <w:vAlign w:val="center"/>
                </w:tcPr>
                <w:p w14:paraId="53BEAA9A">
                  <w:pPr>
                    <w:topLinePunct/>
                    <w:adjustRightInd w:val="0"/>
                    <w:snapToGrid w:val="0"/>
                    <w:jc w:val="center"/>
                    <w:rPr>
                      <w:b/>
                      <w:color w:val="auto"/>
                      <w:kern w:val="0"/>
                      <w:szCs w:val="21"/>
                      <w:highlight w:val="none"/>
                    </w:rPr>
                  </w:pPr>
                  <w:r>
                    <w:rPr>
                      <w:b/>
                      <w:color w:val="auto"/>
                      <w:kern w:val="0"/>
                      <w:szCs w:val="21"/>
                      <w:highlight w:val="none"/>
                    </w:rPr>
                    <w:t>贮存</w:t>
                  </w:r>
                </w:p>
                <w:p w14:paraId="5AC69B80">
                  <w:pPr>
                    <w:topLinePunct/>
                    <w:adjustRightInd w:val="0"/>
                    <w:snapToGrid w:val="0"/>
                    <w:jc w:val="center"/>
                    <w:rPr>
                      <w:b/>
                      <w:color w:val="auto"/>
                      <w:kern w:val="0"/>
                      <w:szCs w:val="21"/>
                      <w:highlight w:val="none"/>
                    </w:rPr>
                  </w:pPr>
                  <w:r>
                    <w:rPr>
                      <w:b/>
                      <w:color w:val="auto"/>
                      <w:kern w:val="0"/>
                      <w:szCs w:val="21"/>
                      <w:highlight w:val="none"/>
                    </w:rPr>
                    <w:t>能力</w:t>
                  </w:r>
                </w:p>
              </w:tc>
              <w:tc>
                <w:tcPr>
                  <w:tcW w:w="365" w:type="pct"/>
                  <w:tcBorders>
                    <w:bottom w:val="single" w:color="auto" w:sz="12" w:space="0"/>
                    <w:right w:val="nil"/>
                  </w:tcBorders>
                  <w:vAlign w:val="center"/>
                </w:tcPr>
                <w:p w14:paraId="49DC45F4">
                  <w:pPr>
                    <w:topLinePunct/>
                    <w:adjustRightInd w:val="0"/>
                    <w:snapToGrid w:val="0"/>
                    <w:jc w:val="center"/>
                    <w:rPr>
                      <w:b/>
                      <w:color w:val="auto"/>
                      <w:kern w:val="0"/>
                      <w:szCs w:val="21"/>
                      <w:highlight w:val="none"/>
                    </w:rPr>
                  </w:pPr>
                  <w:r>
                    <w:rPr>
                      <w:b/>
                      <w:color w:val="auto"/>
                      <w:kern w:val="0"/>
                      <w:szCs w:val="21"/>
                      <w:highlight w:val="none"/>
                    </w:rPr>
                    <w:t>贮存</w:t>
                  </w:r>
                </w:p>
                <w:p w14:paraId="7B28A497">
                  <w:pPr>
                    <w:topLinePunct/>
                    <w:adjustRightInd w:val="0"/>
                    <w:snapToGrid w:val="0"/>
                    <w:jc w:val="center"/>
                    <w:rPr>
                      <w:b/>
                      <w:color w:val="auto"/>
                      <w:kern w:val="0"/>
                      <w:szCs w:val="21"/>
                      <w:highlight w:val="none"/>
                    </w:rPr>
                  </w:pPr>
                  <w:r>
                    <w:rPr>
                      <w:b/>
                      <w:color w:val="auto"/>
                      <w:kern w:val="0"/>
                      <w:szCs w:val="21"/>
                      <w:highlight w:val="none"/>
                    </w:rPr>
                    <w:t>周期</w:t>
                  </w:r>
                </w:p>
              </w:tc>
            </w:tr>
            <w:tr w14:paraId="47D1E9FE">
              <w:tblPrEx>
                <w:tblBorders>
                  <w:top w:val="single" w:color="auto" w:sz="12" w:space="0"/>
                  <w:left w:val="none" w:color="auto" w:sz="0"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283" w:type="pct"/>
                  <w:tcBorders>
                    <w:top w:val="single" w:color="auto" w:sz="12" w:space="0"/>
                  </w:tcBorders>
                  <w:vAlign w:val="center"/>
                </w:tcPr>
                <w:p w14:paraId="1F2AE3C8">
                  <w:pPr>
                    <w:topLinePunct/>
                    <w:adjustRightInd w:val="0"/>
                    <w:snapToGrid w:val="0"/>
                    <w:jc w:val="center"/>
                    <w:rPr>
                      <w:color w:val="auto"/>
                      <w:kern w:val="0"/>
                      <w:szCs w:val="21"/>
                      <w:highlight w:val="none"/>
                    </w:rPr>
                  </w:pPr>
                  <w:r>
                    <w:rPr>
                      <w:color w:val="auto"/>
                      <w:kern w:val="0"/>
                      <w:szCs w:val="21"/>
                      <w:highlight w:val="none"/>
                    </w:rPr>
                    <w:t>1</w:t>
                  </w:r>
                </w:p>
              </w:tc>
              <w:tc>
                <w:tcPr>
                  <w:tcW w:w="654" w:type="pct"/>
                  <w:vMerge w:val="restart"/>
                  <w:tcBorders>
                    <w:top w:val="single" w:color="auto" w:sz="12" w:space="0"/>
                  </w:tcBorders>
                  <w:vAlign w:val="center"/>
                </w:tcPr>
                <w:p w14:paraId="4157AB30">
                  <w:pPr>
                    <w:topLinePunct/>
                    <w:adjustRightInd w:val="0"/>
                    <w:snapToGrid w:val="0"/>
                    <w:jc w:val="center"/>
                    <w:rPr>
                      <w:color w:val="auto"/>
                      <w:kern w:val="0"/>
                      <w:szCs w:val="21"/>
                      <w:highlight w:val="none"/>
                    </w:rPr>
                  </w:pPr>
                  <w:r>
                    <w:rPr>
                      <w:color w:val="auto"/>
                      <w:kern w:val="0"/>
                      <w:szCs w:val="21"/>
                      <w:highlight w:val="none"/>
                    </w:rPr>
                    <w:t>危废仓库</w:t>
                  </w:r>
                </w:p>
              </w:tc>
              <w:tc>
                <w:tcPr>
                  <w:tcW w:w="618" w:type="pct"/>
                  <w:tcBorders>
                    <w:top w:val="single" w:color="auto" w:sz="12" w:space="0"/>
                  </w:tcBorders>
                  <w:vAlign w:val="center"/>
                </w:tcPr>
                <w:p w14:paraId="07C44B06">
                  <w:pPr>
                    <w:overflowPunct w:val="0"/>
                    <w:adjustRightInd w:val="0"/>
                    <w:snapToGrid w:val="0"/>
                    <w:jc w:val="center"/>
                    <w:textAlignment w:val="baseline"/>
                    <w:rPr>
                      <w:color w:val="auto"/>
                      <w:kern w:val="0"/>
                      <w:szCs w:val="21"/>
                      <w:highlight w:val="none"/>
                    </w:rPr>
                  </w:pPr>
                  <w:r>
                    <w:rPr>
                      <w:color w:val="auto"/>
                      <w:sz w:val="21"/>
                      <w:szCs w:val="21"/>
                      <w:highlight w:val="none"/>
                    </w:rPr>
                    <w:t>废包装</w:t>
                  </w:r>
                  <w:r>
                    <w:rPr>
                      <w:rFonts w:hint="eastAsia"/>
                      <w:color w:val="auto"/>
                      <w:sz w:val="21"/>
                      <w:szCs w:val="21"/>
                      <w:highlight w:val="none"/>
                      <w:lang w:eastAsia="zh-CN"/>
                    </w:rPr>
                    <w:t>瓶</w:t>
                  </w:r>
                </w:p>
              </w:tc>
              <w:tc>
                <w:tcPr>
                  <w:tcW w:w="528" w:type="pct"/>
                  <w:tcBorders>
                    <w:top w:val="single" w:color="auto" w:sz="12" w:space="0"/>
                  </w:tcBorders>
                  <w:vAlign w:val="center"/>
                </w:tcPr>
                <w:p w14:paraId="4951108F">
                  <w:pPr>
                    <w:overflowPunct w:val="0"/>
                    <w:adjustRightInd w:val="0"/>
                    <w:snapToGrid w:val="0"/>
                    <w:jc w:val="center"/>
                    <w:textAlignment w:val="baseline"/>
                    <w:rPr>
                      <w:color w:val="auto"/>
                      <w:kern w:val="0"/>
                      <w:szCs w:val="21"/>
                      <w:highlight w:val="none"/>
                    </w:rPr>
                  </w:pPr>
                  <w:r>
                    <w:rPr>
                      <w:color w:val="auto"/>
                      <w:szCs w:val="21"/>
                      <w:highlight w:val="none"/>
                    </w:rPr>
                    <w:t>HW49</w:t>
                  </w:r>
                </w:p>
              </w:tc>
              <w:tc>
                <w:tcPr>
                  <w:tcW w:w="645" w:type="pct"/>
                  <w:tcBorders>
                    <w:top w:val="single" w:color="auto" w:sz="12" w:space="0"/>
                  </w:tcBorders>
                  <w:vAlign w:val="center"/>
                </w:tcPr>
                <w:p w14:paraId="196F13F6">
                  <w:pPr>
                    <w:overflowPunct w:val="0"/>
                    <w:adjustRightInd w:val="0"/>
                    <w:snapToGrid w:val="0"/>
                    <w:jc w:val="center"/>
                    <w:textAlignment w:val="baseline"/>
                    <w:rPr>
                      <w:color w:val="auto"/>
                      <w:kern w:val="0"/>
                      <w:szCs w:val="21"/>
                      <w:highlight w:val="none"/>
                    </w:rPr>
                  </w:pPr>
                  <w:r>
                    <w:rPr>
                      <w:color w:val="auto"/>
                      <w:szCs w:val="21"/>
                      <w:highlight w:val="none"/>
                    </w:rPr>
                    <w:t>900-041-49</w:t>
                  </w:r>
                </w:p>
              </w:tc>
              <w:tc>
                <w:tcPr>
                  <w:tcW w:w="404" w:type="pct"/>
                  <w:vMerge w:val="restart"/>
                  <w:tcBorders>
                    <w:top w:val="single" w:color="auto" w:sz="12" w:space="0"/>
                  </w:tcBorders>
                  <w:vAlign w:val="center"/>
                </w:tcPr>
                <w:p w14:paraId="3E01853B">
                  <w:pPr>
                    <w:topLinePunct/>
                    <w:adjustRightInd w:val="0"/>
                    <w:snapToGrid w:val="0"/>
                    <w:jc w:val="center"/>
                    <w:rPr>
                      <w:color w:val="auto"/>
                      <w:kern w:val="0"/>
                      <w:szCs w:val="21"/>
                      <w:highlight w:val="none"/>
                    </w:rPr>
                  </w:pPr>
                  <w:r>
                    <w:rPr>
                      <w:rFonts w:hint="eastAsia"/>
                      <w:color w:val="auto"/>
                      <w:kern w:val="0"/>
                      <w:szCs w:val="21"/>
                      <w:highlight w:val="none"/>
                      <w:lang w:eastAsia="zh-CN"/>
                    </w:rPr>
                    <w:t>生产车间</w:t>
                  </w:r>
                  <w:r>
                    <w:rPr>
                      <w:rFonts w:hint="eastAsia"/>
                      <w:color w:val="auto"/>
                      <w:kern w:val="0"/>
                      <w:szCs w:val="21"/>
                      <w:highlight w:val="none"/>
                      <w:lang w:val="en-US" w:eastAsia="zh-CN"/>
                    </w:rPr>
                    <w:t>一楼东侧</w:t>
                  </w:r>
                </w:p>
              </w:tc>
              <w:tc>
                <w:tcPr>
                  <w:tcW w:w="404" w:type="pct"/>
                  <w:vMerge w:val="restart"/>
                  <w:tcBorders>
                    <w:top w:val="single" w:color="auto" w:sz="12" w:space="0"/>
                  </w:tcBorders>
                  <w:vAlign w:val="center"/>
                </w:tcPr>
                <w:p w14:paraId="4E7EFC51">
                  <w:pPr>
                    <w:topLinePunct/>
                    <w:adjustRightInd w:val="0"/>
                    <w:snapToGrid w:val="0"/>
                    <w:jc w:val="center"/>
                    <w:rPr>
                      <w:color w:val="auto"/>
                      <w:kern w:val="0"/>
                      <w:szCs w:val="21"/>
                      <w:highlight w:val="none"/>
                    </w:rPr>
                  </w:pPr>
                  <w:r>
                    <w:rPr>
                      <w:rFonts w:hint="eastAsia"/>
                      <w:color w:val="auto"/>
                      <w:kern w:val="0"/>
                      <w:szCs w:val="21"/>
                      <w:highlight w:val="none"/>
                      <w:lang w:val="en-US" w:eastAsia="zh-CN"/>
                    </w:rPr>
                    <w:t>5</w:t>
                  </w:r>
                  <w:r>
                    <w:rPr>
                      <w:color w:val="auto"/>
                      <w:kern w:val="0"/>
                      <w:szCs w:val="21"/>
                      <w:highlight w:val="none"/>
                    </w:rPr>
                    <w:t>m</w:t>
                  </w:r>
                  <w:r>
                    <w:rPr>
                      <w:color w:val="auto"/>
                      <w:kern w:val="0"/>
                      <w:szCs w:val="21"/>
                      <w:highlight w:val="none"/>
                      <w:vertAlign w:val="superscript"/>
                    </w:rPr>
                    <w:t>2</w:t>
                  </w:r>
                </w:p>
              </w:tc>
              <w:tc>
                <w:tcPr>
                  <w:tcW w:w="362" w:type="pct"/>
                  <w:vMerge w:val="restart"/>
                  <w:tcBorders>
                    <w:top w:val="single" w:color="auto" w:sz="12" w:space="0"/>
                  </w:tcBorders>
                  <w:vAlign w:val="center"/>
                </w:tcPr>
                <w:p w14:paraId="79B08AF3">
                  <w:pPr>
                    <w:topLinePunct/>
                    <w:adjustRightInd w:val="0"/>
                    <w:snapToGrid w:val="0"/>
                    <w:jc w:val="center"/>
                    <w:rPr>
                      <w:color w:val="auto"/>
                      <w:kern w:val="0"/>
                      <w:szCs w:val="21"/>
                      <w:highlight w:val="none"/>
                    </w:rPr>
                  </w:pPr>
                  <w:r>
                    <w:rPr>
                      <w:rFonts w:hint="eastAsia"/>
                      <w:color w:val="auto"/>
                      <w:kern w:val="0"/>
                      <w:szCs w:val="21"/>
                      <w:highlight w:val="none"/>
                      <w:lang w:val="en-US" w:eastAsia="zh-CN"/>
                    </w:rPr>
                    <w:t>3</w:t>
                  </w:r>
                  <w:r>
                    <w:rPr>
                      <w:color w:val="auto"/>
                      <w:kern w:val="0"/>
                      <w:szCs w:val="21"/>
                      <w:highlight w:val="none"/>
                    </w:rPr>
                    <w:t>m</w:t>
                  </w:r>
                </w:p>
              </w:tc>
              <w:tc>
                <w:tcPr>
                  <w:tcW w:w="362" w:type="pct"/>
                  <w:vMerge w:val="restart"/>
                  <w:tcBorders>
                    <w:top w:val="single" w:color="auto" w:sz="12" w:space="0"/>
                  </w:tcBorders>
                  <w:vAlign w:val="center"/>
                </w:tcPr>
                <w:p w14:paraId="56B93BD9">
                  <w:pPr>
                    <w:topLinePunct/>
                    <w:adjustRightInd w:val="0"/>
                    <w:snapToGrid w:val="0"/>
                    <w:jc w:val="center"/>
                    <w:rPr>
                      <w:color w:val="auto"/>
                      <w:kern w:val="0"/>
                      <w:szCs w:val="21"/>
                      <w:highlight w:val="none"/>
                    </w:rPr>
                  </w:pPr>
                  <w:r>
                    <w:rPr>
                      <w:color w:val="auto"/>
                      <w:kern w:val="0"/>
                      <w:szCs w:val="21"/>
                      <w:highlight w:val="none"/>
                    </w:rPr>
                    <w:t>密封</w:t>
                  </w:r>
                </w:p>
              </w:tc>
              <w:tc>
                <w:tcPr>
                  <w:tcW w:w="370" w:type="pct"/>
                  <w:vMerge w:val="restart"/>
                  <w:tcBorders>
                    <w:top w:val="single" w:color="auto" w:sz="12" w:space="0"/>
                  </w:tcBorders>
                  <w:vAlign w:val="center"/>
                </w:tcPr>
                <w:p w14:paraId="5EA87ECA">
                  <w:pPr>
                    <w:topLinePunct/>
                    <w:adjustRightInd w:val="0"/>
                    <w:snapToGrid w:val="0"/>
                    <w:jc w:val="center"/>
                    <w:rPr>
                      <w:color w:val="auto"/>
                      <w:kern w:val="0"/>
                      <w:szCs w:val="21"/>
                      <w:highlight w:val="none"/>
                    </w:rPr>
                  </w:pPr>
                  <w:r>
                    <w:rPr>
                      <w:rFonts w:hint="eastAsia"/>
                      <w:color w:val="auto"/>
                      <w:kern w:val="0"/>
                      <w:szCs w:val="21"/>
                      <w:highlight w:val="none"/>
                      <w:lang w:val="en-US" w:eastAsia="zh-CN"/>
                    </w:rPr>
                    <w:t>7</w:t>
                  </w:r>
                  <w:r>
                    <w:rPr>
                      <w:color w:val="auto"/>
                      <w:kern w:val="0"/>
                      <w:szCs w:val="21"/>
                      <w:highlight w:val="none"/>
                    </w:rPr>
                    <w:t>t</w:t>
                  </w:r>
                </w:p>
              </w:tc>
              <w:tc>
                <w:tcPr>
                  <w:tcW w:w="365" w:type="pct"/>
                  <w:vMerge w:val="restart"/>
                  <w:tcBorders>
                    <w:top w:val="single" w:color="auto" w:sz="12" w:space="0"/>
                    <w:right w:val="nil"/>
                  </w:tcBorders>
                  <w:vAlign w:val="center"/>
                </w:tcPr>
                <w:p w14:paraId="1BF1F0A3">
                  <w:pPr>
                    <w:topLinePunct/>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3个月</w:t>
                  </w:r>
                </w:p>
              </w:tc>
            </w:tr>
            <w:tr w14:paraId="537C736F">
              <w:tblPrEx>
                <w:tblBorders>
                  <w:top w:val="single" w:color="auto" w:sz="12" w:space="0"/>
                  <w:left w:val="none" w:color="auto" w:sz="0"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283" w:type="pct"/>
                  <w:vAlign w:val="center"/>
                </w:tcPr>
                <w:p w14:paraId="1D2D22C9">
                  <w:pPr>
                    <w:topLinePunct/>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2</w:t>
                  </w:r>
                </w:p>
              </w:tc>
              <w:tc>
                <w:tcPr>
                  <w:tcW w:w="654" w:type="pct"/>
                  <w:vMerge w:val="continue"/>
                  <w:vAlign w:val="center"/>
                </w:tcPr>
                <w:p w14:paraId="42554933">
                  <w:pPr>
                    <w:topLinePunct/>
                    <w:adjustRightInd w:val="0"/>
                    <w:snapToGrid w:val="0"/>
                    <w:jc w:val="center"/>
                    <w:rPr>
                      <w:color w:val="auto"/>
                      <w:kern w:val="0"/>
                      <w:szCs w:val="21"/>
                      <w:highlight w:val="none"/>
                    </w:rPr>
                  </w:pPr>
                </w:p>
              </w:tc>
              <w:tc>
                <w:tcPr>
                  <w:tcW w:w="618" w:type="pct"/>
                  <w:vAlign w:val="center"/>
                </w:tcPr>
                <w:p w14:paraId="6436FC48">
                  <w:pPr>
                    <w:overflowPunct w:val="0"/>
                    <w:adjustRightInd w:val="0"/>
                    <w:snapToGrid w:val="0"/>
                    <w:jc w:val="center"/>
                    <w:textAlignment w:val="baseline"/>
                    <w:rPr>
                      <w:rFonts w:hint="eastAsia" w:eastAsia="宋体"/>
                      <w:color w:val="auto"/>
                      <w:szCs w:val="21"/>
                      <w:highlight w:val="none"/>
                      <w:lang w:val="en-US" w:eastAsia="zh-CN"/>
                    </w:rPr>
                  </w:pPr>
                  <w:r>
                    <w:rPr>
                      <w:rFonts w:eastAsiaTheme="minorEastAsia"/>
                      <w:color w:val="auto"/>
                      <w:kern w:val="0"/>
                      <w:szCs w:val="21"/>
                      <w:highlight w:val="none"/>
                    </w:rPr>
                    <w:t>废</w:t>
                  </w:r>
                  <w:r>
                    <w:rPr>
                      <w:rFonts w:hint="eastAsia" w:eastAsiaTheme="minorEastAsia"/>
                      <w:color w:val="auto"/>
                      <w:kern w:val="0"/>
                      <w:szCs w:val="21"/>
                      <w:highlight w:val="none"/>
                      <w:lang w:val="en-US" w:eastAsia="zh-CN"/>
                    </w:rPr>
                    <w:t>润滑</w:t>
                  </w:r>
                  <w:r>
                    <w:rPr>
                      <w:rFonts w:eastAsiaTheme="minorEastAsia"/>
                      <w:color w:val="auto"/>
                      <w:kern w:val="0"/>
                      <w:szCs w:val="21"/>
                      <w:highlight w:val="none"/>
                    </w:rPr>
                    <w:t>油</w:t>
                  </w:r>
                </w:p>
              </w:tc>
              <w:tc>
                <w:tcPr>
                  <w:tcW w:w="528" w:type="pct"/>
                  <w:vAlign w:val="center"/>
                </w:tcPr>
                <w:p w14:paraId="56445924">
                  <w:pPr>
                    <w:overflowPunct w:val="0"/>
                    <w:adjustRightInd w:val="0"/>
                    <w:snapToGrid w:val="0"/>
                    <w:jc w:val="center"/>
                    <w:textAlignment w:val="baseline"/>
                    <w:rPr>
                      <w:color w:val="auto"/>
                      <w:szCs w:val="21"/>
                      <w:highlight w:val="none"/>
                    </w:rPr>
                  </w:pPr>
                  <w:r>
                    <w:rPr>
                      <w:color w:val="auto"/>
                      <w:szCs w:val="21"/>
                      <w:highlight w:val="none"/>
                    </w:rPr>
                    <w:t>HW08</w:t>
                  </w:r>
                </w:p>
              </w:tc>
              <w:tc>
                <w:tcPr>
                  <w:tcW w:w="645" w:type="pct"/>
                  <w:vAlign w:val="center"/>
                </w:tcPr>
                <w:p w14:paraId="3E6B6881">
                  <w:pPr>
                    <w:overflowPunct w:val="0"/>
                    <w:adjustRightInd w:val="0"/>
                    <w:snapToGrid w:val="0"/>
                    <w:jc w:val="center"/>
                    <w:textAlignment w:val="baseline"/>
                    <w:rPr>
                      <w:color w:val="auto"/>
                      <w:szCs w:val="21"/>
                      <w:highlight w:val="none"/>
                    </w:rPr>
                  </w:pPr>
                  <w:r>
                    <w:rPr>
                      <w:color w:val="auto"/>
                      <w:szCs w:val="21"/>
                      <w:highlight w:val="none"/>
                    </w:rPr>
                    <w:t>900-</w:t>
                  </w:r>
                  <w:r>
                    <w:rPr>
                      <w:rFonts w:hint="eastAsia"/>
                      <w:color w:val="auto"/>
                      <w:szCs w:val="21"/>
                      <w:highlight w:val="none"/>
                      <w:lang w:val="en-US" w:eastAsia="zh-CN"/>
                    </w:rPr>
                    <w:t>214</w:t>
                  </w:r>
                  <w:r>
                    <w:rPr>
                      <w:color w:val="auto"/>
                      <w:szCs w:val="21"/>
                      <w:highlight w:val="none"/>
                    </w:rPr>
                    <w:t>-08</w:t>
                  </w:r>
                </w:p>
              </w:tc>
              <w:tc>
                <w:tcPr>
                  <w:tcW w:w="404" w:type="pct"/>
                  <w:vMerge w:val="continue"/>
                  <w:vAlign w:val="center"/>
                </w:tcPr>
                <w:p w14:paraId="032AB56D">
                  <w:pPr>
                    <w:topLinePunct/>
                    <w:adjustRightInd w:val="0"/>
                    <w:snapToGrid w:val="0"/>
                    <w:jc w:val="center"/>
                    <w:rPr>
                      <w:color w:val="auto"/>
                      <w:kern w:val="0"/>
                      <w:szCs w:val="21"/>
                      <w:highlight w:val="none"/>
                    </w:rPr>
                  </w:pPr>
                </w:p>
              </w:tc>
              <w:tc>
                <w:tcPr>
                  <w:tcW w:w="404" w:type="pct"/>
                  <w:vMerge w:val="continue"/>
                  <w:vAlign w:val="center"/>
                </w:tcPr>
                <w:p w14:paraId="0BA22594">
                  <w:pPr>
                    <w:topLinePunct/>
                    <w:adjustRightInd w:val="0"/>
                    <w:snapToGrid w:val="0"/>
                    <w:jc w:val="center"/>
                    <w:rPr>
                      <w:rFonts w:hint="eastAsia"/>
                      <w:color w:val="auto"/>
                      <w:kern w:val="0"/>
                      <w:szCs w:val="21"/>
                      <w:highlight w:val="none"/>
                      <w:lang w:val="en-US" w:eastAsia="zh-CN"/>
                    </w:rPr>
                  </w:pPr>
                </w:p>
              </w:tc>
              <w:tc>
                <w:tcPr>
                  <w:tcW w:w="362" w:type="pct"/>
                  <w:vMerge w:val="continue"/>
                  <w:vAlign w:val="center"/>
                </w:tcPr>
                <w:p w14:paraId="0B78E2A4">
                  <w:pPr>
                    <w:topLinePunct/>
                    <w:adjustRightInd w:val="0"/>
                    <w:snapToGrid w:val="0"/>
                    <w:jc w:val="center"/>
                    <w:rPr>
                      <w:color w:val="auto"/>
                      <w:kern w:val="0"/>
                      <w:szCs w:val="21"/>
                      <w:highlight w:val="none"/>
                    </w:rPr>
                  </w:pPr>
                </w:p>
              </w:tc>
              <w:tc>
                <w:tcPr>
                  <w:tcW w:w="362" w:type="pct"/>
                  <w:vMerge w:val="continue"/>
                  <w:vAlign w:val="center"/>
                </w:tcPr>
                <w:p w14:paraId="004509D1">
                  <w:pPr>
                    <w:topLinePunct/>
                    <w:adjustRightInd w:val="0"/>
                    <w:snapToGrid w:val="0"/>
                    <w:jc w:val="center"/>
                    <w:rPr>
                      <w:color w:val="auto"/>
                      <w:kern w:val="0"/>
                      <w:szCs w:val="21"/>
                      <w:highlight w:val="none"/>
                    </w:rPr>
                  </w:pPr>
                </w:p>
              </w:tc>
              <w:tc>
                <w:tcPr>
                  <w:tcW w:w="370" w:type="pct"/>
                  <w:vMerge w:val="continue"/>
                  <w:vAlign w:val="center"/>
                </w:tcPr>
                <w:p w14:paraId="3ADAC1F0">
                  <w:pPr>
                    <w:topLinePunct/>
                    <w:adjustRightInd w:val="0"/>
                    <w:snapToGrid w:val="0"/>
                    <w:jc w:val="center"/>
                    <w:rPr>
                      <w:color w:val="auto"/>
                      <w:kern w:val="0"/>
                      <w:szCs w:val="21"/>
                      <w:highlight w:val="none"/>
                    </w:rPr>
                  </w:pPr>
                </w:p>
              </w:tc>
              <w:tc>
                <w:tcPr>
                  <w:tcW w:w="365" w:type="pct"/>
                  <w:vMerge w:val="continue"/>
                  <w:tcBorders>
                    <w:right w:val="nil"/>
                  </w:tcBorders>
                  <w:vAlign w:val="center"/>
                </w:tcPr>
                <w:p w14:paraId="55E5E875">
                  <w:pPr>
                    <w:topLinePunct/>
                    <w:adjustRightInd w:val="0"/>
                    <w:snapToGrid w:val="0"/>
                    <w:jc w:val="center"/>
                    <w:rPr>
                      <w:color w:val="auto"/>
                      <w:kern w:val="0"/>
                      <w:szCs w:val="21"/>
                      <w:highlight w:val="none"/>
                    </w:rPr>
                  </w:pPr>
                </w:p>
              </w:tc>
            </w:tr>
            <w:tr w14:paraId="56D79730">
              <w:tblPrEx>
                <w:tblBorders>
                  <w:top w:val="single" w:color="auto" w:sz="12" w:space="0"/>
                  <w:left w:val="none" w:color="auto" w:sz="0"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283" w:type="pct"/>
                  <w:vAlign w:val="center"/>
                </w:tcPr>
                <w:p w14:paraId="60CAB33E">
                  <w:pPr>
                    <w:topLinePunct/>
                    <w:adjustRightInd w:val="0"/>
                    <w:snapToGrid w:val="0"/>
                    <w:jc w:val="center"/>
                    <w:rPr>
                      <w:rFonts w:hint="eastAsia" w:eastAsia="宋体"/>
                      <w:color w:val="auto"/>
                      <w:kern w:val="0"/>
                      <w:szCs w:val="21"/>
                      <w:highlight w:val="none"/>
                      <w:lang w:eastAsia="zh-CN"/>
                    </w:rPr>
                  </w:pPr>
                  <w:r>
                    <w:rPr>
                      <w:rFonts w:hint="eastAsia"/>
                      <w:color w:val="auto"/>
                      <w:kern w:val="0"/>
                      <w:szCs w:val="21"/>
                      <w:highlight w:val="none"/>
                      <w:lang w:val="en-US" w:eastAsia="zh-CN"/>
                    </w:rPr>
                    <w:t>3</w:t>
                  </w:r>
                </w:p>
              </w:tc>
              <w:tc>
                <w:tcPr>
                  <w:tcW w:w="654" w:type="pct"/>
                  <w:vMerge w:val="continue"/>
                  <w:vAlign w:val="center"/>
                </w:tcPr>
                <w:p w14:paraId="0A02199D">
                  <w:pPr>
                    <w:topLinePunct/>
                    <w:adjustRightInd w:val="0"/>
                    <w:snapToGrid w:val="0"/>
                    <w:jc w:val="center"/>
                    <w:rPr>
                      <w:color w:val="auto"/>
                      <w:kern w:val="0"/>
                      <w:szCs w:val="21"/>
                      <w:highlight w:val="none"/>
                    </w:rPr>
                  </w:pPr>
                </w:p>
              </w:tc>
              <w:tc>
                <w:tcPr>
                  <w:tcW w:w="618" w:type="pct"/>
                  <w:vAlign w:val="center"/>
                </w:tcPr>
                <w:p w14:paraId="7D86D455">
                  <w:pPr>
                    <w:widowControl/>
                    <w:adjustRightInd w:val="0"/>
                    <w:snapToGrid w:val="0"/>
                    <w:jc w:val="center"/>
                    <w:rPr>
                      <w:rFonts w:hint="default"/>
                      <w:color w:val="auto"/>
                      <w:kern w:val="0"/>
                      <w:szCs w:val="21"/>
                      <w:highlight w:val="none"/>
                      <w:lang w:val="en-US"/>
                    </w:rPr>
                  </w:pPr>
                  <w:r>
                    <w:rPr>
                      <w:rFonts w:hint="default" w:ascii="Times New Roman" w:hAnsi="Times New Roman" w:cs="Times New Roman"/>
                      <w:color w:val="auto"/>
                      <w:kern w:val="0"/>
                      <w:szCs w:val="21"/>
                      <w:highlight w:val="none"/>
                    </w:rPr>
                    <w:t>废</w:t>
                  </w:r>
                  <w:r>
                    <w:rPr>
                      <w:rFonts w:hint="eastAsia" w:cs="Times New Roman"/>
                      <w:color w:val="auto"/>
                      <w:kern w:val="0"/>
                      <w:szCs w:val="21"/>
                      <w:highlight w:val="none"/>
                      <w:lang w:val="en-US" w:eastAsia="zh-CN"/>
                    </w:rPr>
                    <w:t>无尘纸/布</w:t>
                  </w:r>
                </w:p>
              </w:tc>
              <w:tc>
                <w:tcPr>
                  <w:tcW w:w="528" w:type="pct"/>
                  <w:vAlign w:val="center"/>
                </w:tcPr>
                <w:p w14:paraId="3CD4783F">
                  <w:pPr>
                    <w:widowControl/>
                    <w:adjustRightInd w:val="0"/>
                    <w:snapToGrid w:val="0"/>
                    <w:jc w:val="center"/>
                    <w:rPr>
                      <w:color w:val="auto"/>
                      <w:szCs w:val="21"/>
                      <w:highlight w:val="none"/>
                    </w:rPr>
                  </w:pPr>
                  <w:r>
                    <w:rPr>
                      <w:rFonts w:hint="default" w:ascii="Times New Roman" w:hAnsi="Times New Roman" w:eastAsia="仿宋" w:cs="Times New Roman"/>
                      <w:bCs/>
                      <w:color w:val="auto"/>
                      <w:kern w:val="0"/>
                      <w:szCs w:val="21"/>
                      <w:highlight w:val="none"/>
                    </w:rPr>
                    <w:t>HW4</w:t>
                  </w:r>
                  <w:r>
                    <w:rPr>
                      <w:rFonts w:hint="eastAsia" w:eastAsia="仿宋" w:cs="Times New Roman"/>
                      <w:bCs/>
                      <w:color w:val="auto"/>
                      <w:kern w:val="0"/>
                      <w:szCs w:val="21"/>
                      <w:highlight w:val="none"/>
                      <w:lang w:val="en-US" w:eastAsia="zh-CN"/>
                    </w:rPr>
                    <w:t>9</w:t>
                  </w:r>
                </w:p>
              </w:tc>
              <w:tc>
                <w:tcPr>
                  <w:tcW w:w="645" w:type="pct"/>
                  <w:vAlign w:val="center"/>
                </w:tcPr>
                <w:p w14:paraId="346F1EAA">
                  <w:pPr>
                    <w:widowControl/>
                    <w:adjustRightInd w:val="0"/>
                    <w:snapToGrid w:val="0"/>
                    <w:jc w:val="center"/>
                    <w:rPr>
                      <w:color w:val="auto"/>
                      <w:szCs w:val="21"/>
                      <w:highlight w:val="none"/>
                    </w:rPr>
                  </w:pPr>
                  <w:r>
                    <w:rPr>
                      <w:rFonts w:hint="default"/>
                      <w:color w:val="auto"/>
                      <w:szCs w:val="21"/>
                      <w:highlight w:val="none"/>
                    </w:rPr>
                    <w:t>900-0</w:t>
                  </w:r>
                  <w:r>
                    <w:rPr>
                      <w:rFonts w:hint="eastAsia"/>
                      <w:color w:val="auto"/>
                      <w:szCs w:val="21"/>
                      <w:highlight w:val="none"/>
                      <w:lang w:val="en-US" w:eastAsia="zh-CN"/>
                    </w:rPr>
                    <w:t>41</w:t>
                  </w:r>
                  <w:r>
                    <w:rPr>
                      <w:rFonts w:hint="default"/>
                      <w:color w:val="auto"/>
                      <w:szCs w:val="21"/>
                      <w:highlight w:val="none"/>
                    </w:rPr>
                    <w:t>-4</w:t>
                  </w:r>
                  <w:r>
                    <w:rPr>
                      <w:rFonts w:hint="eastAsia"/>
                      <w:color w:val="auto"/>
                      <w:szCs w:val="21"/>
                      <w:highlight w:val="none"/>
                      <w:lang w:val="en-US" w:eastAsia="zh-CN"/>
                    </w:rPr>
                    <w:t>9</w:t>
                  </w:r>
                </w:p>
              </w:tc>
              <w:tc>
                <w:tcPr>
                  <w:tcW w:w="404" w:type="pct"/>
                  <w:vMerge w:val="continue"/>
                  <w:vAlign w:val="center"/>
                </w:tcPr>
                <w:p w14:paraId="010208C7">
                  <w:pPr>
                    <w:topLinePunct/>
                    <w:adjustRightInd w:val="0"/>
                    <w:snapToGrid w:val="0"/>
                    <w:jc w:val="center"/>
                    <w:rPr>
                      <w:color w:val="auto"/>
                      <w:kern w:val="0"/>
                      <w:szCs w:val="21"/>
                      <w:highlight w:val="none"/>
                    </w:rPr>
                  </w:pPr>
                </w:p>
              </w:tc>
              <w:tc>
                <w:tcPr>
                  <w:tcW w:w="404" w:type="pct"/>
                  <w:vMerge w:val="continue"/>
                  <w:vAlign w:val="center"/>
                </w:tcPr>
                <w:p w14:paraId="6AD19AC3">
                  <w:pPr>
                    <w:topLinePunct/>
                    <w:adjustRightInd w:val="0"/>
                    <w:snapToGrid w:val="0"/>
                    <w:jc w:val="center"/>
                    <w:rPr>
                      <w:color w:val="auto"/>
                      <w:kern w:val="0"/>
                      <w:szCs w:val="21"/>
                      <w:highlight w:val="none"/>
                    </w:rPr>
                  </w:pPr>
                </w:p>
              </w:tc>
              <w:tc>
                <w:tcPr>
                  <w:tcW w:w="362" w:type="pct"/>
                  <w:vMerge w:val="continue"/>
                  <w:vAlign w:val="center"/>
                </w:tcPr>
                <w:p w14:paraId="4441B86A">
                  <w:pPr>
                    <w:topLinePunct/>
                    <w:adjustRightInd w:val="0"/>
                    <w:snapToGrid w:val="0"/>
                    <w:jc w:val="center"/>
                    <w:rPr>
                      <w:color w:val="auto"/>
                      <w:kern w:val="0"/>
                      <w:szCs w:val="21"/>
                      <w:highlight w:val="none"/>
                    </w:rPr>
                  </w:pPr>
                </w:p>
              </w:tc>
              <w:tc>
                <w:tcPr>
                  <w:tcW w:w="362" w:type="pct"/>
                  <w:vMerge w:val="continue"/>
                  <w:vAlign w:val="center"/>
                </w:tcPr>
                <w:p w14:paraId="557618DC">
                  <w:pPr>
                    <w:topLinePunct/>
                    <w:adjustRightInd w:val="0"/>
                    <w:snapToGrid w:val="0"/>
                    <w:jc w:val="center"/>
                    <w:rPr>
                      <w:color w:val="auto"/>
                      <w:kern w:val="0"/>
                      <w:szCs w:val="21"/>
                      <w:highlight w:val="none"/>
                    </w:rPr>
                  </w:pPr>
                </w:p>
              </w:tc>
              <w:tc>
                <w:tcPr>
                  <w:tcW w:w="370" w:type="pct"/>
                  <w:vMerge w:val="continue"/>
                  <w:vAlign w:val="center"/>
                </w:tcPr>
                <w:p w14:paraId="65EE9913">
                  <w:pPr>
                    <w:topLinePunct/>
                    <w:adjustRightInd w:val="0"/>
                    <w:snapToGrid w:val="0"/>
                    <w:jc w:val="center"/>
                    <w:rPr>
                      <w:color w:val="auto"/>
                      <w:kern w:val="0"/>
                      <w:szCs w:val="21"/>
                      <w:highlight w:val="none"/>
                    </w:rPr>
                  </w:pPr>
                </w:p>
              </w:tc>
              <w:tc>
                <w:tcPr>
                  <w:tcW w:w="365" w:type="pct"/>
                  <w:vMerge w:val="continue"/>
                  <w:tcBorders>
                    <w:right w:val="nil"/>
                  </w:tcBorders>
                  <w:vAlign w:val="center"/>
                </w:tcPr>
                <w:p w14:paraId="3F70EDDC">
                  <w:pPr>
                    <w:topLinePunct/>
                    <w:adjustRightInd w:val="0"/>
                    <w:snapToGrid w:val="0"/>
                    <w:jc w:val="center"/>
                    <w:rPr>
                      <w:color w:val="auto"/>
                      <w:kern w:val="0"/>
                      <w:szCs w:val="21"/>
                      <w:highlight w:val="none"/>
                    </w:rPr>
                  </w:pPr>
                </w:p>
              </w:tc>
            </w:tr>
            <w:tr w14:paraId="44FF5A0C">
              <w:tblPrEx>
                <w:tblBorders>
                  <w:top w:val="single" w:color="auto" w:sz="12" w:space="0"/>
                  <w:left w:val="none" w:color="auto" w:sz="0"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283" w:type="pct"/>
                  <w:vAlign w:val="center"/>
                </w:tcPr>
                <w:p w14:paraId="3F78099A">
                  <w:pPr>
                    <w:topLinePunct/>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4</w:t>
                  </w:r>
                </w:p>
              </w:tc>
              <w:tc>
                <w:tcPr>
                  <w:tcW w:w="654" w:type="pct"/>
                  <w:vMerge w:val="continue"/>
                  <w:vAlign w:val="center"/>
                </w:tcPr>
                <w:p w14:paraId="0B7D8C1D">
                  <w:pPr>
                    <w:topLinePunct/>
                    <w:adjustRightInd w:val="0"/>
                    <w:snapToGrid w:val="0"/>
                    <w:jc w:val="center"/>
                    <w:rPr>
                      <w:color w:val="auto"/>
                      <w:kern w:val="0"/>
                      <w:szCs w:val="21"/>
                      <w:highlight w:val="none"/>
                    </w:rPr>
                  </w:pPr>
                </w:p>
              </w:tc>
              <w:tc>
                <w:tcPr>
                  <w:tcW w:w="618" w:type="pct"/>
                  <w:vAlign w:val="center"/>
                </w:tcPr>
                <w:p w14:paraId="03B6981D">
                  <w:pPr>
                    <w:overflowPunct w:val="0"/>
                    <w:adjustRightInd w:val="0"/>
                    <w:snapToGrid w:val="0"/>
                    <w:jc w:val="center"/>
                    <w:textAlignment w:val="baseline"/>
                    <w:rPr>
                      <w:rFonts w:hint="eastAsia" w:eastAsia="宋体"/>
                      <w:color w:val="auto"/>
                      <w:sz w:val="21"/>
                      <w:szCs w:val="21"/>
                      <w:highlight w:val="none"/>
                      <w:lang w:eastAsia="zh-CN"/>
                    </w:rPr>
                  </w:pPr>
                  <w:r>
                    <w:rPr>
                      <w:rFonts w:hint="eastAsia"/>
                      <w:color w:val="auto"/>
                      <w:sz w:val="21"/>
                      <w:szCs w:val="21"/>
                      <w:highlight w:val="none"/>
                      <w:lang w:eastAsia="zh-CN"/>
                    </w:rPr>
                    <w:t>废油桶</w:t>
                  </w:r>
                </w:p>
              </w:tc>
              <w:tc>
                <w:tcPr>
                  <w:tcW w:w="528" w:type="pct"/>
                  <w:vAlign w:val="center"/>
                </w:tcPr>
                <w:p w14:paraId="5363FA5F">
                  <w:pPr>
                    <w:widowControl/>
                    <w:jc w:val="center"/>
                    <w:rPr>
                      <w:rFonts w:hint="default" w:eastAsia="宋体"/>
                      <w:color w:val="auto"/>
                      <w:szCs w:val="21"/>
                      <w:highlight w:val="none"/>
                      <w:lang w:val="en-US" w:eastAsia="zh-CN"/>
                    </w:rPr>
                  </w:pPr>
                  <w:r>
                    <w:rPr>
                      <w:color w:val="auto"/>
                      <w:kern w:val="0"/>
                      <w:sz w:val="21"/>
                      <w:szCs w:val="21"/>
                      <w:highlight w:val="none"/>
                    </w:rPr>
                    <w:t>HW</w:t>
                  </w:r>
                  <w:r>
                    <w:rPr>
                      <w:rFonts w:hint="eastAsia"/>
                      <w:color w:val="auto"/>
                      <w:kern w:val="0"/>
                      <w:sz w:val="21"/>
                      <w:szCs w:val="21"/>
                      <w:highlight w:val="none"/>
                      <w:lang w:val="en-US" w:eastAsia="zh-CN"/>
                    </w:rPr>
                    <w:t>08</w:t>
                  </w:r>
                </w:p>
              </w:tc>
              <w:tc>
                <w:tcPr>
                  <w:tcW w:w="645" w:type="pct"/>
                  <w:vAlign w:val="center"/>
                </w:tcPr>
                <w:p w14:paraId="1641D04F">
                  <w:pPr>
                    <w:widowControl/>
                    <w:jc w:val="center"/>
                    <w:rPr>
                      <w:rFonts w:hint="default"/>
                      <w:color w:val="auto"/>
                      <w:szCs w:val="21"/>
                      <w:highlight w:val="none"/>
                      <w:lang w:val="en-US"/>
                    </w:rPr>
                  </w:pPr>
                  <w:r>
                    <w:rPr>
                      <w:color w:val="auto"/>
                      <w:szCs w:val="21"/>
                      <w:highlight w:val="none"/>
                    </w:rPr>
                    <w:t>900-</w:t>
                  </w:r>
                  <w:r>
                    <w:rPr>
                      <w:rFonts w:hint="eastAsia"/>
                      <w:color w:val="auto"/>
                      <w:szCs w:val="21"/>
                      <w:highlight w:val="none"/>
                      <w:lang w:val="en-US" w:eastAsia="zh-CN"/>
                    </w:rPr>
                    <w:t>249</w:t>
                  </w:r>
                  <w:r>
                    <w:rPr>
                      <w:color w:val="auto"/>
                      <w:szCs w:val="21"/>
                      <w:highlight w:val="none"/>
                    </w:rPr>
                    <w:t>-</w:t>
                  </w:r>
                  <w:r>
                    <w:rPr>
                      <w:rFonts w:hint="eastAsia"/>
                      <w:color w:val="auto"/>
                      <w:szCs w:val="21"/>
                      <w:highlight w:val="none"/>
                      <w:lang w:val="en-US" w:eastAsia="zh-CN"/>
                    </w:rPr>
                    <w:t>08</w:t>
                  </w:r>
                </w:p>
              </w:tc>
              <w:tc>
                <w:tcPr>
                  <w:tcW w:w="404" w:type="pct"/>
                  <w:vMerge w:val="continue"/>
                  <w:vAlign w:val="center"/>
                </w:tcPr>
                <w:p w14:paraId="7F5658F2">
                  <w:pPr>
                    <w:topLinePunct/>
                    <w:adjustRightInd w:val="0"/>
                    <w:snapToGrid w:val="0"/>
                    <w:jc w:val="center"/>
                    <w:rPr>
                      <w:color w:val="auto"/>
                      <w:kern w:val="0"/>
                      <w:szCs w:val="21"/>
                      <w:highlight w:val="none"/>
                    </w:rPr>
                  </w:pPr>
                </w:p>
              </w:tc>
              <w:tc>
                <w:tcPr>
                  <w:tcW w:w="404" w:type="pct"/>
                  <w:vMerge w:val="continue"/>
                  <w:vAlign w:val="center"/>
                </w:tcPr>
                <w:p w14:paraId="41509B5D">
                  <w:pPr>
                    <w:topLinePunct/>
                    <w:adjustRightInd w:val="0"/>
                    <w:snapToGrid w:val="0"/>
                    <w:jc w:val="center"/>
                    <w:rPr>
                      <w:color w:val="auto"/>
                      <w:kern w:val="0"/>
                      <w:szCs w:val="21"/>
                      <w:highlight w:val="none"/>
                    </w:rPr>
                  </w:pPr>
                </w:p>
              </w:tc>
              <w:tc>
                <w:tcPr>
                  <w:tcW w:w="362" w:type="pct"/>
                  <w:vMerge w:val="continue"/>
                  <w:vAlign w:val="center"/>
                </w:tcPr>
                <w:p w14:paraId="342A8DE4">
                  <w:pPr>
                    <w:topLinePunct/>
                    <w:adjustRightInd w:val="0"/>
                    <w:snapToGrid w:val="0"/>
                    <w:jc w:val="center"/>
                    <w:rPr>
                      <w:color w:val="auto"/>
                      <w:kern w:val="0"/>
                      <w:szCs w:val="21"/>
                      <w:highlight w:val="none"/>
                    </w:rPr>
                  </w:pPr>
                </w:p>
              </w:tc>
              <w:tc>
                <w:tcPr>
                  <w:tcW w:w="362" w:type="pct"/>
                  <w:vMerge w:val="continue"/>
                  <w:vAlign w:val="center"/>
                </w:tcPr>
                <w:p w14:paraId="1EE8CA8B">
                  <w:pPr>
                    <w:topLinePunct/>
                    <w:adjustRightInd w:val="0"/>
                    <w:snapToGrid w:val="0"/>
                    <w:jc w:val="center"/>
                    <w:rPr>
                      <w:color w:val="auto"/>
                      <w:kern w:val="0"/>
                      <w:szCs w:val="21"/>
                      <w:highlight w:val="none"/>
                    </w:rPr>
                  </w:pPr>
                </w:p>
              </w:tc>
              <w:tc>
                <w:tcPr>
                  <w:tcW w:w="370" w:type="pct"/>
                  <w:vMerge w:val="continue"/>
                  <w:vAlign w:val="center"/>
                </w:tcPr>
                <w:p w14:paraId="208FB1A5">
                  <w:pPr>
                    <w:topLinePunct/>
                    <w:adjustRightInd w:val="0"/>
                    <w:snapToGrid w:val="0"/>
                    <w:jc w:val="center"/>
                    <w:rPr>
                      <w:color w:val="auto"/>
                      <w:kern w:val="0"/>
                      <w:szCs w:val="21"/>
                      <w:highlight w:val="none"/>
                    </w:rPr>
                  </w:pPr>
                </w:p>
              </w:tc>
              <w:tc>
                <w:tcPr>
                  <w:tcW w:w="365" w:type="pct"/>
                  <w:vMerge w:val="continue"/>
                  <w:tcBorders>
                    <w:right w:val="nil"/>
                  </w:tcBorders>
                  <w:vAlign w:val="center"/>
                </w:tcPr>
                <w:p w14:paraId="2A7BA972">
                  <w:pPr>
                    <w:topLinePunct/>
                    <w:adjustRightInd w:val="0"/>
                    <w:snapToGrid w:val="0"/>
                    <w:jc w:val="center"/>
                    <w:rPr>
                      <w:color w:val="auto"/>
                      <w:kern w:val="0"/>
                      <w:szCs w:val="21"/>
                      <w:highlight w:val="none"/>
                    </w:rPr>
                  </w:pPr>
                </w:p>
              </w:tc>
            </w:tr>
          </w:tbl>
          <w:p w14:paraId="20C8066C">
            <w:pPr>
              <w:spacing w:line="360" w:lineRule="auto"/>
              <w:ind w:firstLine="480" w:firstLineChars="200"/>
              <w:jc w:val="left"/>
              <w:rPr>
                <w:b/>
                <w:bCs/>
                <w:color w:val="auto"/>
                <w:kern w:val="0"/>
                <w:sz w:val="24"/>
                <w:szCs w:val="20"/>
                <w:highlight w:val="none"/>
              </w:rPr>
            </w:pPr>
            <w:r>
              <w:rPr>
                <w:bCs/>
                <w:color w:val="auto"/>
                <w:kern w:val="0"/>
                <w:sz w:val="24"/>
                <w:szCs w:val="20"/>
                <w:highlight w:val="none"/>
              </w:rPr>
              <w:fldChar w:fldCharType="begin"/>
            </w:r>
            <w:r>
              <w:rPr>
                <w:bCs/>
                <w:color w:val="auto"/>
                <w:kern w:val="0"/>
                <w:sz w:val="24"/>
                <w:szCs w:val="20"/>
                <w:highlight w:val="none"/>
              </w:rPr>
              <w:instrText xml:space="preserve"> = 2 \* GB3 </w:instrText>
            </w:r>
            <w:r>
              <w:rPr>
                <w:bCs/>
                <w:color w:val="auto"/>
                <w:kern w:val="0"/>
                <w:sz w:val="24"/>
                <w:szCs w:val="20"/>
                <w:highlight w:val="none"/>
              </w:rPr>
              <w:fldChar w:fldCharType="separate"/>
            </w:r>
            <w:r>
              <w:rPr>
                <w:bCs/>
                <w:color w:val="auto"/>
                <w:kern w:val="0"/>
                <w:sz w:val="24"/>
                <w:szCs w:val="20"/>
                <w:highlight w:val="none"/>
              </w:rPr>
              <w:t>②</w:t>
            </w:r>
            <w:r>
              <w:rPr>
                <w:bCs/>
                <w:color w:val="auto"/>
                <w:kern w:val="0"/>
                <w:sz w:val="24"/>
                <w:szCs w:val="20"/>
                <w:highlight w:val="none"/>
              </w:rPr>
              <w:fldChar w:fldCharType="end"/>
            </w:r>
            <w:r>
              <w:rPr>
                <w:bCs/>
                <w:color w:val="auto"/>
                <w:kern w:val="0"/>
                <w:sz w:val="24"/>
                <w:szCs w:val="20"/>
                <w:highlight w:val="none"/>
              </w:rPr>
              <w:t>危险废物贮存过程中对环境的影响</w:t>
            </w:r>
          </w:p>
          <w:p w14:paraId="36888C55">
            <w:pPr>
              <w:spacing w:line="360" w:lineRule="auto"/>
              <w:ind w:firstLine="480" w:firstLineChars="200"/>
              <w:jc w:val="left"/>
              <w:rPr>
                <w:b/>
                <w:bCs/>
                <w:color w:val="auto"/>
                <w:kern w:val="0"/>
                <w:sz w:val="24"/>
                <w:szCs w:val="20"/>
                <w:highlight w:val="none"/>
              </w:rPr>
            </w:pPr>
            <w:r>
              <w:rPr>
                <w:bCs/>
                <w:color w:val="auto"/>
                <w:kern w:val="0"/>
                <w:sz w:val="24"/>
                <w:szCs w:val="20"/>
                <w:highlight w:val="none"/>
              </w:rPr>
              <w:t>本项目危险废物等在常温常压下贮存稳定，用容器包装，盛装危险废物的容器上必须粘贴符合规定的标签。项目产生的各类危险废物在做好贮存措施的情况下，对周围环境影响不大。</w:t>
            </w:r>
          </w:p>
          <w:p w14:paraId="019C5B9A">
            <w:pPr>
              <w:spacing w:line="360" w:lineRule="auto"/>
              <w:ind w:firstLine="480" w:firstLineChars="200"/>
              <w:jc w:val="left"/>
              <w:rPr>
                <w:b/>
                <w:bCs/>
                <w:color w:val="auto"/>
                <w:kern w:val="0"/>
                <w:sz w:val="24"/>
                <w:szCs w:val="20"/>
                <w:highlight w:val="none"/>
              </w:rPr>
            </w:pPr>
            <w:r>
              <w:rPr>
                <w:bCs/>
                <w:color w:val="auto"/>
                <w:kern w:val="0"/>
                <w:sz w:val="24"/>
                <w:szCs w:val="20"/>
                <w:highlight w:val="none"/>
              </w:rPr>
              <w:fldChar w:fldCharType="begin"/>
            </w:r>
            <w:r>
              <w:rPr>
                <w:bCs/>
                <w:color w:val="auto"/>
                <w:kern w:val="0"/>
                <w:sz w:val="24"/>
                <w:szCs w:val="20"/>
                <w:highlight w:val="none"/>
              </w:rPr>
              <w:instrText xml:space="preserve"> = 3 \* GB3 </w:instrText>
            </w:r>
            <w:r>
              <w:rPr>
                <w:bCs/>
                <w:color w:val="auto"/>
                <w:kern w:val="0"/>
                <w:sz w:val="24"/>
                <w:szCs w:val="20"/>
                <w:highlight w:val="none"/>
              </w:rPr>
              <w:fldChar w:fldCharType="separate"/>
            </w:r>
            <w:r>
              <w:rPr>
                <w:bCs/>
                <w:color w:val="auto"/>
                <w:kern w:val="0"/>
                <w:sz w:val="24"/>
                <w:szCs w:val="20"/>
                <w:highlight w:val="none"/>
              </w:rPr>
              <w:t>③</w:t>
            </w:r>
            <w:r>
              <w:rPr>
                <w:bCs/>
                <w:color w:val="auto"/>
                <w:kern w:val="0"/>
                <w:sz w:val="24"/>
                <w:szCs w:val="20"/>
                <w:highlight w:val="none"/>
              </w:rPr>
              <w:fldChar w:fldCharType="end"/>
            </w:r>
            <w:r>
              <w:rPr>
                <w:bCs/>
                <w:color w:val="auto"/>
                <w:kern w:val="0"/>
                <w:sz w:val="24"/>
                <w:szCs w:val="20"/>
                <w:highlight w:val="none"/>
              </w:rPr>
              <w:t>运输过程的环境影响分析</w:t>
            </w:r>
          </w:p>
          <w:p w14:paraId="356462C0">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b/>
                <w:bCs/>
                <w:color w:val="auto"/>
                <w:kern w:val="0"/>
                <w:sz w:val="24"/>
                <w:szCs w:val="20"/>
                <w:highlight w:val="none"/>
              </w:rPr>
            </w:pPr>
            <w:r>
              <w:rPr>
                <w:bCs/>
                <w:color w:val="auto"/>
                <w:kern w:val="0"/>
                <w:sz w:val="24"/>
                <w:szCs w:val="20"/>
                <w:highlight w:val="none"/>
              </w:rPr>
              <w:t>在运输过程中，如果管理不当或未采取适当的污染防治和安全防护措施，则极易造成污染。运输危险废物，必须同时符合两个要求，一是必须采取防止污染环境的措施，符合环境保护的要求，做到无害化的运输；二是必须将所运输的危险废物作为危险货物对待，遵守国家有关危险货物运输管理的规定，符合危险货物运输的安全防护要求，做到安全运输。</w:t>
            </w:r>
          </w:p>
          <w:p w14:paraId="646CB16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b/>
                <w:color w:val="auto"/>
                <w:kern w:val="0"/>
                <w:sz w:val="24"/>
                <w:szCs w:val="24"/>
                <w:highlight w:val="none"/>
              </w:rPr>
            </w:pPr>
            <w:r>
              <w:rPr>
                <w:bCs/>
                <w:color w:val="auto"/>
                <w:kern w:val="0"/>
                <w:sz w:val="24"/>
                <w:szCs w:val="24"/>
                <w:highlight w:val="none"/>
              </w:rPr>
              <w:fldChar w:fldCharType="begin"/>
            </w:r>
            <w:r>
              <w:rPr>
                <w:bCs/>
                <w:color w:val="auto"/>
                <w:kern w:val="0"/>
                <w:sz w:val="24"/>
                <w:szCs w:val="24"/>
                <w:highlight w:val="none"/>
              </w:rPr>
              <w:instrText xml:space="preserve"> = 4 \* GB3 </w:instrText>
            </w:r>
            <w:r>
              <w:rPr>
                <w:bCs/>
                <w:color w:val="auto"/>
                <w:kern w:val="0"/>
                <w:sz w:val="24"/>
                <w:szCs w:val="24"/>
                <w:highlight w:val="none"/>
              </w:rPr>
              <w:fldChar w:fldCharType="separate"/>
            </w:r>
            <w:r>
              <w:rPr>
                <w:bCs/>
                <w:color w:val="auto"/>
                <w:kern w:val="0"/>
                <w:sz w:val="24"/>
                <w:szCs w:val="24"/>
                <w:highlight w:val="none"/>
              </w:rPr>
              <w:t>④</w:t>
            </w:r>
            <w:r>
              <w:rPr>
                <w:bCs/>
                <w:color w:val="auto"/>
                <w:kern w:val="0"/>
                <w:sz w:val="24"/>
                <w:szCs w:val="24"/>
                <w:highlight w:val="none"/>
              </w:rPr>
              <w:fldChar w:fldCharType="end"/>
            </w:r>
            <w:r>
              <w:rPr>
                <w:bCs/>
                <w:color w:val="auto"/>
                <w:kern w:val="0"/>
                <w:sz w:val="24"/>
                <w:szCs w:val="24"/>
                <w:highlight w:val="none"/>
              </w:rPr>
              <w:t>委托处置的环境影响分析</w:t>
            </w:r>
          </w:p>
          <w:p w14:paraId="232E1D98">
            <w:pPr>
              <w:keepNext w:val="0"/>
              <w:keepLines w:val="0"/>
              <w:pageBreakBefore w:val="0"/>
              <w:widowControl/>
              <w:kinsoku/>
              <w:wordWrap/>
              <w:overflowPunct/>
              <w:topLinePunct w:val="0"/>
              <w:autoSpaceDE/>
              <w:autoSpaceDN/>
              <w:bidi w:val="0"/>
              <w:adjustRightInd/>
              <w:snapToGrid/>
              <w:spacing w:line="360" w:lineRule="auto"/>
              <w:ind w:firstLine="482"/>
              <w:jc w:val="both"/>
              <w:textAlignment w:val="auto"/>
              <w:rPr>
                <w:color w:val="auto"/>
                <w:sz w:val="24"/>
                <w:szCs w:val="24"/>
                <w:highlight w:val="none"/>
              </w:rPr>
            </w:pPr>
            <w:r>
              <w:rPr>
                <w:color w:val="auto"/>
                <w:kern w:val="0"/>
                <w:sz w:val="24"/>
                <w:szCs w:val="24"/>
                <w:highlight w:val="none"/>
                <w:lang w:bidi="ar"/>
              </w:rPr>
              <w:t>本项目产生危险废物需委托有资质单位运输与处置，危废类别涉及HW08（</w:t>
            </w:r>
            <w:r>
              <w:rPr>
                <w:color w:val="auto"/>
                <w:sz w:val="24"/>
                <w:szCs w:val="24"/>
                <w:highlight w:val="none"/>
              </w:rPr>
              <w:t>900-2</w:t>
            </w:r>
            <w:r>
              <w:rPr>
                <w:rFonts w:hint="eastAsia"/>
                <w:color w:val="auto"/>
                <w:sz w:val="24"/>
                <w:szCs w:val="24"/>
                <w:highlight w:val="none"/>
                <w:lang w:val="en-US" w:eastAsia="zh-CN"/>
              </w:rPr>
              <w:t>14</w:t>
            </w:r>
            <w:r>
              <w:rPr>
                <w:color w:val="auto"/>
                <w:sz w:val="24"/>
                <w:szCs w:val="24"/>
                <w:highlight w:val="none"/>
              </w:rPr>
              <w:t>-08</w:t>
            </w:r>
            <w:r>
              <w:rPr>
                <w:rFonts w:hint="eastAsia"/>
                <w:color w:val="auto"/>
                <w:sz w:val="24"/>
                <w:szCs w:val="24"/>
                <w:highlight w:val="none"/>
                <w:lang w:eastAsia="zh-CN"/>
              </w:rPr>
              <w:t>、</w:t>
            </w:r>
            <w:r>
              <w:rPr>
                <w:rFonts w:hint="eastAsia"/>
                <w:color w:val="auto"/>
                <w:sz w:val="24"/>
                <w:szCs w:val="24"/>
                <w:highlight w:val="none"/>
                <w:lang w:val="en-US" w:eastAsia="zh-CN"/>
              </w:rPr>
              <w:t>900-249-08</w:t>
            </w:r>
            <w:r>
              <w:rPr>
                <w:color w:val="auto"/>
                <w:kern w:val="0"/>
                <w:sz w:val="24"/>
                <w:szCs w:val="24"/>
                <w:highlight w:val="none"/>
                <w:lang w:bidi="ar"/>
              </w:rPr>
              <w:t>）、HW49（900-041-49），临时放置在厂区危废库，最终委托有资质单位进行处置。根据《镇江市危废经营许可证持证单位名单（2021年2月更新）》中的危险废物经营单位名单及其经营范围，结合本项目所在区域，可以委托处置的危险废物经营单位见下表。</w:t>
            </w:r>
          </w:p>
          <w:p w14:paraId="50DF4C4A">
            <w:pPr>
              <w:widowControl/>
              <w:spacing w:line="240" w:lineRule="auto"/>
              <w:ind w:firstLine="0" w:firstLineChars="0"/>
              <w:jc w:val="center"/>
              <w:rPr>
                <w:color w:val="auto"/>
                <w:highlight w:val="none"/>
              </w:rPr>
            </w:pPr>
            <w:r>
              <w:rPr>
                <w:b/>
                <w:bCs/>
                <w:color w:val="auto"/>
                <w:kern w:val="0"/>
                <w:szCs w:val="24"/>
                <w:highlight w:val="none"/>
                <w:lang w:bidi="ar"/>
              </w:rPr>
              <w:t>表4-</w:t>
            </w:r>
            <w:r>
              <w:rPr>
                <w:rFonts w:hint="eastAsia"/>
                <w:b/>
                <w:bCs/>
                <w:color w:val="auto"/>
                <w:kern w:val="0"/>
                <w:szCs w:val="24"/>
                <w:highlight w:val="none"/>
                <w:lang w:val="en-US" w:eastAsia="zh-CN" w:bidi="ar"/>
              </w:rPr>
              <w:t>21</w:t>
            </w:r>
            <w:r>
              <w:rPr>
                <w:b/>
                <w:bCs/>
                <w:color w:val="auto"/>
                <w:kern w:val="0"/>
                <w:szCs w:val="24"/>
                <w:highlight w:val="none"/>
                <w:lang w:bidi="ar"/>
              </w:rPr>
              <w:t xml:space="preserve">  危废处置单位基本情况</w:t>
            </w:r>
          </w:p>
          <w:tbl>
            <w:tblPr>
              <w:tblStyle w:val="37"/>
              <w:tblW w:w="838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79"/>
              <w:gridCol w:w="1589"/>
              <w:gridCol w:w="1470"/>
              <w:gridCol w:w="3075"/>
              <w:gridCol w:w="976"/>
            </w:tblGrid>
            <w:tr w14:paraId="1AC830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2" w:type="pct"/>
                  <w:tcBorders>
                    <w:bottom w:val="single" w:color="auto" w:sz="12" w:space="0"/>
                  </w:tcBorders>
                  <w:tcMar>
                    <w:top w:w="15" w:type="dxa"/>
                    <w:left w:w="15" w:type="dxa"/>
                    <w:right w:w="15" w:type="dxa"/>
                  </w:tcMar>
                  <w:vAlign w:val="center"/>
                </w:tcPr>
                <w:p w14:paraId="418803A3">
                  <w:pPr>
                    <w:wordWrap w:val="0"/>
                    <w:adjustRightInd w:val="0"/>
                    <w:snapToGrid w:val="0"/>
                    <w:spacing w:line="240" w:lineRule="auto"/>
                    <w:ind w:firstLine="0" w:firstLineChars="0"/>
                    <w:jc w:val="center"/>
                    <w:rPr>
                      <w:b/>
                      <w:bCs/>
                      <w:color w:val="auto"/>
                      <w:sz w:val="21"/>
                      <w:szCs w:val="21"/>
                      <w:highlight w:val="none"/>
                    </w:rPr>
                  </w:pPr>
                  <w:r>
                    <w:rPr>
                      <w:b/>
                      <w:bCs/>
                      <w:color w:val="auto"/>
                      <w:sz w:val="21"/>
                      <w:szCs w:val="21"/>
                      <w:highlight w:val="none"/>
                    </w:rPr>
                    <w:t>名称</w:t>
                  </w:r>
                </w:p>
              </w:tc>
              <w:tc>
                <w:tcPr>
                  <w:tcW w:w="947" w:type="pct"/>
                  <w:tcBorders>
                    <w:bottom w:val="single" w:color="auto" w:sz="12" w:space="0"/>
                  </w:tcBorders>
                  <w:tcMar>
                    <w:top w:w="15" w:type="dxa"/>
                    <w:left w:w="15" w:type="dxa"/>
                    <w:right w:w="15" w:type="dxa"/>
                  </w:tcMar>
                  <w:vAlign w:val="center"/>
                </w:tcPr>
                <w:p w14:paraId="0575754D">
                  <w:pPr>
                    <w:wordWrap w:val="0"/>
                    <w:adjustRightInd w:val="0"/>
                    <w:snapToGrid w:val="0"/>
                    <w:spacing w:line="240" w:lineRule="auto"/>
                    <w:ind w:firstLine="0" w:firstLineChars="0"/>
                    <w:jc w:val="center"/>
                    <w:rPr>
                      <w:b/>
                      <w:bCs/>
                      <w:color w:val="auto"/>
                      <w:sz w:val="21"/>
                      <w:szCs w:val="21"/>
                      <w:highlight w:val="none"/>
                    </w:rPr>
                  </w:pPr>
                  <w:r>
                    <w:rPr>
                      <w:b/>
                      <w:bCs/>
                      <w:color w:val="auto"/>
                      <w:sz w:val="21"/>
                      <w:szCs w:val="21"/>
                      <w:highlight w:val="none"/>
                    </w:rPr>
                    <w:t>地址</w:t>
                  </w:r>
                </w:p>
              </w:tc>
              <w:tc>
                <w:tcPr>
                  <w:tcW w:w="876" w:type="pct"/>
                  <w:tcBorders>
                    <w:bottom w:val="single" w:color="auto" w:sz="12" w:space="0"/>
                  </w:tcBorders>
                  <w:tcMar>
                    <w:top w:w="15" w:type="dxa"/>
                    <w:left w:w="15" w:type="dxa"/>
                    <w:right w:w="15" w:type="dxa"/>
                  </w:tcMar>
                  <w:vAlign w:val="center"/>
                </w:tcPr>
                <w:p w14:paraId="62D51A42">
                  <w:pPr>
                    <w:wordWrap w:val="0"/>
                    <w:adjustRightInd w:val="0"/>
                    <w:snapToGrid w:val="0"/>
                    <w:spacing w:line="240" w:lineRule="auto"/>
                    <w:ind w:firstLine="0" w:firstLineChars="0"/>
                    <w:jc w:val="center"/>
                    <w:rPr>
                      <w:b/>
                      <w:bCs/>
                      <w:color w:val="auto"/>
                      <w:sz w:val="21"/>
                      <w:szCs w:val="21"/>
                      <w:highlight w:val="none"/>
                    </w:rPr>
                  </w:pPr>
                  <w:r>
                    <w:rPr>
                      <w:b/>
                      <w:bCs/>
                      <w:color w:val="auto"/>
                      <w:sz w:val="21"/>
                      <w:szCs w:val="21"/>
                      <w:highlight w:val="none"/>
                    </w:rPr>
                    <w:t>有效期限</w:t>
                  </w:r>
                </w:p>
              </w:tc>
              <w:tc>
                <w:tcPr>
                  <w:tcW w:w="1832" w:type="pct"/>
                  <w:tcBorders>
                    <w:bottom w:val="single" w:color="auto" w:sz="12" w:space="0"/>
                  </w:tcBorders>
                  <w:tcMar>
                    <w:top w:w="15" w:type="dxa"/>
                    <w:left w:w="15" w:type="dxa"/>
                    <w:right w:w="15" w:type="dxa"/>
                  </w:tcMar>
                  <w:vAlign w:val="center"/>
                </w:tcPr>
                <w:p w14:paraId="2EC55A7F">
                  <w:pPr>
                    <w:wordWrap w:val="0"/>
                    <w:adjustRightInd w:val="0"/>
                    <w:snapToGrid w:val="0"/>
                    <w:spacing w:line="240" w:lineRule="auto"/>
                    <w:ind w:firstLine="0" w:firstLineChars="0"/>
                    <w:jc w:val="center"/>
                    <w:rPr>
                      <w:b/>
                      <w:bCs/>
                      <w:color w:val="auto"/>
                      <w:sz w:val="21"/>
                      <w:szCs w:val="21"/>
                      <w:highlight w:val="none"/>
                    </w:rPr>
                  </w:pPr>
                  <w:r>
                    <w:rPr>
                      <w:b/>
                      <w:bCs/>
                      <w:color w:val="auto"/>
                      <w:sz w:val="21"/>
                      <w:szCs w:val="21"/>
                      <w:highlight w:val="none"/>
                    </w:rPr>
                    <w:t>经营品种</w:t>
                  </w:r>
                </w:p>
              </w:tc>
              <w:tc>
                <w:tcPr>
                  <w:tcW w:w="581" w:type="pct"/>
                  <w:tcBorders>
                    <w:bottom w:val="single" w:color="auto" w:sz="12" w:space="0"/>
                  </w:tcBorders>
                  <w:tcMar>
                    <w:top w:w="15" w:type="dxa"/>
                    <w:left w:w="15" w:type="dxa"/>
                    <w:right w:w="15" w:type="dxa"/>
                  </w:tcMar>
                  <w:vAlign w:val="center"/>
                </w:tcPr>
                <w:p w14:paraId="384D575F">
                  <w:pPr>
                    <w:wordWrap w:val="0"/>
                    <w:adjustRightInd w:val="0"/>
                    <w:snapToGrid w:val="0"/>
                    <w:spacing w:line="240" w:lineRule="auto"/>
                    <w:ind w:firstLine="0" w:firstLineChars="0"/>
                    <w:jc w:val="center"/>
                    <w:rPr>
                      <w:b/>
                      <w:bCs/>
                      <w:color w:val="auto"/>
                      <w:sz w:val="21"/>
                      <w:szCs w:val="21"/>
                      <w:highlight w:val="none"/>
                    </w:rPr>
                  </w:pPr>
                  <w:r>
                    <w:rPr>
                      <w:b/>
                      <w:bCs/>
                      <w:color w:val="auto"/>
                      <w:sz w:val="21"/>
                      <w:szCs w:val="21"/>
                      <w:highlight w:val="none"/>
                    </w:rPr>
                    <w:t>处置量</w:t>
                  </w:r>
                </w:p>
              </w:tc>
            </w:tr>
            <w:tr w14:paraId="0DFC2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2" w:type="pct"/>
                  <w:tcBorders>
                    <w:top w:val="single" w:color="auto" w:sz="12" w:space="0"/>
                    <w:tl2br w:val="nil"/>
                    <w:tr2bl w:val="nil"/>
                  </w:tcBorders>
                  <w:tcMar>
                    <w:top w:w="15" w:type="dxa"/>
                    <w:left w:w="15" w:type="dxa"/>
                    <w:right w:w="15" w:type="dxa"/>
                  </w:tcMar>
                  <w:vAlign w:val="center"/>
                </w:tcPr>
                <w:p w14:paraId="53A3560F">
                  <w:pPr>
                    <w:wordWrap w:val="0"/>
                    <w:adjustRightInd w:val="0"/>
                    <w:snapToGrid w:val="0"/>
                    <w:spacing w:line="240" w:lineRule="auto"/>
                    <w:ind w:firstLine="0" w:firstLineChars="0"/>
                    <w:jc w:val="center"/>
                    <w:rPr>
                      <w:color w:val="auto"/>
                      <w:sz w:val="21"/>
                      <w:szCs w:val="21"/>
                      <w:highlight w:val="none"/>
                    </w:rPr>
                  </w:pPr>
                  <w:r>
                    <w:rPr>
                      <w:color w:val="auto"/>
                      <w:sz w:val="21"/>
                      <w:szCs w:val="21"/>
                      <w:highlight w:val="none"/>
                    </w:rPr>
                    <w:t>镇江新宇固体废物处置有限公司</w:t>
                  </w:r>
                </w:p>
              </w:tc>
              <w:tc>
                <w:tcPr>
                  <w:tcW w:w="947" w:type="pct"/>
                  <w:tcBorders>
                    <w:top w:val="single" w:color="auto" w:sz="12" w:space="0"/>
                    <w:tl2br w:val="nil"/>
                    <w:tr2bl w:val="nil"/>
                  </w:tcBorders>
                  <w:tcMar>
                    <w:top w:w="15" w:type="dxa"/>
                    <w:left w:w="15" w:type="dxa"/>
                    <w:right w:w="15" w:type="dxa"/>
                  </w:tcMar>
                  <w:vAlign w:val="center"/>
                </w:tcPr>
                <w:p w14:paraId="7B74F6E4">
                  <w:pPr>
                    <w:wordWrap w:val="0"/>
                    <w:adjustRightInd w:val="0"/>
                    <w:snapToGrid w:val="0"/>
                    <w:spacing w:line="240" w:lineRule="auto"/>
                    <w:ind w:firstLine="0" w:firstLineChars="0"/>
                    <w:jc w:val="center"/>
                    <w:rPr>
                      <w:color w:val="auto"/>
                      <w:sz w:val="21"/>
                      <w:szCs w:val="21"/>
                      <w:highlight w:val="none"/>
                    </w:rPr>
                  </w:pPr>
                  <w:r>
                    <w:rPr>
                      <w:color w:val="auto"/>
                      <w:sz w:val="21"/>
                      <w:szCs w:val="21"/>
                      <w:highlight w:val="none"/>
                    </w:rPr>
                    <w:t>镇江新区新材料产业园越河街</w:t>
                  </w:r>
                </w:p>
              </w:tc>
              <w:tc>
                <w:tcPr>
                  <w:tcW w:w="876" w:type="pct"/>
                  <w:tcBorders>
                    <w:top w:val="single" w:color="auto" w:sz="12" w:space="0"/>
                    <w:tl2br w:val="nil"/>
                    <w:tr2bl w:val="nil"/>
                  </w:tcBorders>
                  <w:tcMar>
                    <w:top w:w="15" w:type="dxa"/>
                    <w:left w:w="15" w:type="dxa"/>
                    <w:right w:w="15" w:type="dxa"/>
                  </w:tcMar>
                  <w:vAlign w:val="center"/>
                </w:tcPr>
                <w:p w14:paraId="719D8ED2">
                  <w:pPr>
                    <w:wordWrap w:val="0"/>
                    <w:adjustRightInd w:val="0"/>
                    <w:snapToGrid w:val="0"/>
                    <w:spacing w:line="240" w:lineRule="auto"/>
                    <w:ind w:firstLine="0" w:firstLineChars="0"/>
                    <w:jc w:val="center"/>
                    <w:rPr>
                      <w:color w:val="auto"/>
                      <w:sz w:val="21"/>
                      <w:szCs w:val="21"/>
                      <w:highlight w:val="none"/>
                    </w:rPr>
                  </w:pPr>
                  <w:r>
                    <w:rPr>
                      <w:color w:val="auto"/>
                      <w:sz w:val="21"/>
                      <w:szCs w:val="21"/>
                      <w:highlight w:val="none"/>
                    </w:rPr>
                    <w:t>208号2020.8-2025.7</w:t>
                  </w:r>
                </w:p>
              </w:tc>
              <w:tc>
                <w:tcPr>
                  <w:tcW w:w="1832" w:type="pct"/>
                  <w:tcBorders>
                    <w:top w:val="single" w:color="auto" w:sz="12" w:space="0"/>
                    <w:tl2br w:val="nil"/>
                    <w:tr2bl w:val="nil"/>
                  </w:tcBorders>
                  <w:tcMar>
                    <w:top w:w="15" w:type="dxa"/>
                    <w:left w:w="15" w:type="dxa"/>
                    <w:right w:w="15" w:type="dxa"/>
                  </w:tcMar>
                  <w:vAlign w:val="center"/>
                </w:tcPr>
                <w:p w14:paraId="33A9765E">
                  <w:pPr>
                    <w:wordWrap w:val="0"/>
                    <w:adjustRightInd w:val="0"/>
                    <w:snapToGrid w:val="0"/>
                    <w:spacing w:line="240" w:lineRule="auto"/>
                    <w:ind w:firstLine="0" w:firstLineChars="0"/>
                    <w:jc w:val="center"/>
                    <w:rPr>
                      <w:color w:val="auto"/>
                      <w:sz w:val="21"/>
                      <w:szCs w:val="21"/>
                      <w:highlight w:val="none"/>
                    </w:rPr>
                  </w:pPr>
                  <w:r>
                    <w:rPr>
                      <w:color w:val="auto"/>
                      <w:sz w:val="21"/>
                      <w:szCs w:val="21"/>
                      <w:highlight w:val="none"/>
                    </w:rPr>
                    <w:t>HW02、HW03、HW04、HW05、HW06、HW07、</w:t>
                  </w:r>
                  <w:r>
                    <w:rPr>
                      <w:color w:val="auto"/>
                      <w:sz w:val="21"/>
                      <w:szCs w:val="21"/>
                      <w:highlight w:val="none"/>
                      <w:shd w:val="clear" w:color="auto" w:fill="A4A4A4" w:themeFill="background1" w:themeFillShade="A5"/>
                    </w:rPr>
                    <w:t>HW08</w:t>
                  </w:r>
                  <w:r>
                    <w:rPr>
                      <w:color w:val="auto"/>
                      <w:sz w:val="21"/>
                      <w:szCs w:val="21"/>
                      <w:highlight w:val="none"/>
                    </w:rPr>
                    <w:t>、</w:t>
                  </w:r>
                  <w:r>
                    <w:rPr>
                      <w:color w:val="auto"/>
                      <w:sz w:val="21"/>
                      <w:szCs w:val="21"/>
                      <w:highlight w:val="none"/>
                      <w:shd w:val="clear" w:color="auto"/>
                    </w:rPr>
                    <w:t>HW09</w:t>
                  </w:r>
                  <w:r>
                    <w:rPr>
                      <w:color w:val="auto"/>
                      <w:sz w:val="21"/>
                      <w:szCs w:val="21"/>
                      <w:highlight w:val="none"/>
                    </w:rPr>
                    <w:t>、HW11、HW12、HW13、HW16、HW17、HW19、HW32、HW33、HW34、HW35、HW37、HW38、HW39、HW40、HW45、</w:t>
                  </w:r>
                  <w:r>
                    <w:rPr>
                      <w:color w:val="auto"/>
                      <w:sz w:val="21"/>
                      <w:szCs w:val="21"/>
                      <w:highlight w:val="none"/>
                      <w:shd w:val="clear" w:color="auto" w:fill="A4A4A4" w:themeFill="background1" w:themeFillShade="A5"/>
                    </w:rPr>
                    <w:t>HW49</w:t>
                  </w:r>
                  <w:r>
                    <w:rPr>
                      <w:color w:val="auto"/>
                      <w:sz w:val="21"/>
                      <w:szCs w:val="21"/>
                      <w:highlight w:val="none"/>
                    </w:rPr>
                    <w:t>、HW50</w:t>
                  </w:r>
                </w:p>
              </w:tc>
              <w:tc>
                <w:tcPr>
                  <w:tcW w:w="581" w:type="pct"/>
                  <w:tcBorders>
                    <w:top w:val="single" w:color="auto" w:sz="12" w:space="0"/>
                    <w:tl2br w:val="nil"/>
                    <w:tr2bl w:val="nil"/>
                  </w:tcBorders>
                  <w:tcMar>
                    <w:top w:w="15" w:type="dxa"/>
                    <w:left w:w="15" w:type="dxa"/>
                    <w:right w:w="15" w:type="dxa"/>
                  </w:tcMar>
                  <w:vAlign w:val="center"/>
                </w:tcPr>
                <w:p w14:paraId="23258ADA">
                  <w:pPr>
                    <w:wordWrap w:val="0"/>
                    <w:adjustRightInd w:val="0"/>
                    <w:snapToGrid w:val="0"/>
                    <w:spacing w:line="240" w:lineRule="auto"/>
                    <w:ind w:firstLine="0" w:firstLineChars="0"/>
                    <w:jc w:val="center"/>
                    <w:rPr>
                      <w:color w:val="auto"/>
                      <w:sz w:val="21"/>
                      <w:szCs w:val="21"/>
                      <w:highlight w:val="none"/>
                    </w:rPr>
                  </w:pPr>
                  <w:r>
                    <w:rPr>
                      <w:color w:val="auto"/>
                      <w:sz w:val="21"/>
                      <w:szCs w:val="21"/>
                      <w:highlight w:val="none"/>
                    </w:rPr>
                    <w:t>26400t</w:t>
                  </w:r>
                </w:p>
              </w:tc>
            </w:tr>
          </w:tbl>
          <w:p w14:paraId="2B98C3BB">
            <w:pPr>
              <w:pStyle w:val="19"/>
              <w:keepNext w:val="0"/>
              <w:keepLines w:val="0"/>
              <w:pageBreakBefore w:val="0"/>
              <w:widowControl/>
              <w:kinsoku/>
              <w:wordWrap/>
              <w:overflowPunct/>
              <w:topLinePunct w:val="0"/>
              <w:autoSpaceDE/>
              <w:autoSpaceDN/>
              <w:bidi w:val="0"/>
              <w:adjustRightInd/>
              <w:snapToGrid/>
              <w:spacing w:before="0" w:after="0" w:line="360" w:lineRule="auto"/>
              <w:ind w:right="0" w:firstLine="480"/>
              <w:textAlignment w:val="auto"/>
              <w:rPr>
                <w:bCs/>
                <w:color w:val="auto"/>
                <w:kern w:val="0"/>
                <w:sz w:val="24"/>
                <w:szCs w:val="28"/>
                <w:highlight w:val="none"/>
              </w:rPr>
            </w:pPr>
            <w:r>
              <w:rPr>
                <w:rFonts w:ascii="Times New Roman"/>
                <w:color w:val="auto"/>
                <w:sz w:val="24"/>
                <w:szCs w:val="24"/>
                <w:highlight w:val="none"/>
              </w:rPr>
              <w:t>镇江新宇固体废物处置有限公司有效期到2021年3月规模为26400t/a，处置量均较大，本项目产生的危废类别建议委托镇江新宇固体废物处置有限公司进行处置，上述公司有能力</w:t>
            </w:r>
            <w:r>
              <w:rPr>
                <w:rFonts w:hint="eastAsia"/>
                <w:color w:val="auto"/>
                <w:sz w:val="24"/>
                <w:szCs w:val="24"/>
                <w:highlight w:val="none"/>
                <w:lang w:eastAsia="zh-CN"/>
              </w:rPr>
              <w:t>接收</w:t>
            </w:r>
            <w:r>
              <w:rPr>
                <w:rFonts w:ascii="Times New Roman"/>
                <w:color w:val="auto"/>
                <w:sz w:val="24"/>
                <w:szCs w:val="24"/>
                <w:highlight w:val="none"/>
              </w:rPr>
              <w:t>本项目危废。待项目实施后，将同有资质单位签订协议，对以上危废进行安全处置。项目危险废物临时贮存时间不得超过一年，其后由危废处置单位定期运走，集中处理。危险废物的转运严格按照有关规定进行，实行联单制度。</w:t>
            </w:r>
          </w:p>
          <w:p w14:paraId="6601924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kern w:val="0"/>
                <w:sz w:val="24"/>
                <w:szCs w:val="20"/>
                <w:highlight w:val="none"/>
              </w:rPr>
            </w:pPr>
            <w:r>
              <w:rPr>
                <w:color w:val="auto"/>
                <w:kern w:val="0"/>
                <w:sz w:val="24"/>
                <w:szCs w:val="20"/>
                <w:highlight w:val="none"/>
              </w:rPr>
              <w:t>本项目固体废物均得到合理处置，建议采取以下措施加强管理，尽量减少固体废物对环境的影响。</w:t>
            </w:r>
          </w:p>
          <w:p w14:paraId="2265205A">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color w:val="auto"/>
                <w:kern w:val="0"/>
                <w:sz w:val="24"/>
                <w:szCs w:val="20"/>
                <w:highlight w:val="none"/>
              </w:rPr>
            </w:pPr>
            <w:r>
              <w:rPr>
                <w:color w:val="auto"/>
                <w:kern w:val="0"/>
                <w:sz w:val="24"/>
                <w:szCs w:val="20"/>
                <w:highlight w:val="none"/>
              </w:rPr>
              <w:t>a.对固体废物实行从产生、收集、运输、贮存直至最终处理实行全过程管理；</w:t>
            </w:r>
          </w:p>
          <w:p w14:paraId="23982B44">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color w:val="auto"/>
                <w:kern w:val="0"/>
                <w:sz w:val="24"/>
                <w:szCs w:val="20"/>
                <w:highlight w:val="none"/>
              </w:rPr>
            </w:pPr>
            <w:r>
              <w:rPr>
                <w:color w:val="auto"/>
                <w:kern w:val="0"/>
                <w:sz w:val="24"/>
                <w:szCs w:val="20"/>
                <w:highlight w:val="none"/>
              </w:rPr>
              <w:t>b.加强固体废物规范化管理，固体废物分类定点堆放，堆放场所远离办公区和周围环境敏感点。</w:t>
            </w:r>
          </w:p>
          <w:p w14:paraId="739D7130">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color w:val="auto"/>
                <w:kern w:val="0"/>
                <w:sz w:val="24"/>
                <w:szCs w:val="20"/>
                <w:highlight w:val="none"/>
              </w:rPr>
            </w:pPr>
            <w:r>
              <w:rPr>
                <w:color w:val="auto"/>
                <w:kern w:val="0"/>
                <w:sz w:val="24"/>
                <w:szCs w:val="20"/>
                <w:highlight w:val="none"/>
              </w:rPr>
              <w:t>c.固体废物及时清运，避免产生二次污染；</w:t>
            </w:r>
          </w:p>
          <w:p w14:paraId="2EF61E00">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color w:val="auto"/>
                <w:kern w:val="0"/>
                <w:sz w:val="24"/>
                <w:szCs w:val="20"/>
                <w:highlight w:val="none"/>
              </w:rPr>
            </w:pPr>
            <w:r>
              <w:rPr>
                <w:color w:val="auto"/>
                <w:kern w:val="0"/>
                <w:sz w:val="24"/>
                <w:szCs w:val="20"/>
                <w:highlight w:val="none"/>
              </w:rPr>
              <w:t>d.固体废物运输过程中应做到密闭运输，防</w:t>
            </w:r>
            <w:r>
              <w:rPr>
                <w:rFonts w:hint="eastAsia"/>
                <w:color w:val="auto"/>
                <w:kern w:val="0"/>
                <w:sz w:val="24"/>
                <w:szCs w:val="20"/>
                <w:highlight w:val="none"/>
                <w:lang w:eastAsia="zh-CN"/>
              </w:rPr>
              <w:t>止</w:t>
            </w:r>
            <w:r>
              <w:rPr>
                <w:color w:val="auto"/>
                <w:kern w:val="0"/>
                <w:sz w:val="24"/>
                <w:szCs w:val="20"/>
                <w:highlight w:val="none"/>
              </w:rPr>
              <w:t>固体废物泄漏，减少污染。</w:t>
            </w:r>
          </w:p>
          <w:p w14:paraId="3AE4D1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szCs w:val="20"/>
                <w:highlight w:val="none"/>
              </w:rPr>
            </w:pPr>
            <w:r>
              <w:rPr>
                <w:color w:val="auto"/>
                <w:kern w:val="0"/>
                <w:sz w:val="24"/>
                <w:szCs w:val="20"/>
                <w:highlight w:val="none"/>
              </w:rPr>
              <w:t>综上，本项目产生的各种固体废物均能够得到有效</w:t>
            </w:r>
            <w:r>
              <w:rPr>
                <w:rFonts w:hint="eastAsia"/>
                <w:color w:val="auto"/>
                <w:kern w:val="0"/>
                <w:sz w:val="24"/>
                <w:szCs w:val="20"/>
                <w:highlight w:val="none"/>
                <w:lang w:eastAsia="zh-CN"/>
              </w:rPr>
              <w:t>地</w:t>
            </w:r>
            <w:r>
              <w:rPr>
                <w:color w:val="auto"/>
                <w:kern w:val="0"/>
                <w:sz w:val="24"/>
                <w:szCs w:val="20"/>
                <w:highlight w:val="none"/>
              </w:rPr>
              <w:t>处理与处置，可以实现零排放，不会产生二次污染。</w:t>
            </w:r>
          </w:p>
          <w:p w14:paraId="3F6A5AA1">
            <w:pPr>
              <w:keepNext w:val="0"/>
              <w:keepLines w:val="0"/>
              <w:pageBreakBefore w:val="0"/>
              <w:widowControl w:val="0"/>
              <w:kinsoku/>
              <w:wordWrap/>
              <w:overflowPunct/>
              <w:topLinePunct w:val="0"/>
              <w:autoSpaceDE/>
              <w:autoSpaceDN/>
              <w:bidi w:val="0"/>
              <w:spacing w:line="360" w:lineRule="auto"/>
              <w:ind w:firstLine="480" w:firstLineChars="200"/>
              <w:textAlignment w:val="auto"/>
              <w:rPr>
                <w:color w:val="auto"/>
                <w:sz w:val="24"/>
                <w:szCs w:val="24"/>
                <w:highlight w:val="none"/>
              </w:rPr>
            </w:pPr>
            <w:r>
              <w:rPr>
                <w:rFonts w:hint="eastAsia"/>
                <w:color w:val="auto"/>
                <w:sz w:val="24"/>
                <w:szCs w:val="24"/>
                <w:highlight w:val="none"/>
                <w:lang w:eastAsia="zh-CN"/>
              </w:rPr>
              <w:t>④</w:t>
            </w:r>
            <w:r>
              <w:rPr>
                <w:rFonts w:hint="eastAsia"/>
                <w:color w:val="auto"/>
                <w:sz w:val="24"/>
                <w:szCs w:val="24"/>
                <w:highlight w:val="none"/>
              </w:rPr>
              <w:t>危废仓库的进一步管理要求：</w:t>
            </w:r>
          </w:p>
          <w:p w14:paraId="1DBEDAB3">
            <w:pPr>
              <w:keepNext w:val="0"/>
              <w:keepLines w:val="0"/>
              <w:pageBreakBefore w:val="0"/>
              <w:widowControl w:val="0"/>
              <w:kinsoku/>
              <w:wordWrap/>
              <w:overflowPunct/>
              <w:topLinePunct w:val="0"/>
              <w:autoSpaceDE/>
              <w:autoSpaceDN/>
              <w:bidi w:val="0"/>
              <w:spacing w:line="360" w:lineRule="auto"/>
              <w:ind w:firstLine="480" w:firstLineChars="200"/>
              <w:textAlignment w:val="auto"/>
              <w:rPr>
                <w:color w:val="auto"/>
                <w:sz w:val="24"/>
                <w:szCs w:val="24"/>
                <w:highlight w:val="none"/>
              </w:rPr>
            </w:pPr>
            <w:r>
              <w:rPr>
                <w:rFonts w:hint="eastAsia"/>
                <w:color w:val="auto"/>
                <w:sz w:val="24"/>
                <w:szCs w:val="24"/>
                <w:highlight w:val="none"/>
              </w:rPr>
              <w:t>（1）危废仓库的建设应按照《危险废物污染技术政策》等法规的相关规定，应建有堵截</w:t>
            </w:r>
            <w:r>
              <w:rPr>
                <w:rFonts w:hint="eastAsia"/>
                <w:color w:val="auto"/>
                <w:sz w:val="24"/>
                <w:szCs w:val="24"/>
                <w:highlight w:val="none"/>
                <w:lang w:eastAsia="zh-CN"/>
              </w:rPr>
              <w:t>泄漏</w:t>
            </w:r>
            <w:r>
              <w:rPr>
                <w:rFonts w:hint="eastAsia"/>
                <w:color w:val="auto"/>
                <w:sz w:val="24"/>
                <w:szCs w:val="24"/>
                <w:highlight w:val="none"/>
              </w:rPr>
              <w:t>的裙脚，地面和裙脚要用坚固防漏的材料，基础防渗层为粘土层，其厚度应在1米以上，渗透系数应小于1.0×10</w:t>
            </w:r>
            <w:r>
              <w:rPr>
                <w:rFonts w:hint="eastAsia"/>
                <w:color w:val="auto"/>
                <w:sz w:val="24"/>
                <w:szCs w:val="24"/>
                <w:highlight w:val="none"/>
                <w:vertAlign w:val="superscript"/>
              </w:rPr>
              <w:t>-7</w:t>
            </w:r>
            <w:r>
              <w:rPr>
                <w:rFonts w:hint="eastAsia"/>
                <w:color w:val="auto"/>
                <w:sz w:val="24"/>
                <w:szCs w:val="24"/>
                <w:highlight w:val="none"/>
              </w:rPr>
              <w:t>cm/s，基础防渗层也可用厚度在2mm以上的高密度聚乙烯或其他人工防渗材料，渗透系数应小于1.0×10</w:t>
            </w:r>
            <w:r>
              <w:rPr>
                <w:rFonts w:hint="eastAsia"/>
                <w:color w:val="auto"/>
                <w:sz w:val="24"/>
                <w:szCs w:val="24"/>
                <w:highlight w:val="none"/>
                <w:vertAlign w:val="superscript"/>
              </w:rPr>
              <w:t>-7</w:t>
            </w:r>
            <w:r>
              <w:rPr>
                <w:rFonts w:hint="eastAsia"/>
                <w:color w:val="auto"/>
                <w:sz w:val="24"/>
                <w:szCs w:val="24"/>
                <w:highlight w:val="none"/>
              </w:rPr>
              <w:t>cm/s；地面应为耐腐蚀的硬化地面、地面无缝隙。</w:t>
            </w:r>
          </w:p>
          <w:p w14:paraId="7C4DFD94">
            <w:pPr>
              <w:keepNext w:val="0"/>
              <w:keepLines w:val="0"/>
              <w:pageBreakBefore w:val="0"/>
              <w:widowControl w:val="0"/>
              <w:kinsoku/>
              <w:wordWrap/>
              <w:overflowPunct/>
              <w:topLinePunct w:val="0"/>
              <w:autoSpaceDE/>
              <w:autoSpaceDN/>
              <w:bidi w:val="0"/>
              <w:spacing w:line="360" w:lineRule="auto"/>
              <w:ind w:firstLine="480" w:firstLineChars="200"/>
              <w:textAlignment w:val="auto"/>
              <w:rPr>
                <w:color w:val="auto"/>
                <w:sz w:val="24"/>
                <w:szCs w:val="24"/>
                <w:highlight w:val="none"/>
              </w:rPr>
            </w:pPr>
            <w:r>
              <w:rPr>
                <w:rFonts w:hint="eastAsia"/>
                <w:color w:val="auto"/>
                <w:sz w:val="24"/>
                <w:szCs w:val="24"/>
                <w:highlight w:val="none"/>
              </w:rPr>
              <w:t>（2）液体危废储存区周围可设置托盘，用于对可能</w:t>
            </w:r>
            <w:r>
              <w:rPr>
                <w:rFonts w:hint="eastAsia"/>
                <w:color w:val="auto"/>
                <w:sz w:val="24"/>
                <w:szCs w:val="24"/>
                <w:highlight w:val="none"/>
                <w:lang w:eastAsia="zh-CN"/>
              </w:rPr>
              <w:t>泄漏</w:t>
            </w:r>
            <w:r>
              <w:rPr>
                <w:rFonts w:hint="eastAsia"/>
                <w:color w:val="auto"/>
                <w:sz w:val="24"/>
                <w:szCs w:val="24"/>
                <w:highlight w:val="none"/>
              </w:rPr>
              <w:t>的液体危废进行收集。</w:t>
            </w:r>
          </w:p>
          <w:p w14:paraId="67B0DBF8">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color w:val="auto"/>
                <w:sz w:val="24"/>
                <w:szCs w:val="24"/>
                <w:highlight w:val="none"/>
              </w:rPr>
            </w:pPr>
            <w:r>
              <w:rPr>
                <w:rFonts w:hint="eastAsia"/>
                <w:color w:val="auto"/>
                <w:sz w:val="24"/>
                <w:szCs w:val="24"/>
                <w:highlight w:val="none"/>
              </w:rPr>
              <w:t>（3）危废仓库内要设有安全照明设施和观察窗口，配备对讲机、干粉灭火器。</w:t>
            </w:r>
          </w:p>
          <w:p w14:paraId="6BE86245">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color w:val="auto"/>
                <w:sz w:val="24"/>
                <w:szCs w:val="24"/>
                <w:highlight w:val="none"/>
              </w:rPr>
            </w:pPr>
            <w:r>
              <w:rPr>
                <w:rFonts w:hint="eastAsia"/>
                <w:color w:val="auto"/>
                <w:sz w:val="24"/>
                <w:szCs w:val="24"/>
                <w:highlight w:val="none"/>
              </w:rPr>
              <w:t>（4）危废仓库必须派专人管理，其他人未经允许不得进入内，不得存放除危险废物以外的其他废弃物。严格执行《省生态环境厅关于印发〈江苏省固体废物全过程环境监管工作意见〉的通知》（苏环办〔2024〕16号）</w:t>
            </w:r>
            <w:r>
              <w:rPr>
                <w:rFonts w:hint="eastAsia"/>
                <w:color w:val="auto"/>
                <w:sz w:val="24"/>
                <w:szCs w:val="24"/>
                <w:highlight w:val="none"/>
                <w:lang w:val="en-US" w:eastAsia="zh-CN"/>
              </w:rPr>
              <w:t>等要求、《省生态环境厅关于做好〈危险废物贮存污染控制标准〉等标准规范实施后危险废物环境管理衔接工作的通知》（苏环办〔2023〕154号）等相关文件要求规范设置标志。</w:t>
            </w:r>
          </w:p>
          <w:p w14:paraId="6F358CC5">
            <w:pPr>
              <w:keepNext w:val="0"/>
              <w:keepLines w:val="0"/>
              <w:pageBreakBefore w:val="0"/>
              <w:widowControl/>
              <w:suppressLineNumbers w:val="0"/>
              <w:kinsoku/>
              <w:wordWrap/>
              <w:overflowPunct/>
              <w:topLinePunct w:val="0"/>
              <w:bidi w:val="0"/>
              <w:spacing w:line="360" w:lineRule="auto"/>
              <w:jc w:val="both"/>
              <w:textAlignment w:val="auto"/>
              <w:rPr>
                <w:color w:val="auto"/>
                <w:highlight w:val="none"/>
              </w:rPr>
            </w:pPr>
            <w:r>
              <w:rPr>
                <w:rFonts w:hint="eastAsia" w:ascii="宋体" w:hAnsi="宋体" w:eastAsia="宋体" w:cs="宋体"/>
                <w:color w:val="auto"/>
                <w:kern w:val="0"/>
                <w:sz w:val="24"/>
                <w:szCs w:val="24"/>
                <w:highlight w:val="none"/>
                <w:lang w:val="en-US" w:eastAsia="zh-CN" w:bidi="ar"/>
              </w:rPr>
              <w:t>根据危险废物的种类和特性进行分区、分类贮存，设置防雨、防火、防雷、防扬散、防渗漏装置及泄漏液体收集装置。对易爆、易燃及排出有毒气体的危险废物进行预处理，稳定后贮存，否则按易爆、易燃危险品贮存。</w:t>
            </w:r>
          </w:p>
          <w:p w14:paraId="6FD5C6F2">
            <w:pPr>
              <w:keepNext w:val="0"/>
              <w:keepLines w:val="0"/>
              <w:pageBreakBefore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在厂区的危废间应设置危险废物识别标识和危险废物贮存设施视频监控，按</w:t>
            </w:r>
          </w:p>
          <w:p w14:paraId="66927E37">
            <w:pPr>
              <w:keepNext w:val="0"/>
              <w:keepLines w:val="0"/>
              <w:pageBreakBefore w:val="0"/>
              <w:kinsoku/>
              <w:wordWrap/>
              <w:overflowPunct/>
              <w:topLinePunct w:val="0"/>
              <w:bidi w:val="0"/>
              <w:adjustRightInd w:val="0"/>
              <w:snapToGrid w:val="0"/>
              <w:spacing w:line="360" w:lineRule="auto"/>
              <w:jc w:val="both"/>
              <w:textAlignment w:val="auto"/>
              <w:rPr>
                <w:b/>
                <w:bCs/>
                <w:snapToGrid w:val="0"/>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《危险废物贮存污染控制标准》（GB18597-2023）、《</w:t>
            </w:r>
            <w:r>
              <w:rPr>
                <w:rFonts w:hint="eastAsia" w:cs="Times New Roman"/>
                <w:color w:val="auto"/>
                <w:kern w:val="0"/>
                <w:sz w:val="24"/>
                <w:szCs w:val="24"/>
                <w:highlight w:val="none"/>
                <w:lang w:val="en-US" w:eastAsia="zh-CN" w:bidi="ar"/>
              </w:rPr>
              <w:t>危险废物</w:t>
            </w:r>
            <w:r>
              <w:rPr>
                <w:rFonts w:hint="default" w:ascii="Times New Roman" w:hAnsi="Times New Roman" w:eastAsia="宋体" w:cs="Times New Roman"/>
                <w:color w:val="auto"/>
                <w:kern w:val="0"/>
                <w:sz w:val="24"/>
                <w:szCs w:val="24"/>
                <w:highlight w:val="none"/>
                <w:lang w:val="en-US" w:eastAsia="zh-CN" w:bidi="ar"/>
              </w:rPr>
              <w:t>收集</w:t>
            </w:r>
            <w:r>
              <w:rPr>
                <w:rFonts w:hint="eastAsia"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贮存</w:t>
            </w:r>
            <w:r>
              <w:rPr>
                <w:rFonts w:hint="eastAsia" w:cs="Times New Roman"/>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运输技术规范》(H</w:t>
            </w:r>
            <w:r>
              <w:rPr>
                <w:rFonts w:hint="eastAsia" w:cs="Times New Roman"/>
                <w:color w:val="auto"/>
                <w:kern w:val="0"/>
                <w:sz w:val="24"/>
                <w:szCs w:val="24"/>
                <w:highlight w:val="none"/>
                <w:lang w:val="en-US" w:eastAsia="zh-CN" w:bidi="ar"/>
              </w:rPr>
              <w:t xml:space="preserve">J </w:t>
            </w:r>
            <w:r>
              <w:rPr>
                <w:rFonts w:hint="default" w:ascii="Times New Roman" w:hAnsi="Times New Roman" w:eastAsia="宋体" w:cs="Times New Roman"/>
                <w:color w:val="auto"/>
                <w:kern w:val="0"/>
                <w:sz w:val="24"/>
                <w:szCs w:val="24"/>
                <w:highlight w:val="none"/>
                <w:lang w:val="en-US" w:eastAsia="zh-CN" w:bidi="ar"/>
              </w:rPr>
              <w:t>2025-2012)、《</w:t>
            </w:r>
            <w:r>
              <w:rPr>
                <w:rFonts w:hint="eastAsia" w:cs="Times New Roman"/>
                <w:color w:val="auto"/>
                <w:kern w:val="0"/>
                <w:sz w:val="24"/>
                <w:szCs w:val="24"/>
                <w:highlight w:val="none"/>
                <w:lang w:val="en-US" w:eastAsia="zh-CN" w:bidi="ar"/>
              </w:rPr>
              <w:t>环境保护图形标志 固体废物贮存（处置）场</w:t>
            </w:r>
            <w:r>
              <w:rPr>
                <w:rFonts w:hint="default" w:ascii="Times New Roman" w:hAnsi="Times New Roman" w:eastAsia="宋体" w:cs="Times New Roman"/>
                <w:color w:val="auto"/>
                <w:kern w:val="0"/>
                <w:sz w:val="24"/>
                <w:szCs w:val="24"/>
                <w:highlight w:val="none"/>
                <w:lang w:val="en-US" w:eastAsia="zh-CN" w:bidi="ar"/>
              </w:rPr>
              <w:t>》（GB 15562.2-1995）及其修改单等文件要求执行，危险废物识别标识规范化设置要求见表4-</w:t>
            </w:r>
            <w:r>
              <w:rPr>
                <w:rFonts w:hint="eastAsia" w:cs="Times New Roman"/>
                <w:color w:val="auto"/>
                <w:kern w:val="0"/>
                <w:sz w:val="24"/>
                <w:szCs w:val="24"/>
                <w:highlight w:val="none"/>
                <w:lang w:val="en-US" w:eastAsia="zh-CN" w:bidi="ar"/>
              </w:rPr>
              <w:t>22</w:t>
            </w:r>
            <w:r>
              <w:rPr>
                <w:rFonts w:hint="default" w:ascii="Times New Roman" w:hAnsi="Times New Roman" w:eastAsia="宋体" w:cs="Times New Roman"/>
                <w:color w:val="auto"/>
                <w:kern w:val="0"/>
                <w:sz w:val="24"/>
                <w:szCs w:val="24"/>
                <w:highlight w:val="none"/>
                <w:lang w:val="en-US" w:eastAsia="zh-CN" w:bidi="ar"/>
              </w:rPr>
              <w:t>。</w:t>
            </w:r>
          </w:p>
          <w:p w14:paraId="77D133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snapToGrid w:val="0"/>
                <w:color w:val="auto"/>
                <w:sz w:val="24"/>
                <w:szCs w:val="24"/>
                <w:highlight w:val="none"/>
              </w:rPr>
            </w:pPr>
            <w:r>
              <w:rPr>
                <w:b/>
                <w:bCs/>
                <w:snapToGrid w:val="0"/>
                <w:color w:val="auto"/>
                <w:sz w:val="24"/>
                <w:szCs w:val="24"/>
                <w:highlight w:val="none"/>
              </w:rPr>
              <w:t>表4-</w:t>
            </w:r>
            <w:r>
              <w:rPr>
                <w:rFonts w:hint="eastAsia"/>
                <w:b/>
                <w:bCs/>
                <w:snapToGrid w:val="0"/>
                <w:color w:val="auto"/>
                <w:sz w:val="24"/>
                <w:szCs w:val="24"/>
                <w:highlight w:val="none"/>
                <w:lang w:val="en-US" w:eastAsia="zh-CN"/>
              </w:rPr>
              <w:t>22</w:t>
            </w:r>
            <w:r>
              <w:rPr>
                <w:b/>
                <w:bCs/>
                <w:snapToGrid w:val="0"/>
                <w:color w:val="auto"/>
                <w:sz w:val="24"/>
                <w:szCs w:val="24"/>
                <w:highlight w:val="none"/>
              </w:rPr>
              <w:t xml:space="preserve">  固废堆放场的环境保护图形标志一览表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90"/>
              <w:gridCol w:w="946"/>
              <w:gridCol w:w="864"/>
              <w:gridCol w:w="842"/>
              <w:gridCol w:w="842"/>
              <w:gridCol w:w="3900"/>
            </w:tblGrid>
            <w:tr w14:paraId="2975B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2" w:type="pct"/>
                  <w:tcBorders>
                    <w:bottom w:val="single" w:color="auto" w:sz="12" w:space="0"/>
                  </w:tcBorders>
                  <w:noWrap w:val="0"/>
                  <w:vAlign w:val="center"/>
                </w:tcPr>
                <w:p w14:paraId="16D1698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rPr>
                  </w:pPr>
                  <w:bookmarkStart w:id="19" w:name="_Hlk47916188"/>
                  <w:r>
                    <w:rPr>
                      <w:rFonts w:hint="eastAsia" w:ascii="Times New Roman" w:hAnsi="Times New Roman" w:eastAsia="宋体" w:cs="Times New Roman"/>
                      <w:b/>
                      <w:bCs/>
                      <w:color w:val="auto"/>
                      <w:sz w:val="21"/>
                      <w:szCs w:val="21"/>
                      <w:highlight w:val="none"/>
                    </w:rPr>
                    <w:t>排放口名称</w:t>
                  </w:r>
                </w:p>
              </w:tc>
              <w:tc>
                <w:tcPr>
                  <w:tcW w:w="557" w:type="pct"/>
                  <w:tcBorders>
                    <w:bottom w:val="single" w:color="auto" w:sz="12" w:space="0"/>
                  </w:tcBorders>
                  <w:noWrap w:val="0"/>
                  <w:vAlign w:val="center"/>
                </w:tcPr>
                <w:p w14:paraId="599C303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图形</w:t>
                  </w:r>
                </w:p>
                <w:p w14:paraId="263DE89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标志</w:t>
                  </w:r>
                </w:p>
              </w:tc>
              <w:tc>
                <w:tcPr>
                  <w:tcW w:w="509" w:type="pct"/>
                  <w:tcBorders>
                    <w:bottom w:val="single" w:color="auto" w:sz="12" w:space="0"/>
                  </w:tcBorders>
                  <w:noWrap w:val="0"/>
                  <w:vAlign w:val="center"/>
                </w:tcPr>
                <w:p w14:paraId="1C201CE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形状</w:t>
                  </w:r>
                </w:p>
              </w:tc>
              <w:tc>
                <w:tcPr>
                  <w:tcW w:w="496" w:type="pct"/>
                  <w:tcBorders>
                    <w:bottom w:val="single" w:color="auto" w:sz="12" w:space="0"/>
                  </w:tcBorders>
                  <w:noWrap w:val="0"/>
                  <w:vAlign w:val="center"/>
                </w:tcPr>
                <w:p w14:paraId="461E9BB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背景</w:t>
                  </w:r>
                </w:p>
                <w:p w14:paraId="7BE5321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颜色</w:t>
                  </w:r>
                </w:p>
              </w:tc>
              <w:tc>
                <w:tcPr>
                  <w:tcW w:w="496" w:type="pct"/>
                  <w:tcBorders>
                    <w:bottom w:val="single" w:color="auto" w:sz="12" w:space="0"/>
                  </w:tcBorders>
                  <w:noWrap w:val="0"/>
                  <w:vAlign w:val="center"/>
                </w:tcPr>
                <w:p w14:paraId="248543D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图形</w:t>
                  </w:r>
                </w:p>
                <w:p w14:paraId="6FA7E2A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颜色</w:t>
                  </w:r>
                </w:p>
              </w:tc>
              <w:tc>
                <w:tcPr>
                  <w:tcW w:w="2296" w:type="pct"/>
                  <w:tcBorders>
                    <w:bottom w:val="single" w:color="auto" w:sz="12" w:space="0"/>
                  </w:tcBorders>
                  <w:noWrap w:val="0"/>
                  <w:vAlign w:val="center"/>
                </w:tcPr>
                <w:p w14:paraId="38FAF48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提示图形符号</w:t>
                  </w:r>
                </w:p>
              </w:tc>
            </w:tr>
            <w:tr w14:paraId="6EF58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14" w:hRule="atLeast"/>
                <w:jc w:val="center"/>
              </w:trPr>
              <w:tc>
                <w:tcPr>
                  <w:tcW w:w="642" w:type="pct"/>
                  <w:noWrap w:val="0"/>
                  <w:vAlign w:val="center"/>
                </w:tcPr>
                <w:p w14:paraId="38A0B22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厂区门口</w:t>
                  </w:r>
                </w:p>
              </w:tc>
              <w:tc>
                <w:tcPr>
                  <w:tcW w:w="557" w:type="pct"/>
                  <w:noWrap w:val="0"/>
                  <w:vAlign w:val="center"/>
                </w:tcPr>
                <w:p w14:paraId="6A7F54A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提示标志</w:t>
                  </w:r>
                </w:p>
              </w:tc>
              <w:tc>
                <w:tcPr>
                  <w:tcW w:w="509" w:type="pct"/>
                  <w:noWrap w:val="0"/>
                  <w:vAlign w:val="center"/>
                </w:tcPr>
                <w:p w14:paraId="06F9F1D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正方形边框</w:t>
                  </w:r>
                </w:p>
              </w:tc>
              <w:tc>
                <w:tcPr>
                  <w:tcW w:w="496" w:type="pct"/>
                  <w:noWrap w:val="0"/>
                  <w:vAlign w:val="center"/>
                </w:tcPr>
                <w:p w14:paraId="7D92D6E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蓝色</w:t>
                  </w:r>
                </w:p>
              </w:tc>
              <w:tc>
                <w:tcPr>
                  <w:tcW w:w="496" w:type="pct"/>
                  <w:noWrap w:val="0"/>
                  <w:vAlign w:val="center"/>
                </w:tcPr>
                <w:p w14:paraId="58C4529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白色</w:t>
                  </w:r>
                </w:p>
              </w:tc>
              <w:tc>
                <w:tcPr>
                  <w:tcW w:w="2296" w:type="pct"/>
                  <w:noWrap w:val="0"/>
                  <w:vAlign w:val="center"/>
                </w:tcPr>
                <w:p w14:paraId="176D12E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drawing>
                      <wp:inline distT="0" distB="0" distL="114300" distR="114300">
                        <wp:extent cx="1673225" cy="1121410"/>
                        <wp:effectExtent l="0" t="0" r="3175" b="254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22"/>
                                <a:stretch>
                                  <a:fillRect/>
                                </a:stretch>
                              </pic:blipFill>
                              <pic:spPr>
                                <a:xfrm>
                                  <a:off x="0" y="0"/>
                                  <a:ext cx="1673225" cy="1121410"/>
                                </a:xfrm>
                                <a:prstGeom prst="rect">
                                  <a:avLst/>
                                </a:prstGeom>
                                <a:noFill/>
                                <a:ln>
                                  <a:noFill/>
                                </a:ln>
                              </pic:spPr>
                            </pic:pic>
                          </a:graphicData>
                        </a:graphic>
                      </wp:inline>
                    </w:drawing>
                  </w:r>
                </w:p>
              </w:tc>
            </w:tr>
            <w:tr w14:paraId="2E982A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180" w:hRule="atLeast"/>
                <w:jc w:val="center"/>
              </w:trPr>
              <w:tc>
                <w:tcPr>
                  <w:tcW w:w="642" w:type="pct"/>
                  <w:vMerge w:val="restart"/>
                  <w:noWrap w:val="0"/>
                  <w:vAlign w:val="center"/>
                </w:tcPr>
                <w:p w14:paraId="589B063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危险废物暂存场所</w:t>
                  </w:r>
                </w:p>
              </w:tc>
              <w:tc>
                <w:tcPr>
                  <w:tcW w:w="557" w:type="pct"/>
                  <w:noWrap w:val="0"/>
                  <w:vAlign w:val="center"/>
                </w:tcPr>
                <w:p w14:paraId="347BB3A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警示标志</w:t>
                  </w:r>
                </w:p>
              </w:tc>
              <w:tc>
                <w:tcPr>
                  <w:tcW w:w="509" w:type="pct"/>
                  <w:noWrap w:val="0"/>
                  <w:vAlign w:val="center"/>
                </w:tcPr>
                <w:p w14:paraId="2707C17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长方形边框</w:t>
                  </w:r>
                </w:p>
              </w:tc>
              <w:tc>
                <w:tcPr>
                  <w:tcW w:w="496" w:type="pct"/>
                  <w:noWrap w:val="0"/>
                  <w:vAlign w:val="center"/>
                </w:tcPr>
                <w:p w14:paraId="53F5FDB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黄色</w:t>
                  </w:r>
                </w:p>
              </w:tc>
              <w:tc>
                <w:tcPr>
                  <w:tcW w:w="496" w:type="pct"/>
                  <w:noWrap w:val="0"/>
                  <w:vAlign w:val="center"/>
                </w:tcPr>
                <w:p w14:paraId="413A206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黑色</w:t>
                  </w:r>
                </w:p>
              </w:tc>
              <w:tc>
                <w:tcPr>
                  <w:tcW w:w="2296" w:type="pct"/>
                  <w:noWrap w:val="0"/>
                  <w:vAlign w:val="center"/>
                </w:tcPr>
                <w:p w14:paraId="16CE1CB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drawing>
                      <wp:inline distT="0" distB="0" distL="114300" distR="114300">
                        <wp:extent cx="2083435" cy="1306195"/>
                        <wp:effectExtent l="0" t="0" r="12065" b="825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23"/>
                                <a:stretch>
                                  <a:fillRect/>
                                </a:stretch>
                              </pic:blipFill>
                              <pic:spPr>
                                <a:xfrm>
                                  <a:off x="0" y="0"/>
                                  <a:ext cx="2083435" cy="1306195"/>
                                </a:xfrm>
                                <a:prstGeom prst="rect">
                                  <a:avLst/>
                                </a:prstGeom>
                                <a:noFill/>
                                <a:ln>
                                  <a:noFill/>
                                </a:ln>
                              </pic:spPr>
                            </pic:pic>
                          </a:graphicData>
                        </a:graphic>
                      </wp:inline>
                    </w:drawing>
                  </w:r>
                </w:p>
              </w:tc>
            </w:tr>
            <w:tr w14:paraId="79FEC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71" w:hRule="atLeast"/>
                <w:jc w:val="center"/>
              </w:trPr>
              <w:tc>
                <w:tcPr>
                  <w:tcW w:w="642" w:type="pct"/>
                  <w:vMerge w:val="continue"/>
                  <w:noWrap w:val="0"/>
                  <w:vAlign w:val="center"/>
                </w:tcPr>
                <w:p w14:paraId="05F2C98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p>
              </w:tc>
              <w:tc>
                <w:tcPr>
                  <w:tcW w:w="557" w:type="pct"/>
                  <w:noWrap w:val="0"/>
                  <w:vAlign w:val="center"/>
                </w:tcPr>
                <w:p w14:paraId="019D92D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贮存设施内部分区警示标志牌</w:t>
                  </w:r>
                </w:p>
              </w:tc>
              <w:tc>
                <w:tcPr>
                  <w:tcW w:w="509" w:type="pct"/>
                  <w:noWrap w:val="0"/>
                  <w:vAlign w:val="center"/>
                </w:tcPr>
                <w:p w14:paraId="7FB7792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长方形边框</w:t>
                  </w:r>
                </w:p>
              </w:tc>
              <w:tc>
                <w:tcPr>
                  <w:tcW w:w="496" w:type="pct"/>
                  <w:noWrap w:val="0"/>
                  <w:vAlign w:val="center"/>
                </w:tcPr>
                <w:p w14:paraId="704BF26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黄色</w:t>
                  </w:r>
                </w:p>
              </w:tc>
              <w:tc>
                <w:tcPr>
                  <w:tcW w:w="496" w:type="pct"/>
                  <w:noWrap w:val="0"/>
                  <w:vAlign w:val="center"/>
                </w:tcPr>
                <w:p w14:paraId="4A16652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黑色</w:t>
                  </w:r>
                </w:p>
              </w:tc>
              <w:tc>
                <w:tcPr>
                  <w:tcW w:w="2296" w:type="pct"/>
                  <w:noWrap w:val="0"/>
                  <w:vAlign w:val="center"/>
                </w:tcPr>
                <w:p w14:paraId="18C59BC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drawing>
                      <wp:inline distT="0" distB="0" distL="114300" distR="114300">
                        <wp:extent cx="1664970" cy="1397000"/>
                        <wp:effectExtent l="0" t="0" r="11430" b="1270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4"/>
                                <a:stretch>
                                  <a:fillRect/>
                                </a:stretch>
                              </pic:blipFill>
                              <pic:spPr>
                                <a:xfrm>
                                  <a:off x="0" y="0"/>
                                  <a:ext cx="1664970" cy="1397000"/>
                                </a:xfrm>
                                <a:prstGeom prst="rect">
                                  <a:avLst/>
                                </a:prstGeom>
                                <a:noFill/>
                                <a:ln>
                                  <a:noFill/>
                                </a:ln>
                              </pic:spPr>
                            </pic:pic>
                          </a:graphicData>
                        </a:graphic>
                      </wp:inline>
                    </w:drawing>
                  </w:r>
                </w:p>
              </w:tc>
            </w:tr>
            <w:tr w14:paraId="2AB0E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01" w:hRule="atLeast"/>
                <w:jc w:val="center"/>
              </w:trPr>
              <w:tc>
                <w:tcPr>
                  <w:tcW w:w="642" w:type="pct"/>
                  <w:vMerge w:val="continue"/>
                  <w:noWrap w:val="0"/>
                  <w:vAlign w:val="center"/>
                </w:tcPr>
                <w:p w14:paraId="5F60D4F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p>
              </w:tc>
              <w:tc>
                <w:tcPr>
                  <w:tcW w:w="557" w:type="pct"/>
                  <w:noWrap w:val="0"/>
                  <w:vAlign w:val="center"/>
                </w:tcPr>
                <w:p w14:paraId="79CF960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包装识别标签</w:t>
                  </w:r>
                </w:p>
              </w:tc>
              <w:tc>
                <w:tcPr>
                  <w:tcW w:w="509" w:type="pct"/>
                  <w:noWrap w:val="0"/>
                  <w:vAlign w:val="center"/>
                </w:tcPr>
                <w:p w14:paraId="00906F7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496" w:type="pct"/>
                  <w:noWrap w:val="0"/>
                  <w:vAlign w:val="center"/>
                </w:tcPr>
                <w:p w14:paraId="73A7A56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桔黄色</w:t>
                  </w:r>
                </w:p>
              </w:tc>
              <w:tc>
                <w:tcPr>
                  <w:tcW w:w="496" w:type="pct"/>
                  <w:noWrap w:val="0"/>
                  <w:vAlign w:val="center"/>
                </w:tcPr>
                <w:p w14:paraId="2674BF7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黑色</w:t>
                  </w:r>
                </w:p>
              </w:tc>
              <w:tc>
                <w:tcPr>
                  <w:tcW w:w="2296" w:type="pct"/>
                  <w:noWrap w:val="0"/>
                  <w:vAlign w:val="center"/>
                </w:tcPr>
                <w:p w14:paraId="2CBFC91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drawing>
                      <wp:inline distT="0" distB="0" distL="114300" distR="114300">
                        <wp:extent cx="1717675" cy="1720850"/>
                        <wp:effectExtent l="0" t="0" r="15875" b="1270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25"/>
                                <a:stretch>
                                  <a:fillRect/>
                                </a:stretch>
                              </pic:blipFill>
                              <pic:spPr>
                                <a:xfrm>
                                  <a:off x="0" y="0"/>
                                  <a:ext cx="1717675" cy="1720850"/>
                                </a:xfrm>
                                <a:prstGeom prst="rect">
                                  <a:avLst/>
                                </a:prstGeom>
                                <a:noFill/>
                                <a:ln>
                                  <a:noFill/>
                                </a:ln>
                              </pic:spPr>
                            </pic:pic>
                          </a:graphicData>
                        </a:graphic>
                      </wp:inline>
                    </w:drawing>
                  </w:r>
                </w:p>
              </w:tc>
            </w:tr>
            <w:bookmarkEnd w:id="19"/>
          </w:tbl>
          <w:p w14:paraId="0CF892EB">
            <w:pPr>
              <w:adjustRightInd w:val="0"/>
              <w:snapToGrid w:val="0"/>
              <w:spacing w:line="360" w:lineRule="auto"/>
              <w:ind w:firstLine="482" w:firstLineChars="200"/>
              <w:rPr>
                <w:b/>
                <w:color w:val="auto"/>
                <w:kern w:val="0"/>
                <w:sz w:val="24"/>
                <w:szCs w:val="20"/>
                <w:highlight w:val="none"/>
              </w:rPr>
            </w:pPr>
            <w:r>
              <w:rPr>
                <w:b/>
                <w:color w:val="auto"/>
                <w:kern w:val="0"/>
                <w:sz w:val="24"/>
                <w:szCs w:val="20"/>
                <w:highlight w:val="none"/>
              </w:rPr>
              <w:t>5、结论与建议</w:t>
            </w:r>
          </w:p>
          <w:p w14:paraId="78798DD5">
            <w:pPr>
              <w:adjustRightInd w:val="0"/>
              <w:snapToGrid w:val="0"/>
              <w:spacing w:line="360" w:lineRule="auto"/>
              <w:ind w:firstLine="480" w:firstLineChars="200"/>
              <w:jc w:val="left"/>
              <w:rPr>
                <w:color w:val="auto"/>
                <w:kern w:val="0"/>
                <w:sz w:val="32"/>
                <w:szCs w:val="20"/>
                <w:highlight w:val="none"/>
              </w:rPr>
            </w:pPr>
            <w:r>
              <w:rPr>
                <w:color w:val="auto"/>
                <w:kern w:val="0"/>
                <w:sz w:val="24"/>
                <w:szCs w:val="20"/>
                <w:highlight w:val="none"/>
              </w:rPr>
              <w:t>综上所述，本项目所产生的固体废物通过以上方法处理处置后，将不会对周围的环境产生影响，亦不会造成二次污染。但必须指出的是，一般固体废物和危险废物处理处置前在厂内的堆放、贮存场所应按照国家固体废物贮存有关要求设置，避免其对周围环境产生二次污染。通过以上措施，建设项目产生的固体废物均得到了妥善处理，对外环境的影响可减至最小程度。</w:t>
            </w:r>
          </w:p>
          <w:p w14:paraId="29170C27">
            <w:pPr>
              <w:widowControl/>
              <w:autoSpaceDE w:val="0"/>
              <w:autoSpaceDN w:val="0"/>
              <w:adjustRightInd w:val="0"/>
              <w:snapToGrid w:val="0"/>
              <w:spacing w:line="360" w:lineRule="auto"/>
              <w:jc w:val="left"/>
              <w:rPr>
                <w:rFonts w:eastAsiaTheme="minorEastAsia"/>
                <w:b/>
                <w:color w:val="auto"/>
                <w:kern w:val="0"/>
                <w:sz w:val="24"/>
                <w:highlight w:val="none"/>
              </w:rPr>
            </w:pPr>
            <w:r>
              <w:rPr>
                <w:rFonts w:eastAsiaTheme="minorEastAsia"/>
                <w:b/>
                <w:color w:val="auto"/>
                <w:kern w:val="0"/>
                <w:sz w:val="24"/>
                <w:highlight w:val="none"/>
              </w:rPr>
              <w:t>（五）地下水、土壤</w:t>
            </w:r>
          </w:p>
          <w:p w14:paraId="7065CDCD">
            <w:pPr>
              <w:adjustRightInd w:val="0"/>
              <w:snapToGrid w:val="0"/>
              <w:spacing w:line="360" w:lineRule="auto"/>
              <w:ind w:firstLine="482" w:firstLineChars="200"/>
              <w:rPr>
                <w:rFonts w:eastAsiaTheme="minorEastAsia"/>
                <w:b/>
                <w:color w:val="auto"/>
                <w:sz w:val="24"/>
                <w:highlight w:val="none"/>
              </w:rPr>
            </w:pPr>
            <w:r>
              <w:rPr>
                <w:rFonts w:eastAsiaTheme="minorEastAsia"/>
                <w:b/>
                <w:color w:val="auto"/>
                <w:sz w:val="24"/>
                <w:highlight w:val="none"/>
              </w:rPr>
              <w:t>1、环境影响类型、途径及影响因子识别</w:t>
            </w:r>
          </w:p>
          <w:p w14:paraId="07DC2D78">
            <w:pPr>
              <w:wordWrap w:val="0"/>
              <w:adjustRightInd w:val="0"/>
              <w:snapToGrid w:val="0"/>
              <w:spacing w:line="360" w:lineRule="auto"/>
              <w:ind w:firstLine="480" w:firstLineChars="200"/>
              <w:rPr>
                <w:color w:val="auto"/>
                <w:sz w:val="24"/>
                <w:szCs w:val="28"/>
                <w:highlight w:val="none"/>
              </w:rPr>
            </w:pPr>
            <w:r>
              <w:rPr>
                <w:color w:val="auto"/>
                <w:sz w:val="24"/>
                <w:szCs w:val="28"/>
                <w:highlight w:val="none"/>
              </w:rPr>
              <w:t>根据本项目工程分析可知，项目营运期土壤、地下水影响源主要有：</w:t>
            </w:r>
          </w:p>
          <w:p w14:paraId="26E74024">
            <w:pPr>
              <w:autoSpaceDE w:val="0"/>
              <w:autoSpaceDN w:val="0"/>
              <w:adjustRightInd w:val="0"/>
              <w:spacing w:line="360" w:lineRule="auto"/>
              <w:ind w:firstLine="480" w:firstLineChars="200"/>
              <w:rPr>
                <w:color w:val="auto"/>
                <w:kern w:val="0"/>
                <w:sz w:val="24"/>
                <w:szCs w:val="20"/>
                <w:highlight w:val="none"/>
              </w:rPr>
            </w:pPr>
            <w:r>
              <w:rPr>
                <w:color w:val="auto"/>
                <w:kern w:val="0"/>
                <w:sz w:val="24"/>
                <w:szCs w:val="20"/>
                <w:highlight w:val="none"/>
              </w:rPr>
              <w:t>（1）原辅料</w:t>
            </w:r>
          </w:p>
          <w:p w14:paraId="565DD07C">
            <w:pPr>
              <w:autoSpaceDE w:val="0"/>
              <w:autoSpaceDN w:val="0"/>
              <w:adjustRightInd w:val="0"/>
              <w:spacing w:line="360" w:lineRule="auto"/>
              <w:ind w:firstLine="480" w:firstLineChars="200"/>
              <w:rPr>
                <w:color w:val="auto"/>
                <w:kern w:val="0"/>
                <w:sz w:val="24"/>
                <w:szCs w:val="20"/>
                <w:highlight w:val="none"/>
              </w:rPr>
            </w:pPr>
            <w:r>
              <w:rPr>
                <w:color w:val="auto"/>
                <w:kern w:val="0"/>
                <w:sz w:val="24"/>
                <w:szCs w:val="20"/>
                <w:highlight w:val="none"/>
              </w:rPr>
              <w:t>本项目生产过程中涉及使用</w:t>
            </w:r>
            <w:r>
              <w:rPr>
                <w:rFonts w:hint="eastAsia"/>
                <w:color w:val="auto"/>
                <w:kern w:val="0"/>
                <w:sz w:val="24"/>
                <w:szCs w:val="20"/>
                <w:highlight w:val="none"/>
                <w:lang w:eastAsia="zh-CN"/>
              </w:rPr>
              <w:t>润滑油、清洗剂</w:t>
            </w:r>
            <w:r>
              <w:rPr>
                <w:color w:val="auto"/>
                <w:kern w:val="0"/>
                <w:sz w:val="24"/>
                <w:szCs w:val="20"/>
                <w:highlight w:val="none"/>
              </w:rPr>
              <w:t>等原辅材料，上述原辅料主要成分为矿物油、有机物，不涉及重金属或持久性有机物，原料暂存区地面采取硬化措施，若原辅材料包装破裂原辅料会发生泄漏，</w:t>
            </w:r>
            <w:r>
              <w:rPr>
                <w:rFonts w:hint="eastAsia"/>
                <w:color w:val="auto"/>
                <w:kern w:val="0"/>
                <w:sz w:val="24"/>
                <w:szCs w:val="20"/>
                <w:highlight w:val="none"/>
                <w:lang w:val="en-US" w:eastAsia="zh-CN"/>
              </w:rPr>
              <w:t>润滑油</w:t>
            </w:r>
            <w:r>
              <w:rPr>
                <w:color w:val="auto"/>
                <w:kern w:val="0"/>
                <w:sz w:val="24"/>
                <w:szCs w:val="20"/>
                <w:highlight w:val="none"/>
              </w:rPr>
              <w:t>为有毒物质，考虑最不利情况，若地面破裂，则原料泄漏对土壤及地下水环境有一定的影响。</w:t>
            </w:r>
          </w:p>
          <w:p w14:paraId="141AFCD9">
            <w:pPr>
              <w:autoSpaceDE w:val="0"/>
              <w:autoSpaceDN w:val="0"/>
              <w:adjustRightInd w:val="0"/>
              <w:spacing w:line="360" w:lineRule="auto"/>
              <w:ind w:firstLine="480" w:firstLineChars="200"/>
              <w:rPr>
                <w:color w:val="auto"/>
                <w:kern w:val="0"/>
                <w:sz w:val="24"/>
                <w:szCs w:val="20"/>
                <w:highlight w:val="none"/>
              </w:rPr>
            </w:pPr>
            <w:r>
              <w:rPr>
                <w:color w:val="auto"/>
                <w:kern w:val="0"/>
                <w:sz w:val="24"/>
                <w:szCs w:val="20"/>
                <w:highlight w:val="none"/>
              </w:rPr>
              <w:t>（2）危废</w:t>
            </w:r>
          </w:p>
          <w:p w14:paraId="6A3B3BB3">
            <w:pPr>
              <w:autoSpaceDE w:val="0"/>
              <w:autoSpaceDN w:val="0"/>
              <w:adjustRightInd w:val="0"/>
              <w:spacing w:line="360" w:lineRule="auto"/>
              <w:ind w:firstLine="480" w:firstLineChars="200"/>
              <w:rPr>
                <w:rFonts w:ascii="Times New Roman" w:hAnsi="Times New Roman" w:cs="Times New Roman"/>
                <w:color w:val="auto"/>
                <w:kern w:val="0"/>
                <w:sz w:val="24"/>
                <w:szCs w:val="20"/>
                <w:highlight w:val="none"/>
              </w:rPr>
            </w:pPr>
            <w:r>
              <w:rPr>
                <w:rFonts w:ascii="Times New Roman" w:hAnsi="Times New Roman" w:cs="Times New Roman"/>
                <w:color w:val="auto"/>
                <w:kern w:val="0"/>
                <w:sz w:val="24"/>
                <w:szCs w:val="20"/>
                <w:highlight w:val="none"/>
              </w:rPr>
              <w:t>本项目产生的危废包括废</w:t>
            </w:r>
            <w:r>
              <w:rPr>
                <w:rFonts w:hint="eastAsia" w:cs="Times New Roman"/>
                <w:color w:val="auto"/>
                <w:kern w:val="0"/>
                <w:sz w:val="24"/>
                <w:szCs w:val="20"/>
                <w:highlight w:val="none"/>
                <w:lang w:eastAsia="zh-CN"/>
              </w:rPr>
              <w:t>润滑</w:t>
            </w:r>
            <w:r>
              <w:rPr>
                <w:rFonts w:ascii="Times New Roman" w:hAnsi="Times New Roman" w:cs="Times New Roman"/>
                <w:color w:val="auto"/>
                <w:kern w:val="0"/>
                <w:sz w:val="24"/>
                <w:szCs w:val="20"/>
                <w:highlight w:val="none"/>
              </w:rPr>
              <w:t>油</w:t>
            </w:r>
            <w:r>
              <w:rPr>
                <w:rFonts w:hint="eastAsia" w:cs="Times New Roman"/>
                <w:color w:val="auto"/>
                <w:kern w:val="0"/>
                <w:sz w:val="24"/>
                <w:szCs w:val="20"/>
                <w:highlight w:val="none"/>
                <w:lang w:val="en-US" w:eastAsia="zh-CN"/>
              </w:rPr>
              <w:t>等</w:t>
            </w:r>
            <w:r>
              <w:rPr>
                <w:rFonts w:ascii="Times New Roman" w:hAnsi="Times New Roman" w:cs="Times New Roman"/>
                <w:color w:val="auto"/>
                <w:kern w:val="0"/>
                <w:sz w:val="24"/>
                <w:szCs w:val="20"/>
                <w:highlight w:val="none"/>
              </w:rPr>
              <w:t>，各类废液均为密封桶装，危废仓库按照《危险废物贮存污染控制</w:t>
            </w:r>
            <w:r>
              <w:rPr>
                <w:rFonts w:hint="eastAsia" w:cs="Times New Roman"/>
                <w:color w:val="auto"/>
                <w:kern w:val="0"/>
                <w:sz w:val="24"/>
                <w:szCs w:val="20"/>
                <w:highlight w:val="none"/>
                <w:lang w:val="en-US" w:eastAsia="zh-CN"/>
              </w:rPr>
              <w:t>标准</w:t>
            </w:r>
            <w:r>
              <w:rPr>
                <w:rFonts w:ascii="Times New Roman" w:hAnsi="Times New Roman" w:cs="Times New Roman"/>
                <w:color w:val="auto"/>
                <w:kern w:val="0"/>
                <w:sz w:val="24"/>
                <w:szCs w:val="20"/>
                <w:highlight w:val="none"/>
              </w:rPr>
              <w:t>》（GB185</w:t>
            </w:r>
            <w:r>
              <w:rPr>
                <w:rFonts w:hint="eastAsia" w:cs="Times New Roman"/>
                <w:color w:val="auto"/>
                <w:kern w:val="0"/>
                <w:sz w:val="24"/>
                <w:szCs w:val="20"/>
                <w:highlight w:val="none"/>
                <w:lang w:val="en-US" w:eastAsia="zh-CN"/>
              </w:rPr>
              <w:t>97</w:t>
            </w:r>
            <w:r>
              <w:rPr>
                <w:rFonts w:ascii="Times New Roman" w:hAnsi="Times New Roman" w:cs="Times New Roman"/>
                <w:color w:val="auto"/>
                <w:kern w:val="0"/>
                <w:sz w:val="24"/>
                <w:szCs w:val="20"/>
                <w:highlight w:val="none"/>
              </w:rPr>
              <w:t>-20</w:t>
            </w:r>
            <w:r>
              <w:rPr>
                <w:rFonts w:hint="eastAsia" w:cs="Times New Roman"/>
                <w:color w:val="auto"/>
                <w:kern w:val="0"/>
                <w:sz w:val="24"/>
                <w:szCs w:val="20"/>
                <w:highlight w:val="none"/>
                <w:lang w:val="en-US" w:eastAsia="zh-CN"/>
              </w:rPr>
              <w:t>23</w:t>
            </w:r>
            <w:r>
              <w:rPr>
                <w:rFonts w:ascii="Times New Roman" w:hAnsi="Times New Roman" w:cs="Times New Roman"/>
                <w:color w:val="auto"/>
                <w:kern w:val="0"/>
                <w:sz w:val="24"/>
                <w:szCs w:val="20"/>
                <w:highlight w:val="none"/>
              </w:rPr>
              <w:t>）要求设置，做到了防漏、防渗。考虑最不利条件情景预测，即危废包装被外力损伤破裂，且地面防渗设施破损，则液态危废短时间内会泄漏并沿地面漫流渗入裸露土壤，进而可能对地下水也产生一定影响。</w:t>
            </w:r>
          </w:p>
          <w:p w14:paraId="3CB6E2C6">
            <w:pPr>
              <w:wordWrap w:val="0"/>
              <w:adjustRightInd w:val="0"/>
              <w:snapToGrid w:val="0"/>
              <w:spacing w:line="360" w:lineRule="auto"/>
              <w:ind w:firstLine="480" w:firstLineChars="200"/>
              <w:rPr>
                <w:color w:val="auto"/>
                <w:kern w:val="0"/>
                <w:sz w:val="24"/>
                <w:szCs w:val="20"/>
                <w:highlight w:val="none"/>
              </w:rPr>
            </w:pPr>
            <w:r>
              <w:rPr>
                <w:color w:val="auto"/>
                <w:kern w:val="0"/>
                <w:sz w:val="24"/>
                <w:szCs w:val="20"/>
                <w:highlight w:val="none"/>
              </w:rPr>
              <w:t>因此本次评价，主要考虑液态原料和危废地面漫流对土壤及地下水的影响。</w:t>
            </w:r>
          </w:p>
          <w:p w14:paraId="7DEF9707">
            <w:pPr>
              <w:adjustRightInd w:val="0"/>
              <w:snapToGrid w:val="0"/>
              <w:spacing w:line="360" w:lineRule="auto"/>
              <w:ind w:firstLine="482" w:firstLineChars="200"/>
              <w:jc w:val="left"/>
              <w:rPr>
                <w:b/>
                <w:color w:val="auto"/>
                <w:sz w:val="24"/>
                <w:szCs w:val="28"/>
                <w:highlight w:val="none"/>
              </w:rPr>
            </w:pPr>
            <w:r>
              <w:rPr>
                <w:rFonts w:eastAsiaTheme="minorEastAsia"/>
                <w:b/>
                <w:color w:val="auto"/>
                <w:kern w:val="0"/>
                <w:sz w:val="24"/>
                <w:highlight w:val="none"/>
              </w:rPr>
              <w:t xml:space="preserve">2 </w:t>
            </w:r>
            <w:r>
              <w:rPr>
                <w:b/>
                <w:color w:val="auto"/>
                <w:sz w:val="24"/>
                <w:szCs w:val="28"/>
                <w:highlight w:val="none"/>
              </w:rPr>
              <w:t>防控措施</w:t>
            </w:r>
          </w:p>
          <w:p w14:paraId="1706D07E">
            <w:pPr>
              <w:spacing w:line="360" w:lineRule="auto"/>
              <w:ind w:firstLine="480" w:firstLineChars="200"/>
              <w:rPr>
                <w:b/>
                <w:color w:val="auto"/>
                <w:sz w:val="24"/>
                <w:highlight w:val="none"/>
              </w:rPr>
            </w:pPr>
            <w:r>
              <w:rPr>
                <w:color w:val="auto"/>
                <w:sz w:val="24"/>
                <w:highlight w:val="none"/>
              </w:rPr>
              <w:t>对厂区及各装置设施采取严格的防渗措施。防渗处理是防止地下水污染的重要环保保护措施，也是杜绝地下水污染的最后一道防线，依据项目区域水文地质情况及项目特点，提出如下污染防治措施及防渗要求。</w:t>
            </w:r>
          </w:p>
          <w:p w14:paraId="17C07966">
            <w:pPr>
              <w:spacing w:line="360" w:lineRule="auto"/>
              <w:ind w:firstLine="480" w:firstLineChars="200"/>
              <w:rPr>
                <w:b/>
                <w:color w:val="auto"/>
                <w:sz w:val="24"/>
                <w:highlight w:val="none"/>
              </w:rPr>
            </w:pPr>
            <w:r>
              <w:rPr>
                <w:color w:val="auto"/>
                <w:sz w:val="24"/>
                <w:highlight w:val="none"/>
              </w:rPr>
              <w:t>厂区应划分为重点防渗区</w:t>
            </w:r>
            <w:r>
              <w:rPr>
                <w:rFonts w:hint="eastAsia"/>
                <w:color w:val="auto"/>
                <w:sz w:val="24"/>
                <w:highlight w:val="none"/>
                <w:lang w:val="en-US" w:eastAsia="zh-CN"/>
              </w:rPr>
              <w:t>和</w:t>
            </w:r>
            <w:r>
              <w:rPr>
                <w:color w:val="auto"/>
                <w:sz w:val="24"/>
                <w:highlight w:val="none"/>
              </w:rPr>
              <w:t>一般防渗区，不同的污染物区，采取不同等级的防渗措施，并确保其可靠性和有效性。一般污染区的防渗设计应满足《一般工业固体废物贮存和填埋污染控制标准》（GB18599-2020），重点及特殊污染区的防渗设计应满足《危险废物填埋污染控制标准》（GB</w:t>
            </w:r>
            <w:r>
              <w:rPr>
                <w:rFonts w:hint="eastAsia"/>
                <w:color w:val="auto"/>
                <w:sz w:val="24"/>
                <w:highlight w:val="none"/>
                <w:lang w:val="en-US" w:eastAsia="zh-CN"/>
              </w:rPr>
              <w:t>1</w:t>
            </w:r>
            <w:r>
              <w:rPr>
                <w:color w:val="auto"/>
                <w:sz w:val="24"/>
                <w:highlight w:val="none"/>
              </w:rPr>
              <w:t>8598-2019）。</w:t>
            </w:r>
          </w:p>
          <w:p w14:paraId="6D51F82A">
            <w:pPr>
              <w:spacing w:line="360" w:lineRule="auto"/>
              <w:ind w:firstLine="480" w:firstLineChars="200"/>
              <w:rPr>
                <w:color w:val="auto"/>
                <w:sz w:val="24"/>
                <w:highlight w:val="none"/>
              </w:rPr>
            </w:pPr>
            <w:r>
              <w:rPr>
                <w:color w:val="auto"/>
                <w:sz w:val="24"/>
                <w:highlight w:val="none"/>
              </w:rPr>
              <w:t>厂区防渗分区划分及防渗技术要求见表4-</w:t>
            </w:r>
            <w:r>
              <w:rPr>
                <w:rFonts w:hint="eastAsia"/>
                <w:color w:val="auto"/>
                <w:sz w:val="24"/>
                <w:highlight w:val="none"/>
                <w:lang w:val="en-US" w:eastAsia="zh-CN"/>
              </w:rPr>
              <w:t>23</w:t>
            </w:r>
            <w:r>
              <w:rPr>
                <w:color w:val="auto"/>
                <w:sz w:val="24"/>
                <w:highlight w:val="none"/>
              </w:rPr>
              <w:t>，本项目依托现有采取的各项防渗措施具体见表4-</w:t>
            </w:r>
            <w:r>
              <w:rPr>
                <w:rFonts w:hint="eastAsia"/>
                <w:color w:val="auto"/>
                <w:sz w:val="24"/>
                <w:highlight w:val="none"/>
              </w:rPr>
              <w:t>2</w:t>
            </w:r>
            <w:r>
              <w:rPr>
                <w:rFonts w:hint="eastAsia"/>
                <w:color w:val="auto"/>
                <w:sz w:val="24"/>
                <w:highlight w:val="none"/>
                <w:lang w:val="en-US" w:eastAsia="zh-CN"/>
              </w:rPr>
              <w:t>4</w:t>
            </w:r>
            <w:r>
              <w:rPr>
                <w:color w:val="auto"/>
                <w:sz w:val="24"/>
                <w:highlight w:val="none"/>
              </w:rPr>
              <w:t>。</w:t>
            </w:r>
          </w:p>
          <w:p w14:paraId="4F447DF3">
            <w:pPr>
              <w:jc w:val="center"/>
              <w:rPr>
                <w:b/>
                <w:color w:val="auto"/>
                <w:sz w:val="24"/>
                <w:highlight w:val="none"/>
              </w:rPr>
            </w:pPr>
            <w:r>
              <w:rPr>
                <w:b/>
                <w:color w:val="auto"/>
                <w:sz w:val="24"/>
                <w:highlight w:val="none"/>
              </w:rPr>
              <w:t>表4-</w:t>
            </w:r>
            <w:r>
              <w:rPr>
                <w:rFonts w:hint="eastAsia"/>
                <w:b/>
                <w:color w:val="auto"/>
                <w:sz w:val="24"/>
                <w:highlight w:val="none"/>
                <w:lang w:val="en-US" w:eastAsia="zh-CN"/>
              </w:rPr>
              <w:t>23</w:t>
            </w:r>
            <w:r>
              <w:rPr>
                <w:b/>
                <w:color w:val="auto"/>
                <w:sz w:val="24"/>
                <w:highlight w:val="none"/>
              </w:rPr>
              <w:t xml:space="preserve"> 企业污染区划分及防渗要求</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autofit"/>
              <w:tblCellMar>
                <w:top w:w="0" w:type="dxa"/>
                <w:left w:w="28" w:type="dxa"/>
                <w:bottom w:w="0" w:type="dxa"/>
                <w:right w:w="28" w:type="dxa"/>
              </w:tblCellMar>
            </w:tblPr>
            <w:tblGrid>
              <w:gridCol w:w="1108"/>
              <w:gridCol w:w="1647"/>
              <w:gridCol w:w="958"/>
              <w:gridCol w:w="958"/>
              <w:gridCol w:w="688"/>
              <w:gridCol w:w="1644"/>
              <w:gridCol w:w="1481"/>
            </w:tblGrid>
            <w:tr w14:paraId="3DBC1BB9">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1106" w:type="dxa"/>
                  <w:tcBorders>
                    <w:bottom w:val="single" w:color="auto" w:sz="12" w:space="0"/>
                  </w:tcBorders>
                  <w:vAlign w:val="center"/>
                </w:tcPr>
                <w:p w14:paraId="543ED065">
                  <w:pPr>
                    <w:pStyle w:val="86"/>
                    <w:adjustRightInd w:val="0"/>
                    <w:snapToGrid w:val="0"/>
                    <w:rPr>
                      <w:b/>
                      <w:color w:val="auto"/>
                      <w:sz w:val="21"/>
                      <w:szCs w:val="21"/>
                      <w:highlight w:val="none"/>
                    </w:rPr>
                  </w:pPr>
                  <w:r>
                    <w:rPr>
                      <w:b/>
                      <w:color w:val="auto"/>
                      <w:sz w:val="21"/>
                      <w:szCs w:val="21"/>
                      <w:highlight w:val="none"/>
                    </w:rPr>
                    <w:t>防渗分区</w:t>
                  </w:r>
                </w:p>
              </w:tc>
              <w:tc>
                <w:tcPr>
                  <w:tcW w:w="1644" w:type="dxa"/>
                  <w:tcBorders>
                    <w:bottom w:val="single" w:color="auto" w:sz="12" w:space="0"/>
                  </w:tcBorders>
                  <w:vAlign w:val="center"/>
                </w:tcPr>
                <w:p w14:paraId="5877B0B9">
                  <w:pPr>
                    <w:pStyle w:val="86"/>
                    <w:adjustRightInd w:val="0"/>
                    <w:snapToGrid w:val="0"/>
                    <w:rPr>
                      <w:b/>
                      <w:color w:val="auto"/>
                      <w:sz w:val="21"/>
                      <w:szCs w:val="21"/>
                      <w:highlight w:val="none"/>
                    </w:rPr>
                  </w:pPr>
                  <w:r>
                    <w:rPr>
                      <w:b/>
                      <w:color w:val="auto"/>
                      <w:sz w:val="21"/>
                      <w:szCs w:val="21"/>
                      <w:highlight w:val="none"/>
                    </w:rPr>
                    <w:t>定义</w:t>
                  </w:r>
                </w:p>
              </w:tc>
              <w:tc>
                <w:tcPr>
                  <w:tcW w:w="956" w:type="dxa"/>
                  <w:tcBorders>
                    <w:bottom w:val="single" w:color="auto" w:sz="12" w:space="0"/>
                  </w:tcBorders>
                  <w:vAlign w:val="center"/>
                </w:tcPr>
                <w:p w14:paraId="4E3DF04C">
                  <w:pPr>
                    <w:pStyle w:val="86"/>
                    <w:adjustRightInd w:val="0"/>
                    <w:snapToGrid w:val="0"/>
                    <w:rPr>
                      <w:b/>
                      <w:color w:val="auto"/>
                      <w:sz w:val="21"/>
                      <w:szCs w:val="21"/>
                      <w:highlight w:val="none"/>
                    </w:rPr>
                  </w:pPr>
                  <w:r>
                    <w:rPr>
                      <w:b/>
                      <w:color w:val="auto"/>
                      <w:sz w:val="21"/>
                      <w:szCs w:val="21"/>
                      <w:highlight w:val="none"/>
                    </w:rPr>
                    <w:t>包气带防污性能</w:t>
                  </w:r>
                </w:p>
              </w:tc>
              <w:tc>
                <w:tcPr>
                  <w:tcW w:w="956" w:type="dxa"/>
                  <w:tcBorders>
                    <w:bottom w:val="single" w:color="auto" w:sz="12" w:space="0"/>
                  </w:tcBorders>
                  <w:vAlign w:val="center"/>
                </w:tcPr>
                <w:p w14:paraId="5BF97411">
                  <w:pPr>
                    <w:pStyle w:val="86"/>
                    <w:adjustRightInd w:val="0"/>
                    <w:snapToGrid w:val="0"/>
                    <w:rPr>
                      <w:b/>
                      <w:color w:val="auto"/>
                      <w:sz w:val="21"/>
                      <w:szCs w:val="21"/>
                      <w:highlight w:val="none"/>
                    </w:rPr>
                  </w:pPr>
                  <w:r>
                    <w:rPr>
                      <w:b/>
                      <w:color w:val="auto"/>
                      <w:sz w:val="21"/>
                      <w:szCs w:val="21"/>
                      <w:highlight w:val="none"/>
                    </w:rPr>
                    <w:t>污染控制难易程度</w:t>
                  </w:r>
                </w:p>
              </w:tc>
              <w:tc>
                <w:tcPr>
                  <w:tcW w:w="687" w:type="dxa"/>
                  <w:tcBorders>
                    <w:bottom w:val="single" w:color="auto" w:sz="12" w:space="0"/>
                  </w:tcBorders>
                  <w:vAlign w:val="center"/>
                </w:tcPr>
                <w:p w14:paraId="4F340D12">
                  <w:pPr>
                    <w:pStyle w:val="86"/>
                    <w:adjustRightInd w:val="0"/>
                    <w:snapToGrid w:val="0"/>
                    <w:rPr>
                      <w:b/>
                      <w:color w:val="auto"/>
                      <w:sz w:val="21"/>
                      <w:szCs w:val="21"/>
                      <w:highlight w:val="none"/>
                    </w:rPr>
                  </w:pPr>
                  <w:r>
                    <w:rPr>
                      <w:b/>
                      <w:color w:val="auto"/>
                      <w:sz w:val="21"/>
                      <w:szCs w:val="21"/>
                      <w:highlight w:val="none"/>
                    </w:rPr>
                    <w:t>污染物类型</w:t>
                  </w:r>
                </w:p>
              </w:tc>
              <w:tc>
                <w:tcPr>
                  <w:tcW w:w="1641" w:type="dxa"/>
                  <w:tcBorders>
                    <w:bottom w:val="single" w:color="auto" w:sz="12" w:space="0"/>
                  </w:tcBorders>
                  <w:vAlign w:val="center"/>
                </w:tcPr>
                <w:p w14:paraId="227B1333">
                  <w:pPr>
                    <w:pStyle w:val="86"/>
                    <w:adjustRightInd w:val="0"/>
                    <w:snapToGrid w:val="0"/>
                    <w:rPr>
                      <w:b/>
                      <w:color w:val="auto"/>
                      <w:sz w:val="21"/>
                      <w:szCs w:val="21"/>
                      <w:highlight w:val="none"/>
                    </w:rPr>
                  </w:pPr>
                  <w:r>
                    <w:rPr>
                      <w:b/>
                      <w:color w:val="auto"/>
                      <w:sz w:val="21"/>
                      <w:szCs w:val="21"/>
                      <w:highlight w:val="none"/>
                    </w:rPr>
                    <w:t>厂内分区</w:t>
                  </w:r>
                </w:p>
              </w:tc>
              <w:tc>
                <w:tcPr>
                  <w:tcW w:w="1477" w:type="dxa"/>
                  <w:tcBorders>
                    <w:bottom w:val="single" w:color="auto" w:sz="12" w:space="0"/>
                  </w:tcBorders>
                  <w:vAlign w:val="center"/>
                </w:tcPr>
                <w:p w14:paraId="038FB9C5">
                  <w:pPr>
                    <w:pStyle w:val="86"/>
                    <w:adjustRightInd w:val="0"/>
                    <w:snapToGrid w:val="0"/>
                    <w:rPr>
                      <w:b/>
                      <w:color w:val="auto"/>
                      <w:sz w:val="21"/>
                      <w:szCs w:val="21"/>
                      <w:highlight w:val="none"/>
                    </w:rPr>
                  </w:pPr>
                  <w:r>
                    <w:rPr>
                      <w:b/>
                      <w:color w:val="auto"/>
                      <w:sz w:val="21"/>
                      <w:szCs w:val="21"/>
                      <w:highlight w:val="none"/>
                    </w:rPr>
                    <w:t>防渗技术要求</w:t>
                  </w:r>
                </w:p>
              </w:tc>
            </w:tr>
            <w:tr w14:paraId="4075981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1106" w:type="dxa"/>
                  <w:tcBorders>
                    <w:top w:val="single" w:color="auto" w:sz="12" w:space="0"/>
                    <w:tl2br w:val="nil"/>
                    <w:tr2bl w:val="nil"/>
                  </w:tcBorders>
                  <w:vAlign w:val="center"/>
                </w:tcPr>
                <w:p w14:paraId="39CA315B">
                  <w:pPr>
                    <w:pStyle w:val="86"/>
                    <w:adjustRightInd w:val="0"/>
                    <w:snapToGrid w:val="0"/>
                    <w:rPr>
                      <w:color w:val="auto"/>
                      <w:sz w:val="21"/>
                      <w:szCs w:val="21"/>
                      <w:highlight w:val="none"/>
                    </w:rPr>
                  </w:pPr>
                  <w:r>
                    <w:rPr>
                      <w:color w:val="auto"/>
                      <w:sz w:val="21"/>
                      <w:szCs w:val="21"/>
                      <w:highlight w:val="none"/>
                    </w:rPr>
                    <w:t>重点防渗区</w:t>
                  </w:r>
                </w:p>
              </w:tc>
              <w:tc>
                <w:tcPr>
                  <w:tcW w:w="1644" w:type="dxa"/>
                  <w:tcBorders>
                    <w:top w:val="single" w:color="auto" w:sz="12" w:space="0"/>
                    <w:tl2br w:val="nil"/>
                    <w:tr2bl w:val="nil"/>
                  </w:tcBorders>
                  <w:vAlign w:val="center"/>
                </w:tcPr>
                <w:p w14:paraId="3ED36A48">
                  <w:pPr>
                    <w:pStyle w:val="86"/>
                    <w:adjustRightInd w:val="0"/>
                    <w:snapToGrid w:val="0"/>
                    <w:rPr>
                      <w:color w:val="auto"/>
                      <w:sz w:val="21"/>
                      <w:szCs w:val="21"/>
                      <w:highlight w:val="none"/>
                    </w:rPr>
                  </w:pPr>
                  <w:r>
                    <w:rPr>
                      <w:color w:val="auto"/>
                      <w:sz w:val="21"/>
                      <w:szCs w:val="21"/>
                      <w:highlight w:val="none"/>
                    </w:rPr>
                    <w:t>危害性大、毒性较大的生产装置区、物料</w:t>
                  </w:r>
                  <w:r>
                    <w:rPr>
                      <w:rFonts w:hint="eastAsia"/>
                      <w:color w:val="auto"/>
                      <w:sz w:val="21"/>
                      <w:szCs w:val="21"/>
                      <w:highlight w:val="none"/>
                      <w:lang w:eastAsia="zh-CN"/>
                    </w:rPr>
                    <w:t>钢</w:t>
                  </w:r>
                  <w:r>
                    <w:rPr>
                      <w:rFonts w:hint="eastAsia"/>
                      <w:color w:val="auto"/>
                      <w:sz w:val="21"/>
                      <w:szCs w:val="21"/>
                      <w:highlight w:val="none"/>
                      <w:lang w:val="en-US" w:eastAsia="zh-CN"/>
                    </w:rPr>
                    <w:t>储罐</w:t>
                  </w:r>
                  <w:r>
                    <w:rPr>
                      <w:color w:val="auto"/>
                      <w:sz w:val="21"/>
                      <w:szCs w:val="21"/>
                      <w:highlight w:val="none"/>
                    </w:rPr>
                    <w:t>区、化学品库、汽车液体产品装卸区，循环冷却水池等</w:t>
                  </w:r>
                </w:p>
              </w:tc>
              <w:tc>
                <w:tcPr>
                  <w:tcW w:w="956" w:type="dxa"/>
                  <w:tcBorders>
                    <w:top w:val="single" w:color="auto" w:sz="12" w:space="0"/>
                    <w:tl2br w:val="nil"/>
                    <w:tr2bl w:val="nil"/>
                  </w:tcBorders>
                  <w:vAlign w:val="center"/>
                </w:tcPr>
                <w:p w14:paraId="4A4782B2">
                  <w:pPr>
                    <w:pStyle w:val="86"/>
                    <w:adjustRightInd w:val="0"/>
                    <w:snapToGrid w:val="0"/>
                    <w:rPr>
                      <w:color w:val="auto"/>
                      <w:sz w:val="21"/>
                      <w:szCs w:val="21"/>
                      <w:highlight w:val="none"/>
                    </w:rPr>
                  </w:pPr>
                  <w:r>
                    <w:rPr>
                      <w:color w:val="auto"/>
                      <w:sz w:val="21"/>
                      <w:szCs w:val="21"/>
                      <w:highlight w:val="none"/>
                    </w:rPr>
                    <w:t>弱</w:t>
                  </w:r>
                </w:p>
              </w:tc>
              <w:tc>
                <w:tcPr>
                  <w:tcW w:w="956" w:type="dxa"/>
                  <w:tcBorders>
                    <w:top w:val="single" w:color="auto" w:sz="12" w:space="0"/>
                    <w:tl2br w:val="nil"/>
                    <w:tr2bl w:val="nil"/>
                  </w:tcBorders>
                  <w:vAlign w:val="center"/>
                </w:tcPr>
                <w:p w14:paraId="288CF3CB">
                  <w:pPr>
                    <w:pStyle w:val="86"/>
                    <w:adjustRightInd w:val="0"/>
                    <w:snapToGrid w:val="0"/>
                    <w:rPr>
                      <w:color w:val="auto"/>
                      <w:sz w:val="21"/>
                      <w:szCs w:val="21"/>
                      <w:highlight w:val="none"/>
                    </w:rPr>
                  </w:pPr>
                  <w:r>
                    <w:rPr>
                      <w:color w:val="auto"/>
                      <w:sz w:val="21"/>
                      <w:szCs w:val="21"/>
                      <w:highlight w:val="none"/>
                    </w:rPr>
                    <w:t>难</w:t>
                  </w:r>
                </w:p>
              </w:tc>
              <w:tc>
                <w:tcPr>
                  <w:tcW w:w="687" w:type="dxa"/>
                  <w:tcBorders>
                    <w:top w:val="single" w:color="auto" w:sz="12" w:space="0"/>
                    <w:tl2br w:val="nil"/>
                    <w:tr2bl w:val="nil"/>
                  </w:tcBorders>
                  <w:vAlign w:val="center"/>
                </w:tcPr>
                <w:p w14:paraId="0156ADF2">
                  <w:pPr>
                    <w:pStyle w:val="86"/>
                    <w:adjustRightInd w:val="0"/>
                    <w:snapToGrid w:val="0"/>
                    <w:rPr>
                      <w:color w:val="auto"/>
                      <w:sz w:val="21"/>
                      <w:szCs w:val="21"/>
                      <w:highlight w:val="none"/>
                    </w:rPr>
                  </w:pPr>
                  <w:r>
                    <w:rPr>
                      <w:color w:val="auto"/>
                      <w:sz w:val="21"/>
                      <w:szCs w:val="21"/>
                      <w:highlight w:val="none"/>
                    </w:rPr>
                    <w:t>持久性污染物</w:t>
                  </w:r>
                </w:p>
              </w:tc>
              <w:tc>
                <w:tcPr>
                  <w:tcW w:w="1641" w:type="dxa"/>
                  <w:tcBorders>
                    <w:top w:val="single" w:color="auto" w:sz="12" w:space="0"/>
                    <w:tl2br w:val="nil"/>
                    <w:tr2bl w:val="nil"/>
                  </w:tcBorders>
                  <w:vAlign w:val="center"/>
                </w:tcPr>
                <w:p w14:paraId="7F8FBCCB">
                  <w:pPr>
                    <w:pStyle w:val="86"/>
                    <w:adjustRightInd w:val="0"/>
                    <w:snapToGrid w:val="0"/>
                    <w:rPr>
                      <w:rFonts w:hint="eastAsia" w:eastAsia="宋体"/>
                      <w:color w:val="auto"/>
                      <w:sz w:val="21"/>
                      <w:szCs w:val="21"/>
                      <w:highlight w:val="none"/>
                      <w:lang w:val="en-US" w:eastAsia="zh-CN"/>
                    </w:rPr>
                  </w:pPr>
                  <w:r>
                    <w:rPr>
                      <w:color w:val="auto"/>
                      <w:sz w:val="21"/>
                      <w:szCs w:val="21"/>
                      <w:highlight w:val="none"/>
                    </w:rPr>
                    <w:t>危废仓库</w:t>
                  </w:r>
                </w:p>
              </w:tc>
              <w:tc>
                <w:tcPr>
                  <w:tcW w:w="1477" w:type="dxa"/>
                  <w:tcBorders>
                    <w:top w:val="single" w:color="auto" w:sz="12" w:space="0"/>
                    <w:tl2br w:val="nil"/>
                    <w:tr2bl w:val="nil"/>
                  </w:tcBorders>
                  <w:vAlign w:val="center"/>
                </w:tcPr>
                <w:p w14:paraId="7D52B54C">
                  <w:pPr>
                    <w:pStyle w:val="86"/>
                    <w:adjustRightInd w:val="0"/>
                    <w:snapToGrid w:val="0"/>
                    <w:rPr>
                      <w:color w:val="auto"/>
                      <w:sz w:val="21"/>
                      <w:szCs w:val="21"/>
                      <w:highlight w:val="none"/>
                    </w:rPr>
                  </w:pPr>
                  <w:r>
                    <w:rPr>
                      <w:color w:val="auto"/>
                      <w:sz w:val="21"/>
                      <w:szCs w:val="21"/>
                      <w:highlight w:val="none"/>
                    </w:rPr>
                    <w:t>等效黏土防渗层Mb≥6.0m，1米厚粘土层K≤1×10</w:t>
                  </w:r>
                  <w:r>
                    <w:rPr>
                      <w:color w:val="auto"/>
                      <w:sz w:val="21"/>
                      <w:szCs w:val="21"/>
                      <w:highlight w:val="none"/>
                      <w:vertAlign w:val="superscript"/>
                    </w:rPr>
                    <w:t>-7</w:t>
                  </w:r>
                  <w:r>
                    <w:rPr>
                      <w:color w:val="auto"/>
                      <w:sz w:val="21"/>
                      <w:szCs w:val="21"/>
                      <w:highlight w:val="none"/>
                    </w:rPr>
                    <w:t>cm/s；或参照GB18598执行</w:t>
                  </w:r>
                </w:p>
              </w:tc>
            </w:tr>
            <w:tr w14:paraId="6860FCE8">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1106" w:type="dxa"/>
                  <w:tcBorders>
                    <w:tl2br w:val="nil"/>
                    <w:tr2bl w:val="nil"/>
                  </w:tcBorders>
                  <w:vAlign w:val="center"/>
                </w:tcPr>
                <w:p w14:paraId="7787277F">
                  <w:pPr>
                    <w:pStyle w:val="86"/>
                    <w:adjustRightInd w:val="0"/>
                    <w:snapToGrid w:val="0"/>
                    <w:rPr>
                      <w:color w:val="auto"/>
                      <w:sz w:val="21"/>
                      <w:szCs w:val="21"/>
                      <w:highlight w:val="none"/>
                    </w:rPr>
                  </w:pPr>
                  <w:r>
                    <w:rPr>
                      <w:color w:val="auto"/>
                      <w:sz w:val="21"/>
                      <w:szCs w:val="21"/>
                      <w:highlight w:val="none"/>
                    </w:rPr>
                    <w:t>一般防渗区</w:t>
                  </w:r>
                </w:p>
              </w:tc>
              <w:tc>
                <w:tcPr>
                  <w:tcW w:w="1644" w:type="dxa"/>
                  <w:tcBorders>
                    <w:tl2br w:val="nil"/>
                    <w:tr2bl w:val="nil"/>
                  </w:tcBorders>
                  <w:vAlign w:val="center"/>
                </w:tcPr>
                <w:p w14:paraId="4BF9F123">
                  <w:pPr>
                    <w:pStyle w:val="86"/>
                    <w:adjustRightInd w:val="0"/>
                    <w:snapToGrid w:val="0"/>
                    <w:rPr>
                      <w:color w:val="auto"/>
                      <w:sz w:val="21"/>
                      <w:szCs w:val="21"/>
                      <w:highlight w:val="none"/>
                    </w:rPr>
                  </w:pPr>
                  <w:r>
                    <w:rPr>
                      <w:color w:val="auto"/>
                      <w:sz w:val="21"/>
                      <w:szCs w:val="21"/>
                      <w:highlight w:val="none"/>
                    </w:rPr>
                    <w:t>无毒性或毒性小的生产装置区、装置区外管廊区</w:t>
                  </w:r>
                </w:p>
              </w:tc>
              <w:tc>
                <w:tcPr>
                  <w:tcW w:w="956" w:type="dxa"/>
                  <w:tcBorders>
                    <w:tl2br w:val="nil"/>
                    <w:tr2bl w:val="nil"/>
                  </w:tcBorders>
                  <w:vAlign w:val="center"/>
                </w:tcPr>
                <w:p w14:paraId="64AA2D93">
                  <w:pPr>
                    <w:pStyle w:val="86"/>
                    <w:adjustRightInd w:val="0"/>
                    <w:snapToGrid w:val="0"/>
                    <w:rPr>
                      <w:color w:val="auto"/>
                      <w:sz w:val="21"/>
                      <w:szCs w:val="21"/>
                      <w:highlight w:val="none"/>
                    </w:rPr>
                  </w:pPr>
                  <w:r>
                    <w:rPr>
                      <w:color w:val="auto"/>
                      <w:sz w:val="21"/>
                      <w:szCs w:val="21"/>
                      <w:highlight w:val="none"/>
                    </w:rPr>
                    <w:t>弱</w:t>
                  </w:r>
                </w:p>
              </w:tc>
              <w:tc>
                <w:tcPr>
                  <w:tcW w:w="956" w:type="dxa"/>
                  <w:tcBorders>
                    <w:tl2br w:val="nil"/>
                    <w:tr2bl w:val="nil"/>
                  </w:tcBorders>
                  <w:vAlign w:val="center"/>
                </w:tcPr>
                <w:p w14:paraId="0B4A26D0">
                  <w:pPr>
                    <w:pStyle w:val="86"/>
                    <w:adjustRightInd w:val="0"/>
                    <w:snapToGrid w:val="0"/>
                    <w:rPr>
                      <w:color w:val="auto"/>
                      <w:sz w:val="21"/>
                      <w:szCs w:val="21"/>
                      <w:highlight w:val="none"/>
                    </w:rPr>
                  </w:pPr>
                  <w:r>
                    <w:rPr>
                      <w:color w:val="auto"/>
                      <w:sz w:val="21"/>
                      <w:szCs w:val="21"/>
                      <w:highlight w:val="none"/>
                    </w:rPr>
                    <w:t>易</w:t>
                  </w:r>
                </w:p>
              </w:tc>
              <w:tc>
                <w:tcPr>
                  <w:tcW w:w="687" w:type="dxa"/>
                  <w:tcBorders>
                    <w:tl2br w:val="nil"/>
                    <w:tr2bl w:val="nil"/>
                  </w:tcBorders>
                  <w:vAlign w:val="center"/>
                </w:tcPr>
                <w:p w14:paraId="783A59E1">
                  <w:pPr>
                    <w:pStyle w:val="86"/>
                    <w:adjustRightInd w:val="0"/>
                    <w:snapToGrid w:val="0"/>
                    <w:rPr>
                      <w:color w:val="auto"/>
                      <w:sz w:val="21"/>
                      <w:szCs w:val="21"/>
                      <w:highlight w:val="none"/>
                    </w:rPr>
                  </w:pPr>
                  <w:r>
                    <w:rPr>
                      <w:color w:val="auto"/>
                      <w:sz w:val="21"/>
                      <w:szCs w:val="21"/>
                      <w:highlight w:val="none"/>
                    </w:rPr>
                    <w:t>其他类型</w:t>
                  </w:r>
                </w:p>
              </w:tc>
              <w:tc>
                <w:tcPr>
                  <w:tcW w:w="1641" w:type="dxa"/>
                  <w:tcBorders>
                    <w:tl2br w:val="nil"/>
                    <w:tr2bl w:val="nil"/>
                  </w:tcBorders>
                  <w:vAlign w:val="center"/>
                </w:tcPr>
                <w:p w14:paraId="3DCE60D3">
                  <w:pPr>
                    <w:pStyle w:val="86"/>
                    <w:adjustRightInd w:val="0"/>
                    <w:snapToGrid w:val="0"/>
                    <w:rPr>
                      <w:rFonts w:hint="eastAsia" w:eastAsia="宋体"/>
                      <w:color w:val="auto"/>
                      <w:sz w:val="21"/>
                      <w:szCs w:val="21"/>
                      <w:highlight w:val="none"/>
                      <w:lang w:eastAsia="zh-CN"/>
                    </w:rPr>
                  </w:pPr>
                  <w:r>
                    <w:rPr>
                      <w:color w:val="auto"/>
                      <w:sz w:val="21"/>
                      <w:szCs w:val="21"/>
                      <w:highlight w:val="none"/>
                    </w:rPr>
                    <w:t>一般固废暂存区</w:t>
                  </w:r>
                  <w:r>
                    <w:rPr>
                      <w:rFonts w:hint="eastAsia"/>
                      <w:color w:val="auto"/>
                      <w:sz w:val="21"/>
                      <w:szCs w:val="21"/>
                      <w:highlight w:val="none"/>
                      <w:lang w:val="en-US" w:eastAsia="zh-CN"/>
                    </w:rPr>
                    <w:t>等</w:t>
                  </w:r>
                </w:p>
              </w:tc>
              <w:tc>
                <w:tcPr>
                  <w:tcW w:w="1477" w:type="dxa"/>
                  <w:tcBorders>
                    <w:tl2br w:val="nil"/>
                    <w:tr2bl w:val="nil"/>
                  </w:tcBorders>
                  <w:vAlign w:val="center"/>
                </w:tcPr>
                <w:p w14:paraId="39CFF974">
                  <w:pPr>
                    <w:pStyle w:val="86"/>
                    <w:adjustRightInd w:val="0"/>
                    <w:snapToGrid w:val="0"/>
                    <w:rPr>
                      <w:color w:val="auto"/>
                      <w:sz w:val="21"/>
                      <w:szCs w:val="21"/>
                      <w:highlight w:val="none"/>
                    </w:rPr>
                  </w:pPr>
                  <w:r>
                    <w:rPr>
                      <w:color w:val="auto"/>
                      <w:sz w:val="21"/>
                      <w:szCs w:val="21"/>
                      <w:highlight w:val="none"/>
                    </w:rPr>
                    <w:t>等效黏土防渗层Mb≥1.5m，K≤1×10</w:t>
                  </w:r>
                  <w:r>
                    <w:rPr>
                      <w:color w:val="auto"/>
                      <w:sz w:val="21"/>
                      <w:szCs w:val="21"/>
                      <w:highlight w:val="none"/>
                      <w:vertAlign w:val="superscript"/>
                    </w:rPr>
                    <w:t>-7</w:t>
                  </w:r>
                  <w:r>
                    <w:rPr>
                      <w:color w:val="auto"/>
                      <w:sz w:val="21"/>
                      <w:szCs w:val="21"/>
                      <w:highlight w:val="none"/>
                    </w:rPr>
                    <w:t>cm/s；或参照GB18598执行</w:t>
                  </w:r>
                </w:p>
              </w:tc>
            </w:tr>
          </w:tbl>
          <w:p w14:paraId="02A7CA7B">
            <w:pPr>
              <w:spacing w:before="240" w:beforeLines="100"/>
              <w:jc w:val="center"/>
              <w:rPr>
                <w:b/>
                <w:color w:val="auto"/>
                <w:sz w:val="24"/>
                <w:highlight w:val="none"/>
              </w:rPr>
            </w:pPr>
            <w:r>
              <w:rPr>
                <w:b/>
                <w:color w:val="auto"/>
                <w:sz w:val="24"/>
                <w:highlight w:val="none"/>
              </w:rPr>
              <w:t>表4-</w:t>
            </w:r>
            <w:r>
              <w:rPr>
                <w:rFonts w:hint="eastAsia"/>
                <w:b/>
                <w:color w:val="auto"/>
                <w:sz w:val="24"/>
                <w:highlight w:val="none"/>
              </w:rPr>
              <w:t>2</w:t>
            </w:r>
            <w:r>
              <w:rPr>
                <w:rFonts w:hint="eastAsia"/>
                <w:b/>
                <w:color w:val="auto"/>
                <w:sz w:val="24"/>
                <w:highlight w:val="none"/>
                <w:lang w:val="en-US" w:eastAsia="zh-CN"/>
              </w:rPr>
              <w:t>4</w:t>
            </w:r>
            <w:r>
              <w:rPr>
                <w:b/>
                <w:color w:val="auto"/>
                <w:sz w:val="24"/>
                <w:highlight w:val="none"/>
              </w:rPr>
              <w:t xml:space="preserve"> 本项目采取的防渗措施一览表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1535"/>
              <w:gridCol w:w="5009"/>
              <w:gridCol w:w="1343"/>
            </w:tblGrid>
            <w:tr w14:paraId="2CD9FF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tcBorders>
                    <w:bottom w:val="single" w:color="auto" w:sz="12" w:space="0"/>
                  </w:tcBorders>
                  <w:vAlign w:val="center"/>
                </w:tcPr>
                <w:p w14:paraId="6C105469">
                  <w:pPr>
                    <w:pStyle w:val="86"/>
                    <w:adjustRightInd w:val="0"/>
                    <w:snapToGrid w:val="0"/>
                    <w:rPr>
                      <w:b/>
                      <w:color w:val="auto"/>
                      <w:sz w:val="21"/>
                      <w:szCs w:val="21"/>
                      <w:highlight w:val="none"/>
                    </w:rPr>
                  </w:pPr>
                  <w:r>
                    <w:rPr>
                      <w:b/>
                      <w:color w:val="auto"/>
                      <w:sz w:val="21"/>
                      <w:szCs w:val="21"/>
                      <w:highlight w:val="none"/>
                    </w:rPr>
                    <w:t>序号</w:t>
                  </w:r>
                </w:p>
              </w:tc>
              <w:tc>
                <w:tcPr>
                  <w:tcW w:w="1532" w:type="dxa"/>
                  <w:tcBorders>
                    <w:bottom w:val="single" w:color="auto" w:sz="12" w:space="0"/>
                  </w:tcBorders>
                  <w:vAlign w:val="center"/>
                </w:tcPr>
                <w:p w14:paraId="1F5976BA">
                  <w:pPr>
                    <w:pStyle w:val="86"/>
                    <w:adjustRightInd w:val="0"/>
                    <w:snapToGrid w:val="0"/>
                    <w:rPr>
                      <w:b/>
                      <w:color w:val="auto"/>
                      <w:sz w:val="21"/>
                      <w:szCs w:val="21"/>
                      <w:highlight w:val="none"/>
                    </w:rPr>
                  </w:pPr>
                  <w:r>
                    <w:rPr>
                      <w:b/>
                      <w:color w:val="auto"/>
                      <w:sz w:val="21"/>
                      <w:szCs w:val="21"/>
                      <w:highlight w:val="none"/>
                    </w:rPr>
                    <w:t>主要环节</w:t>
                  </w:r>
                </w:p>
              </w:tc>
              <w:tc>
                <w:tcPr>
                  <w:tcW w:w="4999" w:type="dxa"/>
                  <w:tcBorders>
                    <w:bottom w:val="single" w:color="auto" w:sz="12" w:space="0"/>
                  </w:tcBorders>
                  <w:vAlign w:val="center"/>
                </w:tcPr>
                <w:p w14:paraId="5F45CE9F">
                  <w:pPr>
                    <w:pStyle w:val="86"/>
                    <w:adjustRightInd w:val="0"/>
                    <w:snapToGrid w:val="0"/>
                    <w:rPr>
                      <w:b/>
                      <w:color w:val="auto"/>
                      <w:sz w:val="21"/>
                      <w:szCs w:val="21"/>
                      <w:highlight w:val="none"/>
                    </w:rPr>
                  </w:pPr>
                  <w:r>
                    <w:rPr>
                      <w:b/>
                      <w:color w:val="auto"/>
                      <w:sz w:val="21"/>
                      <w:szCs w:val="21"/>
                      <w:highlight w:val="none"/>
                    </w:rPr>
                    <w:t>防渗处理措施</w:t>
                  </w:r>
                </w:p>
              </w:tc>
              <w:tc>
                <w:tcPr>
                  <w:tcW w:w="1340" w:type="dxa"/>
                  <w:tcBorders>
                    <w:bottom w:val="single" w:color="auto" w:sz="12" w:space="0"/>
                  </w:tcBorders>
                  <w:vAlign w:val="center"/>
                </w:tcPr>
                <w:p w14:paraId="67BBF80E">
                  <w:pPr>
                    <w:pStyle w:val="86"/>
                    <w:adjustRightInd w:val="0"/>
                    <w:snapToGrid w:val="0"/>
                    <w:rPr>
                      <w:b/>
                      <w:color w:val="auto"/>
                      <w:sz w:val="21"/>
                      <w:szCs w:val="21"/>
                      <w:highlight w:val="none"/>
                    </w:rPr>
                  </w:pPr>
                  <w:r>
                    <w:rPr>
                      <w:b/>
                      <w:color w:val="auto"/>
                      <w:sz w:val="21"/>
                      <w:szCs w:val="21"/>
                      <w:highlight w:val="none"/>
                    </w:rPr>
                    <w:t>防渗分区</w:t>
                  </w:r>
                </w:p>
              </w:tc>
            </w:tr>
            <w:tr w14:paraId="60A4D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tcBorders>
                    <w:top w:val="single" w:color="auto" w:sz="12" w:space="0"/>
                    <w:tl2br w:val="nil"/>
                    <w:tr2bl w:val="nil"/>
                  </w:tcBorders>
                  <w:vAlign w:val="center"/>
                </w:tcPr>
                <w:p w14:paraId="539FA156">
                  <w:pPr>
                    <w:pStyle w:val="86"/>
                    <w:adjustRightInd w:val="0"/>
                    <w:snapToGrid w:val="0"/>
                    <w:rPr>
                      <w:color w:val="auto"/>
                      <w:sz w:val="21"/>
                      <w:szCs w:val="21"/>
                      <w:highlight w:val="none"/>
                    </w:rPr>
                  </w:pPr>
                  <w:r>
                    <w:rPr>
                      <w:color w:val="auto"/>
                      <w:sz w:val="21"/>
                      <w:szCs w:val="21"/>
                      <w:highlight w:val="none"/>
                    </w:rPr>
                    <w:t>1</w:t>
                  </w:r>
                </w:p>
              </w:tc>
              <w:tc>
                <w:tcPr>
                  <w:tcW w:w="1532" w:type="dxa"/>
                  <w:tcBorders>
                    <w:top w:val="single" w:color="auto" w:sz="12" w:space="0"/>
                    <w:tl2br w:val="nil"/>
                    <w:tr2bl w:val="nil"/>
                  </w:tcBorders>
                  <w:vAlign w:val="center"/>
                </w:tcPr>
                <w:p w14:paraId="09719487">
                  <w:pPr>
                    <w:pStyle w:val="86"/>
                    <w:adjustRightInd w:val="0"/>
                    <w:snapToGrid w:val="0"/>
                    <w:rPr>
                      <w:rFonts w:hint="eastAsia" w:eastAsia="宋体"/>
                      <w:color w:val="auto"/>
                      <w:sz w:val="21"/>
                      <w:szCs w:val="21"/>
                      <w:highlight w:val="none"/>
                      <w:lang w:eastAsia="zh-CN"/>
                    </w:rPr>
                  </w:pPr>
                  <w:r>
                    <w:rPr>
                      <w:color w:val="auto"/>
                      <w:sz w:val="21"/>
                      <w:szCs w:val="21"/>
                      <w:highlight w:val="none"/>
                    </w:rPr>
                    <w:t>危废仓库</w:t>
                  </w:r>
                </w:p>
              </w:tc>
              <w:tc>
                <w:tcPr>
                  <w:tcW w:w="4999" w:type="dxa"/>
                  <w:tcBorders>
                    <w:top w:val="single" w:color="auto" w:sz="12" w:space="0"/>
                    <w:tl2br w:val="nil"/>
                    <w:tr2bl w:val="nil"/>
                  </w:tcBorders>
                  <w:vAlign w:val="center"/>
                </w:tcPr>
                <w:p w14:paraId="7846669E">
                  <w:pPr>
                    <w:pStyle w:val="86"/>
                    <w:adjustRightInd w:val="0"/>
                    <w:snapToGrid w:val="0"/>
                    <w:jc w:val="both"/>
                    <w:rPr>
                      <w:color w:val="auto"/>
                      <w:sz w:val="21"/>
                      <w:szCs w:val="21"/>
                      <w:highlight w:val="none"/>
                    </w:rPr>
                  </w:pPr>
                  <w:r>
                    <w:rPr>
                      <w:color w:val="auto"/>
                      <w:sz w:val="21"/>
                      <w:szCs w:val="21"/>
                      <w:highlight w:val="none"/>
                    </w:rPr>
                    <w:t>采用混凝土地坪，构筑物基础周边采用改性沥青或者SBS防水卷材进行处理；渗透系数≤10</w:t>
                  </w:r>
                  <w:r>
                    <w:rPr>
                      <w:color w:val="auto"/>
                      <w:sz w:val="21"/>
                      <w:szCs w:val="21"/>
                      <w:highlight w:val="none"/>
                      <w:vertAlign w:val="superscript"/>
                    </w:rPr>
                    <w:t>-7</w:t>
                  </w:r>
                  <w:r>
                    <w:rPr>
                      <w:color w:val="auto"/>
                      <w:sz w:val="21"/>
                      <w:szCs w:val="21"/>
                      <w:highlight w:val="none"/>
                    </w:rPr>
                    <w:t>cm/s</w:t>
                  </w:r>
                </w:p>
              </w:tc>
              <w:tc>
                <w:tcPr>
                  <w:tcW w:w="1340" w:type="dxa"/>
                  <w:tcBorders>
                    <w:top w:val="single" w:color="auto" w:sz="12" w:space="0"/>
                    <w:tl2br w:val="nil"/>
                    <w:tr2bl w:val="nil"/>
                  </w:tcBorders>
                  <w:vAlign w:val="center"/>
                </w:tcPr>
                <w:p w14:paraId="557BE4CF">
                  <w:pPr>
                    <w:pStyle w:val="86"/>
                    <w:adjustRightInd w:val="0"/>
                    <w:snapToGrid w:val="0"/>
                    <w:rPr>
                      <w:color w:val="auto"/>
                      <w:sz w:val="21"/>
                      <w:szCs w:val="21"/>
                      <w:highlight w:val="none"/>
                    </w:rPr>
                  </w:pPr>
                  <w:r>
                    <w:rPr>
                      <w:color w:val="auto"/>
                      <w:sz w:val="21"/>
                      <w:szCs w:val="21"/>
                      <w:highlight w:val="none"/>
                    </w:rPr>
                    <w:t>重点防渗区</w:t>
                  </w:r>
                </w:p>
              </w:tc>
            </w:tr>
            <w:tr w14:paraId="14BCF6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vMerge w:val="restart"/>
                  <w:tcBorders>
                    <w:tl2br w:val="nil"/>
                    <w:tr2bl w:val="nil"/>
                  </w:tcBorders>
                  <w:vAlign w:val="center"/>
                </w:tcPr>
                <w:p w14:paraId="287F092D">
                  <w:pPr>
                    <w:pStyle w:val="86"/>
                    <w:adjustRightInd w:val="0"/>
                    <w:snapToGrid w:val="0"/>
                    <w:rPr>
                      <w:color w:val="auto"/>
                      <w:sz w:val="21"/>
                      <w:szCs w:val="21"/>
                      <w:highlight w:val="none"/>
                    </w:rPr>
                  </w:pPr>
                  <w:r>
                    <w:rPr>
                      <w:color w:val="auto"/>
                      <w:sz w:val="21"/>
                      <w:szCs w:val="21"/>
                      <w:highlight w:val="none"/>
                    </w:rPr>
                    <w:t>2</w:t>
                  </w:r>
                </w:p>
              </w:tc>
              <w:tc>
                <w:tcPr>
                  <w:tcW w:w="1532" w:type="dxa"/>
                  <w:tcBorders>
                    <w:tl2br w:val="nil"/>
                    <w:tr2bl w:val="nil"/>
                  </w:tcBorders>
                  <w:vAlign w:val="center"/>
                </w:tcPr>
                <w:p w14:paraId="2A3F8B74">
                  <w:pPr>
                    <w:pStyle w:val="86"/>
                    <w:adjustRightInd w:val="0"/>
                    <w:snapToGrid w:val="0"/>
                    <w:rPr>
                      <w:color w:val="auto"/>
                      <w:sz w:val="21"/>
                      <w:szCs w:val="21"/>
                      <w:highlight w:val="none"/>
                    </w:rPr>
                  </w:pPr>
                  <w:r>
                    <w:rPr>
                      <w:color w:val="auto"/>
                      <w:sz w:val="21"/>
                      <w:szCs w:val="21"/>
                      <w:highlight w:val="none"/>
                    </w:rPr>
                    <w:t>一般固废暂存区</w:t>
                  </w:r>
                  <w:r>
                    <w:rPr>
                      <w:rFonts w:hint="eastAsia"/>
                      <w:color w:val="auto"/>
                      <w:sz w:val="21"/>
                      <w:szCs w:val="21"/>
                      <w:highlight w:val="none"/>
                      <w:lang w:val="en-US" w:eastAsia="zh-CN"/>
                    </w:rPr>
                    <w:t>等</w:t>
                  </w:r>
                </w:p>
              </w:tc>
              <w:tc>
                <w:tcPr>
                  <w:tcW w:w="4999" w:type="dxa"/>
                  <w:tcBorders>
                    <w:tl2br w:val="nil"/>
                    <w:tr2bl w:val="nil"/>
                  </w:tcBorders>
                  <w:vAlign w:val="center"/>
                </w:tcPr>
                <w:p w14:paraId="6AE276E3">
                  <w:pPr>
                    <w:pStyle w:val="86"/>
                    <w:adjustRightInd w:val="0"/>
                    <w:snapToGrid w:val="0"/>
                    <w:jc w:val="both"/>
                    <w:rPr>
                      <w:color w:val="auto"/>
                      <w:sz w:val="21"/>
                      <w:szCs w:val="21"/>
                      <w:highlight w:val="none"/>
                    </w:rPr>
                  </w:pPr>
                  <w:r>
                    <w:rPr>
                      <w:color w:val="auto"/>
                      <w:sz w:val="21"/>
                      <w:szCs w:val="21"/>
                      <w:highlight w:val="none"/>
                    </w:rPr>
                    <w:t>①固废分类收集、包装；②地面采用HDPE土工膜防渗处理；③固废及时处理，避免厂区内长期存放。</w:t>
                  </w:r>
                </w:p>
              </w:tc>
              <w:tc>
                <w:tcPr>
                  <w:tcW w:w="1340" w:type="dxa"/>
                  <w:tcBorders>
                    <w:tl2br w:val="nil"/>
                    <w:tr2bl w:val="nil"/>
                  </w:tcBorders>
                  <w:vAlign w:val="center"/>
                </w:tcPr>
                <w:p w14:paraId="6A0FAC7A">
                  <w:pPr>
                    <w:pStyle w:val="86"/>
                    <w:adjustRightInd w:val="0"/>
                    <w:snapToGrid w:val="0"/>
                    <w:rPr>
                      <w:color w:val="auto"/>
                      <w:sz w:val="21"/>
                      <w:szCs w:val="21"/>
                      <w:highlight w:val="none"/>
                    </w:rPr>
                  </w:pPr>
                  <w:r>
                    <w:rPr>
                      <w:color w:val="auto"/>
                      <w:sz w:val="21"/>
                      <w:szCs w:val="21"/>
                      <w:highlight w:val="none"/>
                    </w:rPr>
                    <w:t>一般防渗区</w:t>
                  </w:r>
                </w:p>
              </w:tc>
            </w:tr>
            <w:tr w14:paraId="7FE7A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vMerge w:val="continue"/>
                  <w:tcBorders>
                    <w:tl2br w:val="nil"/>
                    <w:tr2bl w:val="nil"/>
                  </w:tcBorders>
                  <w:vAlign w:val="center"/>
                </w:tcPr>
                <w:p w14:paraId="094D7F29">
                  <w:pPr>
                    <w:pStyle w:val="86"/>
                    <w:adjustRightInd w:val="0"/>
                    <w:snapToGrid w:val="0"/>
                    <w:rPr>
                      <w:color w:val="auto"/>
                      <w:sz w:val="21"/>
                      <w:szCs w:val="21"/>
                      <w:highlight w:val="none"/>
                    </w:rPr>
                  </w:pPr>
                </w:p>
              </w:tc>
              <w:tc>
                <w:tcPr>
                  <w:tcW w:w="1532" w:type="dxa"/>
                  <w:tcBorders>
                    <w:tl2br w:val="nil"/>
                    <w:tr2bl w:val="nil"/>
                  </w:tcBorders>
                  <w:vAlign w:val="center"/>
                </w:tcPr>
                <w:p w14:paraId="514D206F">
                  <w:pPr>
                    <w:pStyle w:val="86"/>
                    <w:adjustRightInd w:val="0"/>
                    <w:snapToGrid w:val="0"/>
                    <w:rPr>
                      <w:color w:val="auto"/>
                      <w:sz w:val="21"/>
                      <w:szCs w:val="21"/>
                      <w:highlight w:val="none"/>
                    </w:rPr>
                  </w:pPr>
                  <w:r>
                    <w:rPr>
                      <w:color w:val="auto"/>
                      <w:sz w:val="21"/>
                      <w:szCs w:val="21"/>
                      <w:highlight w:val="none"/>
                    </w:rPr>
                    <w:t>危废仓库</w:t>
                  </w:r>
                </w:p>
              </w:tc>
              <w:tc>
                <w:tcPr>
                  <w:tcW w:w="4999" w:type="dxa"/>
                  <w:tcBorders>
                    <w:tl2br w:val="nil"/>
                    <w:tr2bl w:val="nil"/>
                  </w:tcBorders>
                  <w:vAlign w:val="center"/>
                </w:tcPr>
                <w:p w14:paraId="38E8EF07">
                  <w:pPr>
                    <w:pStyle w:val="86"/>
                    <w:adjustRightInd w:val="0"/>
                    <w:snapToGrid w:val="0"/>
                    <w:jc w:val="both"/>
                    <w:rPr>
                      <w:color w:val="auto"/>
                      <w:sz w:val="21"/>
                      <w:szCs w:val="21"/>
                      <w:highlight w:val="none"/>
                    </w:rPr>
                  </w:pPr>
                  <w:r>
                    <w:rPr>
                      <w:color w:val="auto"/>
                      <w:sz w:val="21"/>
                      <w:szCs w:val="21"/>
                      <w:highlight w:val="none"/>
                    </w:rPr>
                    <w:t>依据国家危险贮存标准要求设计、施工，采用200mm厚C15砼垫层随打随抹光，并设置钢筋混凝土围堰，并采用底部加设土工膜进行防渗，使渗透系数≤10</w:t>
                  </w:r>
                  <w:r>
                    <w:rPr>
                      <w:color w:val="auto"/>
                      <w:sz w:val="21"/>
                      <w:szCs w:val="21"/>
                      <w:highlight w:val="none"/>
                      <w:vertAlign w:val="superscript"/>
                    </w:rPr>
                    <w:t>-10</w:t>
                  </w:r>
                  <w:r>
                    <w:rPr>
                      <w:color w:val="auto"/>
                      <w:sz w:val="21"/>
                      <w:szCs w:val="21"/>
                      <w:highlight w:val="none"/>
                    </w:rPr>
                    <w:t>cm/s，且防雨和防晒。</w:t>
                  </w:r>
                </w:p>
              </w:tc>
              <w:tc>
                <w:tcPr>
                  <w:tcW w:w="1340" w:type="dxa"/>
                  <w:tcBorders>
                    <w:tl2br w:val="nil"/>
                    <w:tr2bl w:val="nil"/>
                  </w:tcBorders>
                  <w:vAlign w:val="center"/>
                </w:tcPr>
                <w:p w14:paraId="60135D44">
                  <w:pPr>
                    <w:pStyle w:val="86"/>
                    <w:adjustRightInd w:val="0"/>
                    <w:snapToGrid w:val="0"/>
                    <w:rPr>
                      <w:color w:val="auto"/>
                      <w:sz w:val="21"/>
                      <w:szCs w:val="21"/>
                      <w:highlight w:val="none"/>
                    </w:rPr>
                  </w:pPr>
                  <w:r>
                    <w:rPr>
                      <w:color w:val="auto"/>
                      <w:sz w:val="21"/>
                      <w:szCs w:val="21"/>
                      <w:highlight w:val="none"/>
                    </w:rPr>
                    <w:t>重点防渗区</w:t>
                  </w:r>
                </w:p>
              </w:tc>
            </w:tr>
          </w:tbl>
          <w:p w14:paraId="0DFF7705">
            <w:pPr>
              <w:spacing w:line="360" w:lineRule="auto"/>
              <w:ind w:firstLine="480" w:firstLineChars="200"/>
              <w:rPr>
                <w:b/>
                <w:color w:val="auto"/>
                <w:sz w:val="24"/>
                <w:highlight w:val="none"/>
              </w:rPr>
            </w:pPr>
            <w:r>
              <w:rPr>
                <w:color w:val="auto"/>
                <w:sz w:val="24"/>
                <w:highlight w:val="none"/>
              </w:rPr>
              <w:t>在厂内不同区域实施分区防治：</w:t>
            </w:r>
          </w:p>
          <w:p w14:paraId="7D180CC9">
            <w:pPr>
              <w:spacing w:line="360" w:lineRule="auto"/>
              <w:ind w:firstLine="480" w:firstLineChars="200"/>
              <w:rPr>
                <w:b/>
                <w:color w:val="auto"/>
                <w:sz w:val="24"/>
                <w:highlight w:val="none"/>
              </w:rPr>
            </w:pPr>
            <w:r>
              <w:rPr>
                <w:color w:val="auto"/>
                <w:sz w:val="24"/>
                <w:highlight w:val="none"/>
              </w:rPr>
              <w:t>（1）管道、阀门防渗措施</w:t>
            </w:r>
          </w:p>
          <w:p w14:paraId="17CA6F6E">
            <w:pPr>
              <w:spacing w:line="360" w:lineRule="auto"/>
              <w:ind w:firstLine="480" w:firstLineChars="200"/>
              <w:rPr>
                <w:b/>
                <w:color w:val="auto"/>
                <w:sz w:val="24"/>
                <w:highlight w:val="none"/>
              </w:rPr>
            </w:pPr>
            <w:r>
              <w:rPr>
                <w:color w:val="auto"/>
                <w:sz w:val="24"/>
                <w:highlight w:val="none"/>
              </w:rPr>
              <w:fldChar w:fldCharType="begin"/>
            </w:r>
            <w:r>
              <w:rPr>
                <w:color w:val="auto"/>
                <w:sz w:val="24"/>
                <w:highlight w:val="none"/>
              </w:rPr>
              <w:instrText xml:space="preserve"> = 1 \* GB3 </w:instrText>
            </w:r>
            <w:r>
              <w:rPr>
                <w:color w:val="auto"/>
                <w:sz w:val="24"/>
                <w:highlight w:val="none"/>
              </w:rPr>
              <w:fldChar w:fldCharType="separate"/>
            </w:r>
            <w:r>
              <w:rPr>
                <w:color w:val="auto"/>
                <w:sz w:val="24"/>
                <w:highlight w:val="none"/>
              </w:rPr>
              <w:t>①</w:t>
            </w:r>
            <w:r>
              <w:rPr>
                <w:color w:val="auto"/>
                <w:sz w:val="24"/>
                <w:highlight w:val="none"/>
              </w:rPr>
              <w:fldChar w:fldCharType="end"/>
            </w:r>
            <w:r>
              <w:rPr>
                <w:color w:val="auto"/>
                <w:sz w:val="24"/>
                <w:highlight w:val="none"/>
              </w:rPr>
              <w:t>对于地上管道、阀门严格质量管理，发现问题，及时解决。</w:t>
            </w:r>
          </w:p>
          <w:p w14:paraId="5AB4751E">
            <w:pPr>
              <w:spacing w:line="360" w:lineRule="auto"/>
              <w:ind w:firstLine="480" w:firstLineChars="200"/>
              <w:rPr>
                <w:b/>
                <w:color w:val="auto"/>
                <w:sz w:val="24"/>
                <w:highlight w:val="none"/>
              </w:rPr>
            </w:pPr>
            <w:r>
              <w:rPr>
                <w:color w:val="auto"/>
                <w:sz w:val="24"/>
                <w:highlight w:val="none"/>
              </w:rPr>
              <w:fldChar w:fldCharType="begin"/>
            </w:r>
            <w:r>
              <w:rPr>
                <w:color w:val="auto"/>
                <w:sz w:val="24"/>
                <w:highlight w:val="none"/>
              </w:rPr>
              <w:instrText xml:space="preserve"> = 2 \* GB3 </w:instrText>
            </w:r>
            <w:r>
              <w:rPr>
                <w:color w:val="auto"/>
                <w:sz w:val="24"/>
                <w:highlight w:val="none"/>
              </w:rPr>
              <w:fldChar w:fldCharType="separate"/>
            </w:r>
            <w:r>
              <w:rPr>
                <w:color w:val="auto"/>
                <w:sz w:val="24"/>
                <w:highlight w:val="none"/>
              </w:rPr>
              <w:t>②</w:t>
            </w:r>
            <w:r>
              <w:rPr>
                <w:color w:val="auto"/>
                <w:sz w:val="24"/>
                <w:highlight w:val="none"/>
              </w:rPr>
              <w:fldChar w:fldCharType="end"/>
            </w:r>
            <w:r>
              <w:rPr>
                <w:color w:val="auto"/>
                <w:sz w:val="24"/>
                <w:highlight w:val="none"/>
              </w:rPr>
              <w:t>生产污水和污染雨水管道采用柔性防渗结构。</w:t>
            </w:r>
          </w:p>
          <w:p w14:paraId="435A6F74">
            <w:pPr>
              <w:spacing w:line="360" w:lineRule="auto"/>
              <w:ind w:firstLine="480" w:firstLineChars="200"/>
              <w:rPr>
                <w:b/>
                <w:color w:val="auto"/>
                <w:sz w:val="24"/>
                <w:highlight w:val="none"/>
              </w:rPr>
            </w:pPr>
            <w:r>
              <w:rPr>
                <w:color w:val="auto"/>
                <w:sz w:val="24"/>
                <w:highlight w:val="none"/>
              </w:rPr>
              <w:fldChar w:fldCharType="begin"/>
            </w:r>
            <w:r>
              <w:rPr>
                <w:color w:val="auto"/>
                <w:sz w:val="24"/>
                <w:highlight w:val="none"/>
              </w:rPr>
              <w:instrText xml:space="preserve"> = 3 \* GB3 </w:instrText>
            </w:r>
            <w:r>
              <w:rPr>
                <w:color w:val="auto"/>
                <w:sz w:val="24"/>
                <w:highlight w:val="none"/>
              </w:rPr>
              <w:fldChar w:fldCharType="separate"/>
            </w:r>
            <w:r>
              <w:rPr>
                <w:color w:val="auto"/>
                <w:sz w:val="24"/>
                <w:highlight w:val="none"/>
              </w:rPr>
              <w:t>③</w:t>
            </w:r>
            <w:r>
              <w:rPr>
                <w:color w:val="auto"/>
                <w:sz w:val="24"/>
                <w:highlight w:val="none"/>
              </w:rPr>
              <w:fldChar w:fldCharType="end"/>
            </w:r>
            <w:r>
              <w:rPr>
                <w:color w:val="auto"/>
                <w:sz w:val="24"/>
                <w:highlight w:val="none"/>
              </w:rPr>
              <w:t>穿过污水池（或井、沟）壁的管道和预埋件，预先设置，不打洞。</w:t>
            </w:r>
          </w:p>
          <w:p w14:paraId="5A599E82">
            <w:pPr>
              <w:spacing w:line="360" w:lineRule="auto"/>
              <w:ind w:firstLine="480" w:firstLineChars="200"/>
              <w:rPr>
                <w:b/>
                <w:color w:val="auto"/>
                <w:sz w:val="24"/>
                <w:highlight w:val="none"/>
              </w:rPr>
            </w:pPr>
            <w:r>
              <w:rPr>
                <w:color w:val="auto"/>
                <w:sz w:val="24"/>
                <w:highlight w:val="none"/>
              </w:rPr>
              <w:fldChar w:fldCharType="begin"/>
            </w:r>
            <w:r>
              <w:rPr>
                <w:color w:val="auto"/>
                <w:sz w:val="24"/>
                <w:highlight w:val="none"/>
              </w:rPr>
              <w:instrText xml:space="preserve"> = 4 \* GB3 </w:instrText>
            </w:r>
            <w:r>
              <w:rPr>
                <w:color w:val="auto"/>
                <w:sz w:val="24"/>
                <w:highlight w:val="none"/>
              </w:rPr>
              <w:fldChar w:fldCharType="separate"/>
            </w:r>
            <w:r>
              <w:rPr>
                <w:color w:val="auto"/>
                <w:sz w:val="24"/>
                <w:highlight w:val="none"/>
              </w:rPr>
              <w:t>④</w:t>
            </w:r>
            <w:r>
              <w:rPr>
                <w:color w:val="auto"/>
                <w:sz w:val="24"/>
                <w:highlight w:val="none"/>
              </w:rPr>
              <w:fldChar w:fldCharType="end"/>
            </w:r>
            <w:r>
              <w:rPr>
                <w:color w:val="auto"/>
                <w:sz w:val="24"/>
                <w:highlight w:val="none"/>
              </w:rPr>
              <w:t>对工艺要求必须地下走管的管道、阀门设专用混凝土防渗管沟，防水混凝土抗渗标号不低于40，防渗管沟厚度不低于100mm，管沟内壁涂防水涂料，管沟上设活动观察顶盖，以便出现渗漏问题及时观察、解决。</w:t>
            </w:r>
          </w:p>
          <w:p w14:paraId="5F84EA2B">
            <w:pPr>
              <w:spacing w:line="360" w:lineRule="auto"/>
              <w:ind w:firstLine="480" w:firstLineChars="200"/>
              <w:rPr>
                <w:b/>
                <w:color w:val="auto"/>
                <w:sz w:val="24"/>
                <w:highlight w:val="none"/>
              </w:rPr>
            </w:pPr>
            <w:r>
              <w:rPr>
                <w:color w:val="auto"/>
                <w:sz w:val="24"/>
                <w:highlight w:val="none"/>
              </w:rPr>
              <w:t>（2）生产车间地面的防渗措施</w:t>
            </w:r>
          </w:p>
          <w:p w14:paraId="330D7BA7">
            <w:pPr>
              <w:spacing w:line="360" w:lineRule="auto"/>
              <w:ind w:firstLine="480" w:firstLineChars="200"/>
              <w:rPr>
                <w:b/>
                <w:color w:val="auto"/>
                <w:sz w:val="24"/>
                <w:highlight w:val="none"/>
              </w:rPr>
            </w:pPr>
            <w:r>
              <w:rPr>
                <w:color w:val="auto"/>
                <w:sz w:val="24"/>
                <w:highlight w:val="none"/>
              </w:rPr>
              <w:fldChar w:fldCharType="begin"/>
            </w:r>
            <w:r>
              <w:rPr>
                <w:color w:val="auto"/>
                <w:sz w:val="24"/>
                <w:highlight w:val="none"/>
              </w:rPr>
              <w:instrText xml:space="preserve"> = 1 \* GB3 </w:instrText>
            </w:r>
            <w:r>
              <w:rPr>
                <w:color w:val="auto"/>
                <w:sz w:val="24"/>
                <w:highlight w:val="none"/>
              </w:rPr>
              <w:fldChar w:fldCharType="separate"/>
            </w:r>
            <w:r>
              <w:rPr>
                <w:color w:val="auto"/>
                <w:sz w:val="24"/>
                <w:highlight w:val="none"/>
              </w:rPr>
              <w:t>①</w:t>
            </w:r>
            <w:r>
              <w:rPr>
                <w:color w:val="auto"/>
                <w:sz w:val="24"/>
                <w:highlight w:val="none"/>
              </w:rPr>
              <w:fldChar w:fldCharType="end"/>
            </w:r>
            <w:r>
              <w:rPr>
                <w:color w:val="auto"/>
                <w:sz w:val="24"/>
                <w:highlight w:val="none"/>
              </w:rPr>
              <w:t>环墙基础罐底板下采用柔性防渗结构，柔性防渗材料应与环墙基础严密连接。</w:t>
            </w:r>
          </w:p>
          <w:p w14:paraId="79213347">
            <w:pPr>
              <w:spacing w:line="360" w:lineRule="auto"/>
              <w:ind w:firstLine="480" w:firstLineChars="200"/>
              <w:rPr>
                <w:b/>
                <w:color w:val="auto"/>
                <w:sz w:val="24"/>
                <w:highlight w:val="none"/>
              </w:rPr>
            </w:pPr>
            <w:r>
              <w:rPr>
                <w:color w:val="auto"/>
                <w:sz w:val="24"/>
                <w:highlight w:val="none"/>
              </w:rPr>
              <w:fldChar w:fldCharType="begin"/>
            </w:r>
            <w:r>
              <w:rPr>
                <w:color w:val="auto"/>
                <w:sz w:val="24"/>
                <w:highlight w:val="none"/>
              </w:rPr>
              <w:instrText xml:space="preserve"> = 2 \* GB3 </w:instrText>
            </w:r>
            <w:r>
              <w:rPr>
                <w:color w:val="auto"/>
                <w:sz w:val="24"/>
                <w:highlight w:val="none"/>
              </w:rPr>
              <w:fldChar w:fldCharType="separate"/>
            </w:r>
            <w:r>
              <w:rPr>
                <w:color w:val="auto"/>
                <w:sz w:val="24"/>
                <w:highlight w:val="none"/>
              </w:rPr>
              <w:t>②</w:t>
            </w:r>
            <w:r>
              <w:rPr>
                <w:color w:val="auto"/>
                <w:sz w:val="24"/>
                <w:highlight w:val="none"/>
              </w:rPr>
              <w:fldChar w:fldCharType="end"/>
            </w:r>
            <w:r>
              <w:rPr>
                <w:color w:val="auto"/>
                <w:sz w:val="24"/>
                <w:highlight w:val="none"/>
              </w:rPr>
              <w:t>生产车间区防火堤间区域采用复合或柔性防渗结构型式。柔性防渗材料与防火堤、隔堤及其他设施基础严密连接。</w:t>
            </w:r>
          </w:p>
          <w:p w14:paraId="2A7208CD">
            <w:pPr>
              <w:spacing w:line="360" w:lineRule="auto"/>
              <w:ind w:firstLine="480" w:firstLineChars="200"/>
              <w:rPr>
                <w:b/>
                <w:color w:val="auto"/>
                <w:sz w:val="24"/>
                <w:highlight w:val="none"/>
              </w:rPr>
            </w:pPr>
            <w:r>
              <w:rPr>
                <w:rFonts w:hint="eastAsia"/>
                <w:color w:val="auto"/>
                <w:sz w:val="24"/>
                <w:highlight w:val="none"/>
                <w:lang w:eastAsia="zh-CN"/>
              </w:rPr>
              <w:t>③</w:t>
            </w:r>
            <w:r>
              <w:rPr>
                <w:color w:val="auto"/>
                <w:sz w:val="24"/>
                <w:highlight w:val="none"/>
              </w:rPr>
              <w:t>生产车间内污染防治区采用刚性防渗结构型式。</w:t>
            </w:r>
          </w:p>
          <w:p w14:paraId="064A04AA">
            <w:pPr>
              <w:spacing w:line="360" w:lineRule="auto"/>
              <w:ind w:firstLine="480" w:firstLineChars="200"/>
              <w:rPr>
                <w:b/>
                <w:color w:val="auto"/>
                <w:sz w:val="24"/>
                <w:highlight w:val="none"/>
              </w:rPr>
            </w:pPr>
            <w:r>
              <w:rPr>
                <w:rFonts w:hint="eastAsia"/>
                <w:color w:val="auto"/>
                <w:sz w:val="24"/>
                <w:highlight w:val="none"/>
                <w:lang w:eastAsia="zh-CN"/>
              </w:rPr>
              <w:t>④</w:t>
            </w:r>
            <w:r>
              <w:rPr>
                <w:color w:val="auto"/>
                <w:sz w:val="24"/>
                <w:highlight w:val="none"/>
              </w:rPr>
              <w:t>管道穿柔性防渗材料处应严密封闭。</w:t>
            </w:r>
          </w:p>
          <w:p w14:paraId="43E50365">
            <w:pPr>
              <w:keepNext w:val="0"/>
              <w:keepLines w:val="0"/>
              <w:pageBreakBefore w:val="0"/>
              <w:kinsoku/>
              <w:wordWrap/>
              <w:overflowPunct/>
              <w:topLinePunct w:val="0"/>
              <w:bidi w:val="0"/>
              <w:spacing w:line="360" w:lineRule="auto"/>
              <w:ind w:firstLine="480" w:firstLineChars="200"/>
              <w:textAlignment w:val="auto"/>
              <w:rPr>
                <w:b/>
                <w:color w:val="auto"/>
                <w:sz w:val="24"/>
                <w:highlight w:val="none"/>
              </w:rPr>
            </w:pPr>
            <w:r>
              <w:rPr>
                <w:color w:val="auto"/>
                <w:sz w:val="24"/>
                <w:highlight w:val="none"/>
              </w:rPr>
              <w:t>（3）防渗、防腐施工管理</w:t>
            </w:r>
          </w:p>
          <w:p w14:paraId="1F562AB3">
            <w:pPr>
              <w:keepNext w:val="0"/>
              <w:keepLines w:val="0"/>
              <w:pageBreakBefore w:val="0"/>
              <w:kinsoku/>
              <w:wordWrap/>
              <w:overflowPunct/>
              <w:topLinePunct w:val="0"/>
              <w:bidi w:val="0"/>
              <w:spacing w:line="360" w:lineRule="auto"/>
              <w:ind w:firstLine="480" w:firstLineChars="200"/>
              <w:textAlignment w:val="auto"/>
              <w:rPr>
                <w:b/>
                <w:color w:val="auto"/>
                <w:sz w:val="24"/>
                <w:highlight w:val="none"/>
              </w:rPr>
            </w:pPr>
            <w:r>
              <w:rPr>
                <w:color w:val="auto"/>
                <w:sz w:val="24"/>
                <w:highlight w:val="none"/>
              </w:rPr>
              <w:t>①解决渗漏问题，结合实际现场情况选用水泥土搅拌压实防渗措施，即利用常规标号水泥与天然土壤进行拌和，然后利用压路机进行碾压，在地表形成一层不透水盖层，达到地基防渗之功效。施工程序：水泥:土混合比例量为3:7，将厂区地表天然土壤搅拌均匀，然后分层利用压路机碾压或夯实。水泥土结构致密，其渗透系数可小于1×10</w:t>
            </w:r>
            <w:r>
              <w:rPr>
                <w:color w:val="auto"/>
                <w:sz w:val="24"/>
                <w:highlight w:val="none"/>
                <w:vertAlign w:val="superscript"/>
              </w:rPr>
              <w:t>-9</w:t>
            </w:r>
            <w:r>
              <w:rPr>
                <w:color w:val="auto"/>
                <w:sz w:val="24"/>
                <w:highlight w:val="none"/>
              </w:rPr>
              <w:t>～1×10</w:t>
            </w:r>
            <w:r>
              <w:rPr>
                <w:color w:val="auto"/>
                <w:sz w:val="24"/>
                <w:highlight w:val="none"/>
                <w:vertAlign w:val="superscript"/>
              </w:rPr>
              <w:t>-11</w:t>
            </w:r>
            <w:r>
              <w:rPr>
                <w:color w:val="auto"/>
                <w:sz w:val="24"/>
                <w:highlight w:val="none"/>
              </w:rPr>
              <w:t>cm/s（《地基处理手册》第二版），防渗效果甚佳，再加上其他防渗措施，整个厂区各部分防渗系数均能够达到1×10</w:t>
            </w:r>
            <w:r>
              <w:rPr>
                <w:color w:val="auto"/>
                <w:sz w:val="24"/>
                <w:highlight w:val="none"/>
                <w:vertAlign w:val="superscript"/>
              </w:rPr>
              <w:t>-11</w:t>
            </w:r>
            <w:r>
              <w:rPr>
                <w:color w:val="auto"/>
                <w:sz w:val="24"/>
                <w:highlight w:val="none"/>
              </w:rPr>
              <w:t>cm/s。</w:t>
            </w:r>
          </w:p>
          <w:p w14:paraId="0A9F7704">
            <w:pPr>
              <w:keepNext w:val="0"/>
              <w:keepLines w:val="0"/>
              <w:pageBreakBefore w:val="0"/>
              <w:kinsoku/>
              <w:wordWrap/>
              <w:overflowPunct/>
              <w:topLinePunct w:val="0"/>
              <w:bidi w:val="0"/>
              <w:spacing w:line="360" w:lineRule="auto"/>
              <w:ind w:firstLine="480" w:firstLineChars="200"/>
              <w:textAlignment w:val="auto"/>
              <w:rPr>
                <w:b/>
                <w:color w:val="auto"/>
                <w:sz w:val="24"/>
                <w:highlight w:val="none"/>
              </w:rPr>
            </w:pPr>
            <w:r>
              <w:rPr>
                <w:color w:val="auto"/>
                <w:sz w:val="24"/>
                <w:highlight w:val="none"/>
              </w:rPr>
              <w:t>水泥土施工过程中特别加强含水量、施工缝、密实度的质量控制，在回填时注意按规范施工、配比，错层设置，加强养护管理，及时取样检验压路机碾压或夯实密实度，若有问题及时整改。</w:t>
            </w:r>
          </w:p>
          <w:p w14:paraId="02070574">
            <w:pPr>
              <w:keepNext w:val="0"/>
              <w:keepLines w:val="0"/>
              <w:pageBreakBefore w:val="0"/>
              <w:kinsoku/>
              <w:wordWrap/>
              <w:overflowPunct/>
              <w:topLinePunct w:val="0"/>
              <w:bidi w:val="0"/>
              <w:adjustRightInd w:val="0"/>
              <w:snapToGrid w:val="0"/>
              <w:spacing w:line="360" w:lineRule="auto"/>
              <w:ind w:firstLine="480" w:firstLineChars="200"/>
              <w:jc w:val="left"/>
              <w:textAlignment w:val="auto"/>
              <w:rPr>
                <w:color w:val="auto"/>
                <w:sz w:val="32"/>
                <w:szCs w:val="28"/>
                <w:highlight w:val="none"/>
              </w:rPr>
            </w:pPr>
            <w:r>
              <w:rPr>
                <w:color w:val="auto"/>
                <w:sz w:val="24"/>
                <w:highlight w:val="none"/>
              </w:rPr>
              <w:t>②混凝土地面在施工过程中加强质量控制管理，确保混凝土的抗渗性能、抗侵蚀性能。</w:t>
            </w:r>
          </w:p>
          <w:p w14:paraId="2F424A43">
            <w:pPr>
              <w:keepNext w:val="0"/>
              <w:keepLines w:val="0"/>
              <w:pageBreakBefore w:val="0"/>
              <w:widowControl/>
              <w:kinsoku/>
              <w:wordWrap/>
              <w:overflowPunct/>
              <w:topLinePunct w:val="0"/>
              <w:autoSpaceDE w:val="0"/>
              <w:autoSpaceDN w:val="0"/>
              <w:bidi w:val="0"/>
              <w:adjustRightInd w:val="0"/>
              <w:snapToGrid w:val="0"/>
              <w:spacing w:line="360" w:lineRule="auto"/>
              <w:ind w:firstLine="482" w:firstLineChars="200"/>
              <w:jc w:val="left"/>
              <w:textAlignment w:val="auto"/>
              <w:rPr>
                <w:rFonts w:eastAsiaTheme="minorEastAsia"/>
                <w:b/>
                <w:color w:val="auto"/>
                <w:kern w:val="0"/>
                <w:sz w:val="24"/>
                <w:highlight w:val="none"/>
              </w:rPr>
            </w:pPr>
            <w:r>
              <w:rPr>
                <w:rFonts w:eastAsiaTheme="minorEastAsia"/>
                <w:b/>
                <w:color w:val="auto"/>
                <w:kern w:val="0"/>
                <w:sz w:val="24"/>
                <w:highlight w:val="none"/>
              </w:rPr>
              <w:t>3、跟踪监测计划</w:t>
            </w:r>
          </w:p>
          <w:p w14:paraId="11E04F95">
            <w:pPr>
              <w:widowControl/>
              <w:autoSpaceDE w:val="0"/>
              <w:autoSpaceDN w:val="0"/>
              <w:adjustRightInd w:val="0"/>
              <w:snapToGrid w:val="0"/>
              <w:spacing w:line="360" w:lineRule="auto"/>
              <w:ind w:firstLine="480" w:firstLineChars="200"/>
              <w:jc w:val="left"/>
              <w:rPr>
                <w:rFonts w:hint="eastAsia"/>
                <w:color w:val="auto"/>
                <w:kern w:val="0"/>
                <w:sz w:val="24"/>
                <w:szCs w:val="28"/>
                <w:highlight w:val="none"/>
              </w:rPr>
            </w:pPr>
            <w:r>
              <w:rPr>
                <w:rFonts w:hint="eastAsia"/>
                <w:color w:val="auto"/>
                <w:kern w:val="0"/>
                <w:sz w:val="24"/>
                <w:szCs w:val="28"/>
                <w:highlight w:val="none"/>
              </w:rPr>
              <w:t>本项目地下水和土壤污染的可能性和程度均较小，正常情况可不开展地下水和土壤跟踪监测。公司应在运营过程中如发现非正常工况，造成土壤及地下水环境污染，应及时采取措施，进行跟踪监测。</w:t>
            </w:r>
          </w:p>
          <w:p w14:paraId="0319898D">
            <w:pPr>
              <w:widowControl/>
              <w:autoSpaceDE w:val="0"/>
              <w:autoSpaceDN w:val="0"/>
              <w:adjustRightInd w:val="0"/>
              <w:snapToGrid w:val="0"/>
              <w:spacing w:line="360" w:lineRule="auto"/>
              <w:jc w:val="left"/>
              <w:rPr>
                <w:rFonts w:eastAsiaTheme="minorEastAsia"/>
                <w:b/>
                <w:color w:val="auto"/>
                <w:kern w:val="0"/>
                <w:sz w:val="24"/>
                <w:highlight w:val="none"/>
              </w:rPr>
            </w:pPr>
            <w:r>
              <w:rPr>
                <w:rFonts w:eastAsiaTheme="minorEastAsia"/>
                <w:b/>
                <w:color w:val="auto"/>
                <w:kern w:val="0"/>
                <w:sz w:val="24"/>
                <w:highlight w:val="none"/>
              </w:rPr>
              <w:t>（六）生态</w:t>
            </w:r>
          </w:p>
          <w:p w14:paraId="127F9EA9">
            <w:pPr>
              <w:adjustRightInd w:val="0"/>
              <w:snapToGrid w:val="0"/>
              <w:spacing w:line="360" w:lineRule="auto"/>
              <w:ind w:firstLine="480" w:firstLineChars="200"/>
              <w:rPr>
                <w:rFonts w:eastAsiaTheme="minorEastAsia"/>
                <w:color w:val="auto"/>
                <w:sz w:val="24"/>
                <w:highlight w:val="none"/>
              </w:rPr>
            </w:pPr>
            <w:r>
              <w:rPr>
                <w:rFonts w:hint="eastAsia" w:eastAsiaTheme="minorEastAsia"/>
                <w:color w:val="auto"/>
                <w:sz w:val="24"/>
                <w:highlight w:val="none"/>
                <w:lang w:val="en-US" w:eastAsia="zh-CN"/>
              </w:rPr>
              <w:t>本</w:t>
            </w:r>
            <w:r>
              <w:rPr>
                <w:rFonts w:eastAsiaTheme="minorEastAsia"/>
                <w:color w:val="auto"/>
                <w:sz w:val="24"/>
                <w:highlight w:val="none"/>
              </w:rPr>
              <w:t>项目</w:t>
            </w:r>
            <w:r>
              <w:rPr>
                <w:rFonts w:hint="eastAsia" w:eastAsiaTheme="minorEastAsia"/>
                <w:color w:val="auto"/>
                <w:sz w:val="24"/>
                <w:highlight w:val="none"/>
                <w:lang w:val="en-US" w:eastAsia="zh-CN"/>
              </w:rPr>
              <w:t>购买</w:t>
            </w:r>
            <w:r>
              <w:rPr>
                <w:rFonts w:eastAsiaTheme="minorEastAsia"/>
                <w:color w:val="auto"/>
                <w:sz w:val="24"/>
                <w:highlight w:val="none"/>
              </w:rPr>
              <w:t>现有</w:t>
            </w:r>
            <w:r>
              <w:rPr>
                <w:rFonts w:hint="eastAsia" w:eastAsiaTheme="minorEastAsia"/>
                <w:color w:val="auto"/>
                <w:sz w:val="24"/>
                <w:highlight w:val="none"/>
                <w:lang w:eastAsia="zh-CN"/>
              </w:rPr>
              <w:t>标准</w:t>
            </w:r>
            <w:r>
              <w:rPr>
                <w:rFonts w:eastAsiaTheme="minorEastAsia"/>
                <w:color w:val="auto"/>
                <w:sz w:val="24"/>
                <w:highlight w:val="none"/>
              </w:rPr>
              <w:t>生产厂房内进行，不新增用地，且用地范围内不涉及生态环境保护目标。</w:t>
            </w:r>
          </w:p>
          <w:p w14:paraId="7DECF3DB">
            <w:pPr>
              <w:widowControl/>
              <w:autoSpaceDE w:val="0"/>
              <w:autoSpaceDN w:val="0"/>
              <w:adjustRightInd w:val="0"/>
              <w:snapToGrid w:val="0"/>
              <w:spacing w:line="360" w:lineRule="auto"/>
              <w:jc w:val="left"/>
              <w:rPr>
                <w:rFonts w:eastAsiaTheme="minorEastAsia"/>
                <w:b/>
                <w:color w:val="auto"/>
                <w:kern w:val="0"/>
                <w:sz w:val="24"/>
                <w:highlight w:val="none"/>
              </w:rPr>
            </w:pPr>
            <w:r>
              <w:rPr>
                <w:rFonts w:eastAsiaTheme="minorEastAsia"/>
                <w:b/>
                <w:color w:val="auto"/>
                <w:kern w:val="0"/>
                <w:sz w:val="24"/>
                <w:highlight w:val="none"/>
              </w:rPr>
              <w:t>（七）环境风险</w:t>
            </w:r>
          </w:p>
          <w:p w14:paraId="3E5985C2">
            <w:pPr>
              <w:adjustRightInd w:val="0"/>
              <w:snapToGrid w:val="0"/>
              <w:spacing w:line="360" w:lineRule="auto"/>
              <w:ind w:firstLine="482" w:firstLineChars="200"/>
              <w:rPr>
                <w:b/>
                <w:bCs/>
                <w:color w:val="auto"/>
                <w:kern w:val="0"/>
                <w:sz w:val="24"/>
                <w:highlight w:val="none"/>
              </w:rPr>
            </w:pPr>
            <w:r>
              <w:rPr>
                <w:b/>
                <w:bCs/>
                <w:color w:val="auto"/>
                <w:kern w:val="0"/>
                <w:sz w:val="24"/>
                <w:highlight w:val="none"/>
              </w:rPr>
              <w:t>1、环境风险源识别</w:t>
            </w:r>
          </w:p>
          <w:p w14:paraId="48D8EEA6">
            <w:pPr>
              <w:adjustRightInd w:val="0"/>
              <w:snapToGrid w:val="0"/>
              <w:spacing w:line="360" w:lineRule="auto"/>
              <w:ind w:firstLine="480" w:firstLineChars="200"/>
              <w:rPr>
                <w:color w:val="auto"/>
                <w:kern w:val="0"/>
                <w:sz w:val="24"/>
                <w:highlight w:val="none"/>
              </w:rPr>
            </w:pPr>
            <w:r>
              <w:rPr>
                <w:color w:val="auto"/>
                <w:kern w:val="0"/>
                <w:sz w:val="24"/>
                <w:highlight w:val="none"/>
              </w:rPr>
              <w:t>（1）危险物质识别</w:t>
            </w:r>
          </w:p>
          <w:p w14:paraId="560DDF50">
            <w:pPr>
              <w:adjustRightInd w:val="0"/>
              <w:snapToGrid w:val="0"/>
              <w:spacing w:line="360" w:lineRule="auto"/>
              <w:ind w:firstLine="480" w:firstLineChars="200"/>
              <w:jc w:val="left"/>
              <w:rPr>
                <w:color w:val="auto"/>
                <w:sz w:val="24"/>
                <w:highlight w:val="none"/>
              </w:rPr>
            </w:pPr>
            <w:r>
              <w:rPr>
                <w:color w:val="auto"/>
                <w:sz w:val="24"/>
                <w:highlight w:val="none"/>
              </w:rPr>
              <w:t>本项目生产、储运过程中涉及的有毒有害、易燃易爆物质，根据《建设项目环境风险评价</w:t>
            </w:r>
            <w:r>
              <w:rPr>
                <w:rFonts w:hint="eastAsia"/>
                <w:color w:val="auto"/>
                <w:sz w:val="24"/>
                <w:highlight w:val="none"/>
                <w:lang w:val="en-US" w:eastAsia="zh-CN"/>
              </w:rPr>
              <w:t>技术</w:t>
            </w:r>
            <w:r>
              <w:rPr>
                <w:color w:val="auto"/>
                <w:sz w:val="24"/>
                <w:highlight w:val="none"/>
              </w:rPr>
              <w:t>导则》（HJ169-2018）中“表B.1突发环境事件风险物质及临界量”表格确定危险物质的临界量。当存在多种危险物质时，按下列公式计算物质总量与其临界量比值（Q）。</w:t>
            </w:r>
          </w:p>
          <w:p w14:paraId="0F44BD93">
            <w:pPr>
              <w:adjustRightInd w:val="0"/>
              <w:snapToGrid w:val="0"/>
              <w:spacing w:line="360" w:lineRule="auto"/>
              <w:ind w:firstLine="480" w:firstLineChars="200"/>
              <w:jc w:val="center"/>
              <w:rPr>
                <w:color w:val="auto"/>
                <w:sz w:val="24"/>
                <w:highlight w:val="none"/>
              </w:rPr>
            </w:pPr>
            <w:r>
              <w:rPr>
                <w:color w:val="auto"/>
                <w:sz w:val="24"/>
                <w:highlight w:val="none"/>
              </w:rPr>
              <w:fldChar w:fldCharType="begin"/>
            </w:r>
            <w:r>
              <w:rPr>
                <w:color w:val="auto"/>
                <w:sz w:val="24"/>
                <w:highlight w:val="none"/>
              </w:rPr>
              <w:instrText xml:space="preserve"> QUOTE </w:instrText>
            </w:r>
            <w:r>
              <w:rPr>
                <w:color w:val="auto"/>
                <w:position w:val="-15"/>
                <w:sz w:val="24"/>
                <w:highlight w:val="none"/>
              </w:rPr>
              <w:pict>
                <v:shape id="_x0000_i1028" o:spt="75" type="#_x0000_t75" style="height:18pt;width:84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quot;/&gt;&lt;w:noLinl=&quot;156&quot;/&gt;&lt;w:displ=&quot;156&quot;/&gt;&lt;w:displ=&quot;156&quot;/&gt;&lt;w:displ=&quot;156&quot;/&gt;&lt;w:displ=&quot;156&quot;/&gt;&lt;w:displ=&quot;156&quot;/&gt;&lt;w:dispeB&quot;156&quot;/&gt;&lt;w:displareaksBefore w:lang=&quot;ZH-CN&quot; w:val=&quot;!),.:;?]}¨·ˇˉ―‖’”…∶、。〃々〉》」』】〕〗！＂＇），．：；？］｀｜｝～￠&quot;/&gt;&lt;w:webPageEncoding w:val=&quot;x-cp20936&quot;/&gt;&lt;【〔〖（．［｛￡￥&quot;/&gt;&lt;w:noLinl=&quot;156&quot;/&gt;&lt;w:dispw:optimizeForBro【〔〖（．［｛￡￥&quot;/&gt;&lt;w:noLinl=&quot;156&quot;/&gt;&lt;w:dispwser/&gt;&lt;w:targetS【〔〖（．［｛￡￥&quot;/&gt;&lt;w:noLinl=&quot;156&quot;/&gt;&lt;w:dispcreenSz w:val=&quot;8【〔〖（．［｛￡￥&quot;/&gt;&lt;w:noLinl=&quot;156&quot;/&gt;&lt;w:disp00x600&quot;/&gt;&lt;w:vali【〔〖（．［｛￡￥&quot;/&gt;&lt;w:noLinl=&quot;156&quot;/&gt;&lt;w:dispdateAgainst【〔〖（．［｛￡￥&quot;/&gt;&lt;w:noLinl=&quot;156&quot;/&gt;&lt;w:dispSchem【〔〖（．［｛￡￥&quot;/&gt;&lt;w:noLinl=&quot;156&quot;/&gt;&lt;w:dispa w:val=&quot;of【〔〖（．［｛￡￥&quot;/&gt;&lt;w:noLinl=&quot;156&quot;/&gt;&lt;w:dispf&quot;/&gt;&lt;w:〖（．［｛￡￥&quot;/&gt;&lt;w:noLineB&quot;156&quot;/&gt;&lt;w:displasaveInvalid〖（．［｛￡￥&quot;/&gt;&lt;w:noLinl=&quot;156&quot;/&gt;&lt;w:dispXML w:val=&quot;off&quot;/&gt;&lt;w:ignoreMixedContent w:val=&quot;o．［｛￡￥&quot;/&gt;&lt;w:noLinl=&quot;156&quot;/&gt;&lt;w:dispff&quot;/&gt;&lt;w:always&gt;&lt;w:noLinl=&quot;156&quot;/&gt;&lt;w:dispShowPlaceholderText w:val=&quot;off&quot;/&gt;&lt;w:doNotUnderlineInvalidXML/l=&quot;156&quot;156&quot;/&gt;&lt;w:disp&quot;/&gt;&lt;w:disp&gt;&lt;w:compat&gt;&lt;w:spaceForUL/&gt;&lt;w:balanceSingleByteDoubleByteWidth&lt;w:disp/&gt;&lt;w:doNotLeaveBackslashAlone/&gt;&lt;w:ulTrailSpace/&gt;&lt;w:doNotExpandShiftReturn/&gt;&lt;w:adjustLineHeightInTable/&gt;&lt;w:breakWrappedTables/&gt;&lt;w:snapToGridInCell/&gt;&lt;w:wrapTextWithPunct/&gt;&lt;w:useAsianBreakRules/&gt;&lt;w:dontGrowAutofit/&gt;&lt;w:useFELayout/&gt;&lt;/w:compat&gt;&lt;wsp:rsids&gt;&lt;wsp:rsidRoot wsp:val=&quot;00A14947&quot;/&gt;&lt;wsp:rsid wsp:val=&quot;000060B3&quot;/&gt;&lt;wsp:rsid wsp:val=&quot;00037E67&quot;/&gt;&lt;wsp:rsid wsp:val=&quot;0004364B&quot;/&gt;&lt;wsp:rsid wsp:val=&quot;00061B1F&quot;/&gt;&lt;wsp:rsid wsp:val=&quot;000733C4&quot;/&gt;&lt;wsp:rsid wsp:val=&quot;00074783&quot;/&gt;&lt;wsp:rsid wsp:val=&quot;0008070B&quot;/&gt;&lt;wsp:rsid wsp:val=&quot;000810AC&quot;/&gt;&lt;wsp:rsid wsp:val=&quot;00081A02&quot;/&gt;&lt;wsp:rsid wsp:val=&quot;00082231&quot;/&gt;&lt;wsp:rsid wsp:val=&quot;00092D38&quot;/&gt;&lt;wsp:rsid wsp:val=&quot;0009377B&quot;/&gt;&lt;wsp:rsid wsp:val=&quot;000A20C9&quot;/&gt;&lt;wsp:rsid wsp:val=&quot;000A76FD&quot;/&gt;&lt;wsp:rsid wsp:val=&quot;000B058F&quot;/&gt;&lt;wsp:rsid wsp:val=&quot;000B4467&quot;/&gt;&lt;wsp:rsid wsp:val=&quot;000B4DB9&quot;/&gt;&lt;wsp:rsid wsp:val=&quot;000C09AC&quot;/&gt;&lt;wsp:rsid wsp:val=&quot;000C767F&quot;/&gt;&lt;wsp:rsid wsp:val=&quot;000D5A44&quot;/&gt;&lt;wsp:rsid wsp:val=&quot;000E3ED2&quot;/&gt;&lt;wsp:rsid wsp:val=&quot;000F6AFA&quot;/&gt;&lt;wsp:rsid wsp:val=&quot;00131F42&quot;/&gt;&lt;wsp:rsid wsp:val=&quot;001357F1&quot;/&gt;&lt;wsp:rsid wsp:val=&quot;00140FA8&quot;/&gt;&lt;wsp:rsid wsp:val=&quot;00142FEB&quot;/&gt;&lt;wsp:rsid wsp:val=&quot;00143A2D&quot;/&gt;&lt;wsp:rsid wsp:val=&quot;00145A41&quot;/&gt;&lt;wsp:rsid wsp:val=&quot;00151675&quot;/&gt;&lt;wsp:rsid wsp:val=&quot;00157435&quot;/&gt;&lt;wsp:rsid wsp:val=&quot;0017504D&quot;/&gt;&lt;wsp:rsid wsp:val=&quot;0017671A&quot;/&gt;&lt;wsp:rsid wsp:val=&quot;00177422&quot;/&gt;&lt;wsp:rsid wsp:val=&quot;00184590&quot;/&gt;&lt;wsp:rsid wsp:val=&quot;001870D1&quot;/&gt;&lt;wsp:rsid wsp:val=&quot;0018781E&quot;/&gt;&lt;wsp:rsid wsp:val=&quot;0019262D&quot;/&gt;&lt;wsp:rsid wsp:val=&quot;001A1B35&quot;/&gt;&lt;wsp:rsid wsp:val=&quot;001A48A2&quot;/&gt;&lt;wsp:rsid wsp:val=&quot;001A6F61&quot;/&gt;&lt;wsp:rsid wsp:val=&quot;001B72B8&quot;/&gt;&lt;wsp:rsid wsp:val=&quot;001C69B3&quot;/&gt;&lt;wsp:rsid wsp:val=&quot;001C7AB1&quot;/&gt;&lt;wsp:rsid wsp:val=&quot;001D5595&quot;/&gt;&lt;wsp:rsid wsp:val=&quot;001D7874&quot;/&gt;&lt;wsp:rsid wsp:val=&quot;001D7F22&quot;/&gt;&lt;wsp:rsid wsp:val=&quot;001F0F17&quot;/&gt;&lt;wsp:rsid wsp:val=&quot;001F2C7E&quot;/&gt;&lt;wsp:rsid wsp:val=&quot;001F3347&quot;/&gt;&lt;wsp:rsid wsp:val=&quot;001F69E4&quot;/&gt;&lt;wsp:rsid wsp:val=&quot;00205936&quot;/&gt;&lt;wsp:rsid wsp:val=&quot;002125B4&quot;/&gt;&lt;wsp:rsid wsp:val=&quot;002155B8&quot;/&gt;&lt;wsp:rsid wsp:val=&quot;00224839&quot;/&gt;&lt;wsp:rsid wsp:val=&quot;002249B2&quot;/&gt;&lt;wsp:rsid wsp:val=&quot;00226574&quot;/&gt;&lt;wsp:rsid wsp:val=&quot;002278EC&quot;/&gt;&lt;wsp:rsid wsp:val=&quot;0023280E&quot;/&gt;&lt;wsp:rsid wsp:val=&quot;002377D1&quot;/&gt;&lt;wsp:rsid wsp:val=&quot;002506BC&quot;/&gt;&lt;wsp:rsid wsp:val=&quot;00254345&quot;/&gt;&lt;wsp:rsid wsp:val=&quot;00264557&quot;/&gt;&lt;wsp:rsid wsp:val=&quot;002805AB&quot;/&gt;&lt;wsp:rsid wsp:val=&quot;00284204&quot;/&gt;&lt;wsp:rsid wsp:val=&quot;00291773&quot;/&gt;&lt;wsp:rsid wsp:val=&quot;002A168C&quot;/&gt;&lt;wsp:rsid wsp:val=&quot;002A3DC7&quot;/&gt;&lt;wsp:rsid wsp:val=&quot;002B49E2&quot;/&gt;&lt;wsp:rsid wsp:val=&quot;002B7B00&quot;/&gt;&lt;wsp:rsid wsp:val=&quot;002B7C44&quot;/&gt;&lt;wsp:rsid wsp:val=&quot;002C2B17&quot;/&gt;&lt;wsp:rsid wsp:val=&quot;002D3DD0&quot;/&gt;&lt;wsp:rsid wsp:val=&quot;002E1F3A&quot;/&gt;&lt;wsp:rsid wsp:val=&quot;002E298A&quot;/&gt;&lt;wsp:rsid wsp:val=&quot;00301978&quot;/&gt;&lt;wsp:rsid wsp:val=&quot;0030332C&quot;/&gt;&lt;wsp:rsid wsp:val=&quot;003051C2&quot;/&gt;&lt;wsp:rsid wsp:val=&quot;00312296&quot;/&gt;&lt;wsp:rsid wsp:val=&quot;00314F0E&quot;/&gt;&lt;wsp:rsid wsp:val=&quot;00321D8E&quot;/&gt;&lt;wsp:rsid wsp:val=&quot;00325928&quot;/&gt;&lt;wsp:rsid wsp:val=&quot;00332863&quot;/&gt;&lt;wsp:rsid wsp:val=&quot;0033684D&quot;/&gt;&lt;wsp:rsid wsp:val=&quot;00337B42&quot;/&gt;&lt;wsp:rsid wsp:val=&quot;00341B42&quot;/&gt;&lt;wsp:rsid wsp:val=&quot;0034348F&quot;/&gt;&lt;wsp:rsid wsp:val=&quot;00356653&quot;/&gt;&lt;wsp:rsid wsp:val=&quot;0035743F&quot;/&gt;&lt;wsp:rsid wsp:val=&quot;00357BE2&quot;/&gt;&lt;wsp:rsid wsp:val=&quot;0036170C&quot;/&gt;&lt;wsp:rsid wsp:val=&quot;00365F82&quot;/&gt;&lt;wsp:rsid wsp:val=&quot;00366E0F&quot;/&gt;&lt;wsp:rsid wsp:val=&quot;003734A0&quot;/&gt;&lt;wsp:rsid wsp:val=&quot;00381A72&quot;/&gt;&lt;wsp:rsid wsp:val=&quot;00384676&quot;/&gt;&lt;wsp:rsid wsp:val=&quot;00390857&quot;/&gt;&lt;wsp:rsid wsp:val=&quot;003A4BF3&quot;/&gt;&lt;wsp:rsid wsp:val=&quot;003B420D&quot;/&gt;&lt;wsp:rsid wsp:val=&quot;003C6C16&quot;/&gt;&lt;wsp:rsid wsp:val=&quot;003D5D1D&quot;/&gt;&lt;wsp:rsid wsp:val=&quot;003D794D&quot;/&gt;&lt;wsp:rsid wsp:val=&quot;003E3058&quot;/&gt;&lt;wsp:rsid wsp:val=&quot;003E76A9&quot;/&gt;&lt;wsp:rsid wsp:val=&quot;003F0809&quot;/&gt;&lt;wsp:rsid wsp:val=&quot;003F6A8C&quot;/&gt;&lt;wsp:rsid wsp:val=&quot;003F755C&quot;/&gt;&lt;wsp:rsid wsp:val=&quot;00406F01&quot;/&gt;&lt;wsp:rsid wsp:val=&quot;00416D50&quot;/&gt;&lt;wsp:rsid wsp:val=&quot;00416FD5&quot;/&gt;&lt;wsp:rsid wsp:val=&quot;00417772&quot;/&gt;&lt;wsp:rsid wsp:val=&quot;00420E6A&quot;/&gt;&lt;wsp:rsid wsp:val=&quot;00425A9E&quot;/&gt;&lt;wsp:rsid wsp:val=&quot;00426D6B&quot;/&gt;&lt;wsp:rsid wsp:val=&quot;00431E6C&quot;/&gt;&lt;wsp:rsid wsp:val=&quot;00433CE7&quot;/&gt;&lt;wsp:rsid wsp:val=&quot;00452738&quot;/&gt;&lt;wsp:rsid wsp:val=&quot;00456091&quot;/&gt;&lt;wsp:rsid wsp:val=&quot;00466321&quot;/&gt;&lt;wsp:rsid wsp:val=&quot;00484B9B&quot;/&gt;&lt;wsp:rsid wsp:val=&quot;004855F6&quot;/&gt;&lt;wsp:rsid wsp:val=&quot;0048661E&quot;/&gt;&lt;wsp:rsid wsp:val=&quot;00494670&quot;/&gt;&lt;wsp:rsid wsp:val=&quot;004A3823&quot;/&gt;&lt;wsp:rsid wsp:val=&quot;004E6946&quot;/&gt;&lt;wsp:rsid wsp:val=&quot;004F1AD8&quot;/&gt;&lt;wsp:rsid wsp:val=&quot;00503930&quot;/&gt;&lt;wsp:rsid wsp:val=&quot;005039CB&quot;/&gt;&lt;wsp:rsid wsp:val=&quot;0050558F&quot;/&gt;&lt;wsp:rsid wsp:val=&quot;00506286&quot;/&gt;&lt;wsp:rsid wsp:val=&quot;00510813&quot;/&gt;&lt;wsp:rsid wsp:val=&quot;00511990&quot;/&gt;&lt;wsp:rsid wsp:val=&quot;00511DE0&quot;/&gt;&lt;wsp:rsid wsp:val=&quot;00514870&quot;/&gt;&lt;wsp:rsid wsp:val=&quot;00514B9B&quot;/&gt;&lt;wsp:rsid wsp:val=&quot;00517F02&quot;/&gt;&lt;wsp:rsid wsp:val=&quot;00524303&quot;/&gt;&lt;wsp:rsid wsp:val=&quot;005258A2&quot;/&gt;&lt;wsp:rsid wsp:val=&quot;005379CC&quot;/&gt;&lt;wsp:rsid wsp:val=&quot;005401AE&quot;/&gt;&lt;wsp:rsid wsp:val=&quot;00542E07&quot;/&gt;&lt;wsp:rsid wsp:val=&quot;00545424&quot;/&gt;&lt;wsp:rsid wsp:val=&quot;00554A7B&quot;/&gt;&lt;wsp:rsid wsp:val=&quot;0055572C&quot;/&gt;&lt;wsp:rsid wsp:val=&quot;0056106A&quot;/&gt;&lt;wsp:rsid wsp:val=&quot;005720AE&quot;/&gt;&lt;wsp:rsid wsp:val=&quot;005912C9&quot;/&gt;&lt;wsp:rsid wsp:val=&quot;00594D77&quot;/&gt;&lt;wsp:rsid wsp:val=&quot;005969E4&quot;/&gt;&lt;wsp:rsid wsp:val=&quot;005A06B7&quot;/&gt;&lt;wsp:rsid wsp:val=&quot;005A1759&quot;/&gt;&lt;wsp:rsid wsp:val=&quot;005A4D91&quot;/&gt;&lt;wsp:rsid wsp:val=&quot;005A68A7&quot;/&gt;&lt;wsp:rsid wsp:val=&quot;005D36AB&quot;/&gt;&lt;wsp:rsid wsp:val=&quot;00617CC3&quot;/&gt;&lt;wsp:rsid wsp:val=&quot;006377A6&quot;/&gt;&lt;wsp:rsid wsp:val=&quot;00637A3D&quot;/&gt;&lt;wsp:rsid wsp:val=&quot;006411EF&quot;/&gt;&lt;wsp:rsid wsp:val=&quot;006748B8&quot;/&gt;&lt;wsp:rsid wsp:val=&quot;006775C3&quot;/&gt;&lt;wsp:rsid wsp:val=&quot;0069290A&quot;/&gt;&lt;wsp:rsid wsp:val=&quot;0069775A&quot;/&gt;&lt;wsp:rsid wsp:val=&quot;00697813&quot;/&gt;&lt;wsp:rsid wsp:val=&quot;006A3EE8&quot;/&gt;&lt;wsp:rsid wsp:val=&quot;006A72BF&quot;/&gt;&lt;wsp:rsid wsp:val=&quot;006B03F2&quot;/&gt;&lt;wsp:rsid wsp:val=&quot;006B37DC&quot;/&gt;&lt;wsp:rsid wsp:val=&quot;006B4F68&quot;/&gt;&lt;wsp:rsid wsp:val=&quot;006C0592&quot;/&gt;&lt;wsp:rsid wsp:val=&quot;006C272E&quot;/&gt;&lt;wsp:rsid wsp:val=&quot;006C5479&quot;/&gt;&lt;wsp:rsid wsp:val=&quot;006D13B5&quot;/&gt;&lt;wsp:rsid wsp:val=&quot;006E12FF&quot;/&gt;&lt;wsp:rsid wsp:val=&quot;006E607E&quot;/&gt;&lt;wsp:rsid wsp:val=&quot;00706C5D&quot;/&gt;&lt;wsp:rsid wsp:val=&quot;00732922&quot;/&gt;&lt;wsp:rsid wsp:val=&quot;0075162E&quot;/&gt;&lt;wsp:rsid wsp:val=&quot;00754034&quot;/&gt;&lt;wsp:rsid wsp:val=&quot;00756556&quot;/&gt;&lt;wsp:rsid wsp:val=&quot;007618C4&quot;/&gt;&lt;wsp:rsid wsp:val=&quot;00767980&quot;/&gt;&lt;wsp:rsid wsp:val=&quot;00770B19&quot;/&gt;&lt;wsp:rsid wsp:val=&quot;0077463F&quot;/&gt;&lt;wsp:rsid wsp:val=&quot;007836EA&quot;/&gt;&lt;wsp:rsid wsp:val=&quot;00784CDA&quot;/&gt;&lt;wsp:rsid wsp:val=&quot;007906C4&quot;/&gt;&lt;wsp:rsid wsp:val=&quot;007940EA&quot;/&gt;&lt;wsp:rsid wsp:val=&quot;007967E8&quot;/&gt;&lt;wsp:rsid wsp:val=&quot;007A2170&quot;/&gt;&lt;wsp:rsid wsp:val=&quot;007A22BF&quot;/&gt;&lt;wsp:rsid wsp:val=&quot;007A3323&quot;/&gt;&lt;wsp:rsid wsp:val=&quot;007B72B8&quot;/&gt;&lt;wsp:rsid wsp:val=&quot;007B7A58&quot;/&gt;&lt;wsp:rsid wsp:val=&quot;007C21B5&quot;/&gt;&lt;wsp:rsid wsp:val=&quot;007E4BD2&quot;/&gt;&lt;wsp:rsid wsp:val=&quot;00801393&quot;/&gt;&lt;wsp:rsid wsp:val=&quot;00802F88&quot;/&gt;&lt;wsp:rsid wsp:val=&quot;0081293E&quot;/&gt;&lt;wsp:rsid wsp:val=&quot;00815465&quot;/&gt;&lt;wsp:rsid wsp:val=&quot;00817E9A&quot;/&gt;&lt;wsp:rsid wsp:val=&quot;0082741D&quot;/&gt;&lt;wsp:rsid wsp:val=&quot;008306BD&quot;/&gt;&lt;wsp:rsid wsp:val=&quot;00831A80&quot;/&gt;&lt;wsp:rsid wsp:val=&quot;00833743&quot;/&gt;&lt;wsp:rsid wsp:val=&quot;008340A4&quot;/&gt;&lt;wsp:rsid wsp:val=&quot;00842E9C&quot;/&gt;&lt;wsp:rsid wsp:val=&quot;00852E42&quot;/&gt;&lt;wsp:rsid wsp:val=&quot;0087135F&quot;/&gt;&lt;wsp:rsid wsp:val=&quot;00872D94&quot;/&gt;&lt;wsp:rsid wsp:val=&quot;00880364&quot;/&gt;&lt;wsp:rsid wsp:val=&quot;008834B4&quot;/&gt;&lt;wsp:rsid wsp:val=&quot;00891592&quot;/&gt;&lt;wsp:rsid wsp:val=&quot;00891E9E&quot;/&gt;&lt;wsp:rsid wsp:val=&quot;008A2F68&quot;/&gt;&lt;wsp:rsid wsp:val=&quot;008B0666&quot;/&gt;&lt;wsp:rsid wsp:val=&quot;008B4FA6&quot;/&gt;&lt;wsp:rsid wsp:val=&quot;008B5282&quot;/&gt;&lt;wsp:rsid wsp:val=&quot;008B7C17&quot;/&gt;&lt;wsp:rsid wsp:val=&quot;008C2D01&quot;/&gt;&lt;wsp:rsid wsp:val=&quot;008C40E6&quot;/&gt;&lt;wsp:rsid wsp:val=&quot;008D0F7A&quot;/&gt;&lt;wsp:rsid wsp:val=&quot;008D68E4&quot;/&gt;&lt;wsp:rsid wsp:val=&quot;008E0506&quot;/&gt;&lt;wsp:rsid wsp:val=&quot;008E0CFF&quot;/&gt;&lt;wsp:rsid wsp:val=&quot;008E5D6B&quot;/&gt;&lt;wsp:rsid wsp:val=&quot;008E76F0&quot;/&gt;&lt;wsp:rsid wsp:val=&quot;008F15FE&quot;/&gt;&lt;wsp:rsid wsp:val=&quot;008F2D29&quot;/&gt;&lt;wsp:rsid wsp:val=&quot;008F5187&quot;/&gt;&lt;wsp:rsid wsp:val=&quot;008F60D8&quot;/&gt;&lt;wsp:rsid wsp:val=&quot;00902727&quot;/&gt;&lt;wsp:rsid wsp:val=&quot;0090312B&quot;/&gt;&lt;wsp:rsid wsp:val=&quot;0091736D&quot;/&gt;&lt;wsp:rsid wsp:val=&quot;0093037A&quot;/&gt;&lt;wsp:rsid wsp:val=&quot;0094154D&quot;/&gt;&lt;wsp:rsid wsp:val=&quot;0095155F&quot;/&gt;&lt;wsp:rsid wsp:val=&quot;00954429&quot;/&gt;&lt;wsp:rsid wsp:val=&quot;009563CE&quot;/&gt;&lt;wsp:rsid wsp:val=&quot;00976328&quot;/&gt;&lt;wsp:rsid wsp:val=&quot;0097680D&quot;/&gt;&lt;wsp:rsid wsp:val=&quot;00982438&quot;/&gt;&lt;wsp:rsid wsp:val=&quot;0098404C&quot;/&gt;&lt;wsp:rsid wsp:val=&quot;00985283&quot;/&gt;&lt;wsp:rsid wsp:val=&quot;00995992&quot;/&gt;&lt;wsp:rsid wsp:val=&quot;0099619E&quot;/&gt;&lt;wsp:rsid wsp:val=&quot;009A03E5&quot;/&gt;&lt;wsp:rsid wsp:val=&quot;009A0F3B&quot;/&gt;&lt;wsp:rsid wsp:val=&quot;009A1BB4&quot;/&gt;&lt;wsp:rsid wsp:val=&quot;009A2628&quot;/&gt;&lt;wsp:rsid wsp:val=&quot;009A3200&quot;/&gt;&lt;wsp:rsid wsp:val=&quot;009B0897&quot;/&gt;&lt;wsp:rsid wsp:val=&quot;009B7BD9&quot;/&gt;&lt;wsp:rsid wsp:val=&quot;009C7DD5&quot;/&gt;&lt;wsp:rsid wsp:val=&quot;009E227D&quot;/&gt;&lt;wsp:rsid wsp:val=&quot;009E5019&quot;/&gt;&lt;wsp:rsid wsp:val=&quot;00A04F1B&quot;/&gt;&lt;wsp:rsid wsp:val=&quot;00A0501B&quot;/&gt;&lt;wsp:rsid wsp:val=&quot;00A14947&quot;/&gt;&lt;wsp:rsid wsp:val=&quot;00A32A83&quot;/&gt;&lt;wsp:rsid wsp:val=&quot;00A368DB&quot;/&gt;&lt;wsp:rsid wsp:val=&quot;00A423AA&quot;/&gt;&lt;wsp:rsid wsp:val=&quot;00A53EC6&quot;/&gt;&lt;wsp:rsid wsp:val=&quot;00A55C0F&quot;/&gt;&lt;wsp:rsid wsp:val=&quot;00A8713F&quot;/&gt;&lt;wsp:rsid wsp:val=&quot;00A90BA1&quot;/&gt;&lt;wsp:rsid wsp:val=&quot;00A97A9A&quot;/&gt;&lt;wsp:rsid wsp:val=&quot;00AA0671&quot;/&gt;&lt;wsp:rsid wsp:val=&quot;00AA2531&quot;/&gt;&lt;wsp:rsid wsp:val=&quot;00AB1E09&quot;/&gt;&lt;wsp:rsid wsp:val=&quot;00AB5330&quot;/&gt;&lt;wsp:rsid wsp:val=&quot;00AB7747&quot;/&gt;&lt;wsp:rsid wsp:val=&quot;00AC14CE&quot;/&gt;&lt;wsp:rsid wsp:val=&quot;00AC2A56&quot;/&gt;&lt;wsp:rsid wsp:val=&quot;00AD055E&quot;/&gt;&lt;wsp:rsid wsp:val=&quot;00AD12F9&quot;/&gt;&lt;wsp:rsid wsp:val=&quot;00AD47A7&quot;/&gt;&lt;wsp:rsid wsp:val=&quot;00AF0CBF&quot;/&gt;&lt;wsp:rsid wsp:val=&quot;00AF257F&quot;/&gt;&lt;wsp:rsid wsp:val=&quot;00AF33CF&quot;/&gt;&lt;wsp:rsid wsp:val=&quot;00AF4D50&quot;/&gt;&lt;wsp:rsid wsp:val=&quot;00AF6179&quot;/&gt;&lt;wsp:rsid wsp:val=&quot;00B1295A&quot;/&gt;&lt;wsp:rsid wsp:val=&quot;00B20A45&quot;/&gt;&lt;wsp:rsid wsp:val=&quot;00B22C5C&quot;/&gt;&lt;wsp:rsid wsp:val=&quot;00B24F30&quot;/&gt;&lt;wsp:rsid wsp:val=&quot;00B31ABF&quot;/&gt;&lt;wsp:rsid wsp:val=&quot;00B33BE3&quot;/&gt;&lt;wsp:rsid wsp:val=&quot;00B53B5D&quot;/&gt;&lt;wsp:rsid wsp:val=&quot;00B6055E&quot;/&gt;&lt;wsp:rsid wsp:val=&quot;00B6317D&quot;/&gt;&lt;wsp:rsid wsp:val=&quot;00B7723F&quot;/&gt;&lt;wsp:rsid wsp:val=&quot;00B80534&quot;/&gt;&lt;wsp:rsid wsp:val=&quot;00B8433C&quot;/&gt;&lt;wsp:rsid wsp:val=&quot;00B87491&quot;/&gt;&lt;wsp:rsid wsp:val=&quot;00BA29E9&quot;/&gt;&lt;wsp:rsid wsp:val=&quot;00BA7142&quot;/&gt;&lt;wsp:rsid wsp:val=&quot;00BB237C&quot;/&gt;&lt;wsp:rsid wsp:val=&quot;00BB3740&quot;/&gt;&lt;wsp:rsid wsp:val=&quot;00BB41A3&quot;/&gt;&lt;wsp:rsid wsp:val=&quot;00BC32DC&quot;/&gt;&lt;wsp:rsid wsp:val=&quot;00BC35B6&quot;/&gt;&lt;wsp:rsid wsp:val=&quot;00BD1B51&quot;/&gt;&lt;wsp:rsid wsp:val=&quot;00BD4596&quot;/&gt;&lt;wsp:rsid wsp:val=&quot;00BE1405&quot;/&gt;&lt;wsp:rsid wsp:val=&quot;00BE312D&quot;/&gt;&lt;wsp:rsid wsp:val=&quot;00BF1C20&quot;/&gt;&lt;wsp:rsid wsp:val=&quot;00BF3523&quot;/&gt;&lt;wsp:rsid wsp:val=&quot;00C10578&quot;/&gt;&lt;wsp:rsid wsp:val=&quot;00C135BC&quot;/&gt;&lt;wsp:rsid wsp:val=&quot;00C15C95&quot;/&gt;&lt;wsp:rsid wsp:val=&quot;00C2596A&quot;/&gt;&lt;wsp:rsid wsp:val=&quot;00C27537&quot;/&gt;&lt;wsp:rsid wsp:val=&quot;00C328FE&quot;/&gt;&lt;wsp:rsid wsp:val=&quot;00C33507&quot;/&gt;&lt;wsp:rsid wsp:val=&quot;00C4409D&quot;/&gt;&lt;wsp:rsid wsp:val=&quot;00C44E72&quot;/&gt;&lt;wsp:rsid wsp:val=&quot;00C45A06&quot;/&gt;&lt;wsp:rsid wsp:val=&quot;00C47E5B&quot;/&gt;&lt;wsp:rsid wsp:val=&quot;00C61E4B&quot;/&gt;&lt;wsp:rsid wsp:val=&quot;00C64BFF&quot;/&gt;&lt;wsp:rsid wsp:val=&quot;00C704E9&quot;/&gt;&lt;wsp:rsid wsp:val=&quot;00C71050&quot;/&gt;&lt;wsp:rsid wsp:val=&quot;00C763C9&quot;/&gt;&lt;wsp:rsid wsp:val=&quot;00C80057&quot;/&gt;&lt;wsp:rsid wsp:val=&quot;00C82232&quot;/&gt;&lt;wsp:rsid wsp:val=&quot;00C82913&quot;/&gt;&lt;wsp:rsid wsp:val=&quot;00C972B1&quot;/&gt;&lt;wsp:rsid wsp:val=&quot;00CA2CCE&quot;/&gt;&lt;wsp:rsid wsp:val=&quot;00CA43FD&quot;/&gt;&lt;wsp:rsid wsp:val=&quot;00CA7EF8&quot;/&gt;&lt;wsp:rsid wsp:val=&quot;00CC489B&quot;/&gt;&lt;wsp:rsid wsp:val=&quot;00CD2BCD&quot;/&gt;&lt;wsp:rsid wsp:val=&quot;00CD3A4C&quot;/&gt;&lt;wsp:rsid wsp:val=&quot;00CE10E9&quot;/&gt;&lt;wsp:rsid wsp:val=&quot;00CE2910&quot;/&gt;&lt;wsp:rsid wsp:val=&quot;00CE5393&quot;/&gt;&lt;wsp:rsid wsp:val=&quot;00CF36BE&quot;/&gt;&lt;wsp:rsid wsp:val=&quot;00CF6000&quot;/&gt;&lt;wsp:rsid wsp:val=&quot;00D003F3&quot;/&gt;&lt;wsp:rsid wsp:val=&quot;00D0364F&quot;/&gt;&lt;wsp:rsid wsp:val=&quot;00D06834&quot;/&gt;&lt;wsp:rsid wsp:val=&quot;00D308ED&quot;/&gt;&lt;wsp:rsid wsp:val=&quot;00D36D86&quot;/&gt;&lt;wsp:rsid wsp:val=&quot;00D428AA&quot;/&gt;&lt;wsp:rsid wsp:val=&quot;00D50A34&quot;/&gt;&lt;wsp:rsid wsp:val=&quot;00D53EFA&quot;/&gt;&lt;wsp:rsid wsp:val=&quot;00D94A7C&quot;/&gt;&lt;wsp:rsid wsp:val=&quot;00D95896&quot;/&gt;&lt;wsp:rsid wsp:val=&quot;00DB2983&quot;/&gt;&lt;wsp:rsid wsp:val=&quot;00DC1257&quot;/&gt;&lt;wsp:rsid wsp:val=&quot;00DC3DC0&quot;/&gt;&lt;wsp:rsid wsp:val=&quot;00DC5B2B&quot;/&gt;&lt;wsp:rsid wsp:val=&quot;00DD318D&quot;/&gt;&lt;wsp:rsid wsp:val=&quot;00DF2E12&quot;/&gt;&lt;wsp:rsid wsp:val=&quot;00DF514A&quot;/&gt;&lt;wsp:rsid wsp:val=&quot;00DF6690&quot;/&gt;&lt;wsp:rsid wsp:val=&quot;00DF6804&quot;/&gt;&lt;wsp:rsid wsp:val=&quot;00E0358D&quot;/&gt;&lt;wsp:rsid wsp:val=&quot;00E04323&quot;/&gt;&lt;wsp:rsid wsp:val=&quot;00E070A2&quot;/&gt;&lt;wsp:rsid wsp:val=&quot;00E205AF&quot;/&gt;&lt;wsp:rsid wsp:val=&quot;00E2656A&quot;/&gt;&lt;wsp:rsid wsp:val=&quot;00E412D0&quot;/&gt;&lt;wsp:rsid wsp:val=&quot;00E56322&quot;/&gt;&lt;wsp:rsid wsp:val=&quot;00E60982&quot;/&gt;&lt;wsp:rsid wsp:val=&quot;00E62C62&quot;/&gt;&lt;wsp:rsid wsp:val=&quot;00E654C1&quot;/&gt;&lt;wsp:rsid wsp:val=&quot;00E65D97&quot;/&gt;&lt;wsp:rsid wsp:val=&quot;00E72A5A&quot;/&gt;&lt;wsp:rsid wsp:val=&quot;00E73354&quot;/&gt;&lt;wsp:rsid wsp:val=&quot;00E9242D&quot;/&gt;&lt;wsp:rsid wsp:val=&quot;00EA7FFB&quot;/&gt;&lt;wsp:rsid wsp:val=&quot;00EB5255&quot;/&gt;&lt;wsp:rsid wsp:val=&quot;00EB5C47&quot;/&gt;&lt;wsp:rsid wsp:val=&quot;00ED0639&quot;/&gt;&lt;wsp:rsid wsp:val=&quot;00EF4755&quot;/&gt;&lt;wsp:rsid wsp:val=&quot;00EF7135&quot;/&gt;&lt;wsp:rsid wsp:val=&quot;00F027DB&quot;/&gt;&lt;wsp:rsid wsp:val=&quot;00F14A7A&quot;/&gt;&lt;wsp:rsid wsp:val=&quot;00F22985&quot;/&gt;&lt;wsp:rsid wsp:val=&quot;00F3383E&quot;/&gt;&lt;wsp:rsid wsp:val=&quot;00F465A7&quot;/&gt;&lt;wsp:rsid wsp:val=&quot;00F50B7C&quot;/&gt;&lt;wsp:rsid wsp:val=&quot;00F550E6&quot;/&gt;&lt;wsp:rsid wsp:val=&quot;00F74345&quot;/&gt;&lt;wsp:rsid wsp:val=&quot;00F80A0A&quot;/&gt;&lt;wsp:rsid wsp:val=&quot;00F82B19&quot;/&gt;&lt;wsp:rsid wsp:val=&quot;00F9212D&quot;/&gt;&lt;wsp:rsid wsp:val=&quot;00F965DA&quot;/&gt;&lt;wsp:rsid wsp:val=&quot;00FA406A&quot;/&gt;&lt;wsp:rsid wsp:val=&quot;00FB503A&quot;/&gt;&lt;wsp:rsid wsp:val=&quot;00FB516C&quot;/&gt;&lt;wsp:rsid wsp:val=&quot;00FD0236&quot;/&gt;&lt;wsp:rsid wsp:val=&quot;00FD18F4&quot;/&gt;&lt;wsp:rsid wsp:val=&quot;00FD54DB&quot;/&gt;&lt;wsp:rsid wsp:val=&quot;00FD619F&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0F6AFA&quot; wsp:rsidP=&quot;000F6AFA&quot;&gt;&lt;m:oMathPara&gt;&lt;m:oMath&gt;&lt;m:r&gt;&lt;w:rPr&gt;&lt;w:rFonts w:ascii=&quot;Cambria Math&quot; w:h-ansi=&quot;Cambria Math&quot;/&gt;&lt;wx:font wx:val=&quot;Cambria Math&quot;/&gt;&lt;w:i/&gt;&lt;/w:rPr&gt;&lt;m:t&gt;Q=&lt;/m:t&gt;&lt;/m:r&gt;&lt;m:f&gt;&lt;m:fPr&gt;&lt;m:ctrlPr&gt;&lt;w:rPr&gt;&lt;w:rFonts w:ascii=&quot;Cambria Math&quot; w:h-ansi=&quot;Cambria Math&quot;/&gt;&lt;wx:font wx:val=&quot;Cambria Math&quot;/&gt;&lt;w:i/&gt;&lt;w:i-cs/&gt;&lt;/w:rPr&gt;&lt;/m:ctrlPr&gt;&lt;/m:fPr&gt;&lt;m:num&gt;&lt;m:sSub&gt;&lt;m:sSubPr&gt;&lt;m:ctrlPr&gt;&lt;w:rPr&gt;&lt;w:rFonts w:ascii=&quot;Cambria Math&quot; w:h-ansi=&quot;Cambria Math&quot;/&gt;&lt;wx:font wx:val=&quot;Cambria Math&quot;/&gt;&lt;w:i/&gt;&lt;w:i-cs/&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1&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1&lt;/m:t&gt;&lt;/m:r&gt;&lt;/m:sub&gt;&lt;/m:sSub&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i-cs/&gt;&lt;/w:rPr&gt;&lt;/m:ctrlPr&gt;&lt;/m:fPr&gt;&lt;m:num&gt;&lt;m:sSub&gt;&lt;m:sSubPr&gt;&lt;m:ctrlPr&gt;&lt;w:rPr&gt;&lt;w:rFonts w:ascii=&quot;Cambria Math&quot; w:h-ansi=&quot;Cambria Math&quot;/&gt;&lt;wx:font wx:val=&quot;Cambria Math&quot;/&gt;&lt;w:i/&gt;&lt;w:i-cs/&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2&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2&lt;/m:t&gt;&lt;/m:r&gt;&lt;/m:sub&gt;&lt;/m:sSub&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i-cs/&gt;&lt;/w:rPr&gt;&lt;/m:ctrlPr&gt;&lt;/m:fPr&gt;&lt;m:num&gt;&lt;m:sSub&gt;&lt;m:sSubPr&gt;&lt;m:ctrlPr&gt;&lt;w:rPr&gt;&lt;w:rFonts w:ascii=&quot;Cambria Math&quot; w:h-ansi=&quot;Cambria Math&quot;/&gt;&lt;wx:font wx:val=&quot;Cambria Math&quot;/&gt;&lt;w:i/&gt;&lt;w:i-cs/&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n&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n&lt;/m:t&gt;&lt;/m:r&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26" chromakey="#FFFFFF" o:title=""/>
                  <o:lock v:ext="edit" aspectratio="t"/>
                  <w10:wrap type="none"/>
                  <w10:anchorlock/>
                </v:shape>
              </w:pict>
            </w:r>
            <w:r>
              <w:rPr>
                <w:color w:val="auto"/>
                <w:sz w:val="24"/>
                <w:highlight w:val="none"/>
              </w:rPr>
              <w:instrText xml:space="preserve"> </w:instrText>
            </w:r>
            <w:r>
              <w:rPr>
                <w:color w:val="auto"/>
                <w:sz w:val="24"/>
                <w:highlight w:val="none"/>
              </w:rPr>
              <w:fldChar w:fldCharType="separate"/>
            </w:r>
            <w:r>
              <w:rPr>
                <w:color w:val="auto"/>
                <w:position w:val="-15"/>
                <w:sz w:val="24"/>
                <w:highlight w:val="none"/>
              </w:rPr>
              <w:pict>
                <v:shape id="_x0000_i1029" o:spt="75" type="#_x0000_t75" style="height:18pt;width:84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quot;/&gt;&lt;w:noLinl=&quot;156&quot;/&gt;&lt;w:displ=&quot;156&quot;/&gt;&lt;w:displ=&quot;156&quot;/&gt;&lt;w:displ=&quot;156&quot;/&gt;&lt;w:displ=&quot;156&quot;/&gt;&lt;w:displ=&quot;156&quot;/&gt;&lt;w:dispeB&quot;156&quot;/&gt;&lt;w:displareaksBefore w:lang=&quot;ZH-CN&quot; w:val=&quot;!),.:;?]}¨·ˇˉ―‖’”…∶、。〃々〉》」』】〕〗！＂＇），．：；？］｀｜｝～￠&quot;/&gt;&lt;w:webPageEncoding w:val=&quot;x-cp20936&quot;/&gt;&lt;【〔〖（．［｛￡￥&quot;/&gt;&lt;w:noLinl=&quot;156&quot;/&gt;&lt;w:dispw:optimizeForBro【〔〖（．［｛￡￥&quot;/&gt;&lt;w:noLinl=&quot;156&quot;/&gt;&lt;w:dispwser/&gt;&lt;w:targetS【〔〖（．［｛￡￥&quot;/&gt;&lt;w:noLinl=&quot;156&quot;/&gt;&lt;w:dispcreenSz w:val=&quot;8【〔〖（．［｛￡￥&quot;/&gt;&lt;w:noLinl=&quot;156&quot;/&gt;&lt;w:disp00x600&quot;/&gt;&lt;w:vali【〔〖（．［｛￡￥&quot;/&gt;&lt;w:noLinl=&quot;156&quot;/&gt;&lt;w:dispdateAgainst【〔〖（．［｛￡￥&quot;/&gt;&lt;w:noLinl=&quot;156&quot;/&gt;&lt;w:dispSchem【〔〖（．［｛￡￥&quot;/&gt;&lt;w:noLinl=&quot;156&quot;/&gt;&lt;w:dispa w:val=&quot;of【〔〖（．［｛￡￥&quot;/&gt;&lt;w:noLinl=&quot;156&quot;/&gt;&lt;w:dispf&quot;/&gt;&lt;w:〖（．［｛￡￥&quot;/&gt;&lt;w:noLineB&quot;156&quot;/&gt;&lt;w:displasaveInvalid〖（．［｛￡￥&quot;/&gt;&lt;w:noLinl=&quot;156&quot;/&gt;&lt;w:dispXML w:val=&quot;off&quot;/&gt;&lt;w:ignoreMixedContent w:val=&quot;o．［｛￡￥&quot;/&gt;&lt;w:noLinl=&quot;156&quot;/&gt;&lt;w:dispff&quot;/&gt;&lt;w:always&gt;&lt;w:noLinl=&quot;156&quot;/&gt;&lt;w:dispShowPlaceholderText w:val=&quot;off&quot;/&gt;&lt;w:doNotUnderlineInvalidXML/l=&quot;156&quot;156&quot;/&gt;&lt;w:disp&quot;/&gt;&lt;w:disp&gt;&lt;w:compat&gt;&lt;w:spaceForUL/&gt;&lt;w:balanceSingleByteDoubleByteWidth&lt;w:disp/&gt;&lt;w:doNotLeaveBackslashAlone/&gt;&lt;w:ulTrailSpace/&gt;&lt;w:doNotExpandShiftReturn/&gt;&lt;w:adjustLineHeightInTable/&gt;&lt;w:breakWrappedTables/&gt;&lt;w:snapToGridInCell/&gt;&lt;w:wrapTextWithPunct/&gt;&lt;w:useAsianBreakRules/&gt;&lt;w:dontGrowAutofit/&gt;&lt;w:useFELayout/&gt;&lt;/w:compat&gt;&lt;wsp:rsids&gt;&lt;wsp:rsidRoot wsp:val=&quot;00A14947&quot;/&gt;&lt;wsp:rsid wsp:val=&quot;000060B3&quot;/&gt;&lt;wsp:rsid wsp:val=&quot;00037E67&quot;/&gt;&lt;wsp:rsid wsp:val=&quot;0004364B&quot;/&gt;&lt;wsp:rsid wsp:val=&quot;00061B1F&quot;/&gt;&lt;wsp:rsid wsp:val=&quot;000733C4&quot;/&gt;&lt;wsp:rsid wsp:val=&quot;00074783&quot;/&gt;&lt;wsp:rsid wsp:val=&quot;0008070B&quot;/&gt;&lt;wsp:rsid wsp:val=&quot;000810AC&quot;/&gt;&lt;wsp:rsid wsp:val=&quot;00081A02&quot;/&gt;&lt;wsp:rsid wsp:val=&quot;00082231&quot;/&gt;&lt;wsp:rsid wsp:val=&quot;00092D38&quot;/&gt;&lt;wsp:rsid wsp:val=&quot;0009377B&quot;/&gt;&lt;wsp:rsid wsp:val=&quot;000A20C9&quot;/&gt;&lt;wsp:rsid wsp:val=&quot;000A76FD&quot;/&gt;&lt;wsp:rsid wsp:val=&quot;000B058F&quot;/&gt;&lt;wsp:rsid wsp:val=&quot;000B4467&quot;/&gt;&lt;wsp:rsid wsp:val=&quot;000B4DB9&quot;/&gt;&lt;wsp:rsid wsp:val=&quot;000C09AC&quot;/&gt;&lt;wsp:rsid wsp:val=&quot;000C767F&quot;/&gt;&lt;wsp:rsid wsp:val=&quot;000D5A44&quot;/&gt;&lt;wsp:rsid wsp:val=&quot;000E3ED2&quot;/&gt;&lt;wsp:rsid wsp:val=&quot;000F6AFA&quot;/&gt;&lt;wsp:rsid wsp:val=&quot;00131F42&quot;/&gt;&lt;wsp:rsid wsp:val=&quot;001357F1&quot;/&gt;&lt;wsp:rsid wsp:val=&quot;00140FA8&quot;/&gt;&lt;wsp:rsid wsp:val=&quot;00142FEB&quot;/&gt;&lt;wsp:rsid wsp:val=&quot;00143A2D&quot;/&gt;&lt;wsp:rsid wsp:val=&quot;00145A41&quot;/&gt;&lt;wsp:rsid wsp:val=&quot;00151675&quot;/&gt;&lt;wsp:rsid wsp:val=&quot;00157435&quot;/&gt;&lt;wsp:rsid wsp:val=&quot;0017504D&quot;/&gt;&lt;wsp:rsid wsp:val=&quot;0017671A&quot;/&gt;&lt;wsp:rsid wsp:val=&quot;00177422&quot;/&gt;&lt;wsp:rsid wsp:val=&quot;00184590&quot;/&gt;&lt;wsp:rsid wsp:val=&quot;001870D1&quot;/&gt;&lt;wsp:rsid wsp:val=&quot;0018781E&quot;/&gt;&lt;wsp:rsid wsp:val=&quot;0019262D&quot;/&gt;&lt;wsp:rsid wsp:val=&quot;001A1B35&quot;/&gt;&lt;wsp:rsid wsp:val=&quot;001A48A2&quot;/&gt;&lt;wsp:rsid wsp:val=&quot;001A6F61&quot;/&gt;&lt;wsp:rsid wsp:val=&quot;001B72B8&quot;/&gt;&lt;wsp:rsid wsp:val=&quot;001C69B3&quot;/&gt;&lt;wsp:rsid wsp:val=&quot;001C7AB1&quot;/&gt;&lt;wsp:rsid wsp:val=&quot;001D5595&quot;/&gt;&lt;wsp:rsid wsp:val=&quot;001D7874&quot;/&gt;&lt;wsp:rsid wsp:val=&quot;001D7F22&quot;/&gt;&lt;wsp:rsid wsp:val=&quot;001F0F17&quot;/&gt;&lt;wsp:rsid wsp:val=&quot;001F2C7E&quot;/&gt;&lt;wsp:rsid wsp:val=&quot;001F3347&quot;/&gt;&lt;wsp:rsid wsp:val=&quot;001F69E4&quot;/&gt;&lt;wsp:rsid wsp:val=&quot;00205936&quot;/&gt;&lt;wsp:rsid wsp:val=&quot;002125B4&quot;/&gt;&lt;wsp:rsid wsp:val=&quot;002155B8&quot;/&gt;&lt;wsp:rsid wsp:val=&quot;00224839&quot;/&gt;&lt;wsp:rsid wsp:val=&quot;002249B2&quot;/&gt;&lt;wsp:rsid wsp:val=&quot;00226574&quot;/&gt;&lt;wsp:rsid wsp:val=&quot;002278EC&quot;/&gt;&lt;wsp:rsid wsp:val=&quot;0023280E&quot;/&gt;&lt;wsp:rsid wsp:val=&quot;002377D1&quot;/&gt;&lt;wsp:rsid wsp:val=&quot;002506BC&quot;/&gt;&lt;wsp:rsid wsp:val=&quot;00254345&quot;/&gt;&lt;wsp:rsid wsp:val=&quot;00264557&quot;/&gt;&lt;wsp:rsid wsp:val=&quot;002805AB&quot;/&gt;&lt;wsp:rsid wsp:val=&quot;00284204&quot;/&gt;&lt;wsp:rsid wsp:val=&quot;00291773&quot;/&gt;&lt;wsp:rsid wsp:val=&quot;002A168C&quot;/&gt;&lt;wsp:rsid wsp:val=&quot;002A3DC7&quot;/&gt;&lt;wsp:rsid wsp:val=&quot;002B49E2&quot;/&gt;&lt;wsp:rsid wsp:val=&quot;002B7B00&quot;/&gt;&lt;wsp:rsid wsp:val=&quot;002B7C44&quot;/&gt;&lt;wsp:rsid wsp:val=&quot;002C2B17&quot;/&gt;&lt;wsp:rsid wsp:val=&quot;002D3DD0&quot;/&gt;&lt;wsp:rsid wsp:val=&quot;002E1F3A&quot;/&gt;&lt;wsp:rsid wsp:val=&quot;002E298A&quot;/&gt;&lt;wsp:rsid wsp:val=&quot;00301978&quot;/&gt;&lt;wsp:rsid wsp:val=&quot;0030332C&quot;/&gt;&lt;wsp:rsid wsp:val=&quot;003051C2&quot;/&gt;&lt;wsp:rsid wsp:val=&quot;00312296&quot;/&gt;&lt;wsp:rsid wsp:val=&quot;00314F0E&quot;/&gt;&lt;wsp:rsid wsp:val=&quot;00321D8E&quot;/&gt;&lt;wsp:rsid wsp:val=&quot;00325928&quot;/&gt;&lt;wsp:rsid wsp:val=&quot;00332863&quot;/&gt;&lt;wsp:rsid wsp:val=&quot;0033684D&quot;/&gt;&lt;wsp:rsid wsp:val=&quot;00337B42&quot;/&gt;&lt;wsp:rsid wsp:val=&quot;00341B42&quot;/&gt;&lt;wsp:rsid wsp:val=&quot;0034348F&quot;/&gt;&lt;wsp:rsid wsp:val=&quot;00356653&quot;/&gt;&lt;wsp:rsid wsp:val=&quot;0035743F&quot;/&gt;&lt;wsp:rsid wsp:val=&quot;00357BE2&quot;/&gt;&lt;wsp:rsid wsp:val=&quot;0036170C&quot;/&gt;&lt;wsp:rsid wsp:val=&quot;00365F82&quot;/&gt;&lt;wsp:rsid wsp:val=&quot;00366E0F&quot;/&gt;&lt;wsp:rsid wsp:val=&quot;003734A0&quot;/&gt;&lt;wsp:rsid wsp:val=&quot;00381A72&quot;/&gt;&lt;wsp:rsid wsp:val=&quot;00384676&quot;/&gt;&lt;wsp:rsid wsp:val=&quot;00390857&quot;/&gt;&lt;wsp:rsid wsp:val=&quot;003A4BF3&quot;/&gt;&lt;wsp:rsid wsp:val=&quot;003B420D&quot;/&gt;&lt;wsp:rsid wsp:val=&quot;003C6C16&quot;/&gt;&lt;wsp:rsid wsp:val=&quot;003D5D1D&quot;/&gt;&lt;wsp:rsid wsp:val=&quot;003D794D&quot;/&gt;&lt;wsp:rsid wsp:val=&quot;003E3058&quot;/&gt;&lt;wsp:rsid wsp:val=&quot;003E76A9&quot;/&gt;&lt;wsp:rsid wsp:val=&quot;003F0809&quot;/&gt;&lt;wsp:rsid wsp:val=&quot;003F6A8C&quot;/&gt;&lt;wsp:rsid wsp:val=&quot;003F755C&quot;/&gt;&lt;wsp:rsid wsp:val=&quot;00406F01&quot;/&gt;&lt;wsp:rsid wsp:val=&quot;00416D50&quot;/&gt;&lt;wsp:rsid wsp:val=&quot;00416FD5&quot;/&gt;&lt;wsp:rsid wsp:val=&quot;00417772&quot;/&gt;&lt;wsp:rsid wsp:val=&quot;00420E6A&quot;/&gt;&lt;wsp:rsid wsp:val=&quot;00425A9E&quot;/&gt;&lt;wsp:rsid wsp:val=&quot;00426D6B&quot;/&gt;&lt;wsp:rsid wsp:val=&quot;00431E6C&quot;/&gt;&lt;wsp:rsid wsp:val=&quot;00433CE7&quot;/&gt;&lt;wsp:rsid wsp:val=&quot;00452738&quot;/&gt;&lt;wsp:rsid wsp:val=&quot;00456091&quot;/&gt;&lt;wsp:rsid wsp:val=&quot;00466321&quot;/&gt;&lt;wsp:rsid wsp:val=&quot;00484B9B&quot;/&gt;&lt;wsp:rsid wsp:val=&quot;004855F6&quot;/&gt;&lt;wsp:rsid wsp:val=&quot;0048661E&quot;/&gt;&lt;wsp:rsid wsp:val=&quot;00494670&quot;/&gt;&lt;wsp:rsid wsp:val=&quot;004A3823&quot;/&gt;&lt;wsp:rsid wsp:val=&quot;004E6946&quot;/&gt;&lt;wsp:rsid wsp:val=&quot;004F1AD8&quot;/&gt;&lt;wsp:rsid wsp:val=&quot;00503930&quot;/&gt;&lt;wsp:rsid wsp:val=&quot;005039CB&quot;/&gt;&lt;wsp:rsid wsp:val=&quot;0050558F&quot;/&gt;&lt;wsp:rsid wsp:val=&quot;00506286&quot;/&gt;&lt;wsp:rsid wsp:val=&quot;00510813&quot;/&gt;&lt;wsp:rsid wsp:val=&quot;00511990&quot;/&gt;&lt;wsp:rsid wsp:val=&quot;00511DE0&quot;/&gt;&lt;wsp:rsid wsp:val=&quot;00514870&quot;/&gt;&lt;wsp:rsid wsp:val=&quot;00514B9B&quot;/&gt;&lt;wsp:rsid wsp:val=&quot;00517F02&quot;/&gt;&lt;wsp:rsid wsp:val=&quot;00524303&quot;/&gt;&lt;wsp:rsid wsp:val=&quot;005258A2&quot;/&gt;&lt;wsp:rsid wsp:val=&quot;005379CC&quot;/&gt;&lt;wsp:rsid wsp:val=&quot;005401AE&quot;/&gt;&lt;wsp:rsid wsp:val=&quot;00542E07&quot;/&gt;&lt;wsp:rsid wsp:val=&quot;00545424&quot;/&gt;&lt;wsp:rsid wsp:val=&quot;00554A7B&quot;/&gt;&lt;wsp:rsid wsp:val=&quot;0055572C&quot;/&gt;&lt;wsp:rsid wsp:val=&quot;0056106A&quot;/&gt;&lt;wsp:rsid wsp:val=&quot;005720AE&quot;/&gt;&lt;wsp:rsid wsp:val=&quot;005912C9&quot;/&gt;&lt;wsp:rsid wsp:val=&quot;00594D77&quot;/&gt;&lt;wsp:rsid wsp:val=&quot;005969E4&quot;/&gt;&lt;wsp:rsid wsp:val=&quot;005A06B7&quot;/&gt;&lt;wsp:rsid wsp:val=&quot;005A1759&quot;/&gt;&lt;wsp:rsid wsp:val=&quot;005A4D91&quot;/&gt;&lt;wsp:rsid wsp:val=&quot;005A68A7&quot;/&gt;&lt;wsp:rsid wsp:val=&quot;005D36AB&quot;/&gt;&lt;wsp:rsid wsp:val=&quot;00617CC3&quot;/&gt;&lt;wsp:rsid wsp:val=&quot;006377A6&quot;/&gt;&lt;wsp:rsid wsp:val=&quot;00637A3D&quot;/&gt;&lt;wsp:rsid wsp:val=&quot;006411EF&quot;/&gt;&lt;wsp:rsid wsp:val=&quot;006748B8&quot;/&gt;&lt;wsp:rsid wsp:val=&quot;006775C3&quot;/&gt;&lt;wsp:rsid wsp:val=&quot;0069290A&quot;/&gt;&lt;wsp:rsid wsp:val=&quot;0069775A&quot;/&gt;&lt;wsp:rsid wsp:val=&quot;00697813&quot;/&gt;&lt;wsp:rsid wsp:val=&quot;006A3EE8&quot;/&gt;&lt;wsp:rsid wsp:val=&quot;006A72BF&quot;/&gt;&lt;wsp:rsid wsp:val=&quot;006B03F2&quot;/&gt;&lt;wsp:rsid wsp:val=&quot;006B37DC&quot;/&gt;&lt;wsp:rsid wsp:val=&quot;006B4F68&quot;/&gt;&lt;wsp:rsid wsp:val=&quot;006C0592&quot;/&gt;&lt;wsp:rsid wsp:val=&quot;006C272E&quot;/&gt;&lt;wsp:rsid wsp:val=&quot;006C5479&quot;/&gt;&lt;wsp:rsid wsp:val=&quot;006D13B5&quot;/&gt;&lt;wsp:rsid wsp:val=&quot;006E12FF&quot;/&gt;&lt;wsp:rsid wsp:val=&quot;006E607E&quot;/&gt;&lt;wsp:rsid wsp:val=&quot;00706C5D&quot;/&gt;&lt;wsp:rsid wsp:val=&quot;00732922&quot;/&gt;&lt;wsp:rsid wsp:val=&quot;0075162E&quot;/&gt;&lt;wsp:rsid wsp:val=&quot;00754034&quot;/&gt;&lt;wsp:rsid wsp:val=&quot;00756556&quot;/&gt;&lt;wsp:rsid wsp:val=&quot;007618C4&quot;/&gt;&lt;wsp:rsid wsp:val=&quot;00767980&quot;/&gt;&lt;wsp:rsid wsp:val=&quot;00770B19&quot;/&gt;&lt;wsp:rsid wsp:val=&quot;0077463F&quot;/&gt;&lt;wsp:rsid wsp:val=&quot;007836EA&quot;/&gt;&lt;wsp:rsid wsp:val=&quot;00784CDA&quot;/&gt;&lt;wsp:rsid wsp:val=&quot;007906C4&quot;/&gt;&lt;wsp:rsid wsp:val=&quot;007940EA&quot;/&gt;&lt;wsp:rsid wsp:val=&quot;007967E8&quot;/&gt;&lt;wsp:rsid wsp:val=&quot;007A2170&quot;/&gt;&lt;wsp:rsid wsp:val=&quot;007A22BF&quot;/&gt;&lt;wsp:rsid wsp:val=&quot;007A3323&quot;/&gt;&lt;wsp:rsid wsp:val=&quot;007B72B8&quot;/&gt;&lt;wsp:rsid wsp:val=&quot;007B7A58&quot;/&gt;&lt;wsp:rsid wsp:val=&quot;007C21B5&quot;/&gt;&lt;wsp:rsid wsp:val=&quot;007E4BD2&quot;/&gt;&lt;wsp:rsid wsp:val=&quot;00801393&quot;/&gt;&lt;wsp:rsid wsp:val=&quot;00802F88&quot;/&gt;&lt;wsp:rsid wsp:val=&quot;0081293E&quot;/&gt;&lt;wsp:rsid wsp:val=&quot;00815465&quot;/&gt;&lt;wsp:rsid wsp:val=&quot;00817E9A&quot;/&gt;&lt;wsp:rsid wsp:val=&quot;0082741D&quot;/&gt;&lt;wsp:rsid wsp:val=&quot;008306BD&quot;/&gt;&lt;wsp:rsid wsp:val=&quot;00831A80&quot;/&gt;&lt;wsp:rsid wsp:val=&quot;00833743&quot;/&gt;&lt;wsp:rsid wsp:val=&quot;008340A4&quot;/&gt;&lt;wsp:rsid wsp:val=&quot;00842E9C&quot;/&gt;&lt;wsp:rsid wsp:val=&quot;00852E42&quot;/&gt;&lt;wsp:rsid wsp:val=&quot;0087135F&quot;/&gt;&lt;wsp:rsid wsp:val=&quot;00872D94&quot;/&gt;&lt;wsp:rsid wsp:val=&quot;00880364&quot;/&gt;&lt;wsp:rsid wsp:val=&quot;008834B4&quot;/&gt;&lt;wsp:rsid wsp:val=&quot;00891592&quot;/&gt;&lt;wsp:rsid wsp:val=&quot;00891E9E&quot;/&gt;&lt;wsp:rsid wsp:val=&quot;008A2F68&quot;/&gt;&lt;wsp:rsid wsp:val=&quot;008B0666&quot;/&gt;&lt;wsp:rsid wsp:val=&quot;008B4FA6&quot;/&gt;&lt;wsp:rsid wsp:val=&quot;008B5282&quot;/&gt;&lt;wsp:rsid wsp:val=&quot;008B7C17&quot;/&gt;&lt;wsp:rsid wsp:val=&quot;008C2D01&quot;/&gt;&lt;wsp:rsid wsp:val=&quot;008C40E6&quot;/&gt;&lt;wsp:rsid wsp:val=&quot;008D0F7A&quot;/&gt;&lt;wsp:rsid wsp:val=&quot;008D68E4&quot;/&gt;&lt;wsp:rsid wsp:val=&quot;008E0506&quot;/&gt;&lt;wsp:rsid wsp:val=&quot;008E0CFF&quot;/&gt;&lt;wsp:rsid wsp:val=&quot;008E5D6B&quot;/&gt;&lt;wsp:rsid wsp:val=&quot;008E76F0&quot;/&gt;&lt;wsp:rsid wsp:val=&quot;008F15FE&quot;/&gt;&lt;wsp:rsid wsp:val=&quot;008F2D29&quot;/&gt;&lt;wsp:rsid wsp:val=&quot;008F5187&quot;/&gt;&lt;wsp:rsid wsp:val=&quot;008F60D8&quot;/&gt;&lt;wsp:rsid wsp:val=&quot;00902727&quot;/&gt;&lt;wsp:rsid wsp:val=&quot;0090312B&quot;/&gt;&lt;wsp:rsid wsp:val=&quot;0091736D&quot;/&gt;&lt;wsp:rsid wsp:val=&quot;0093037A&quot;/&gt;&lt;wsp:rsid wsp:val=&quot;0094154D&quot;/&gt;&lt;wsp:rsid wsp:val=&quot;0095155F&quot;/&gt;&lt;wsp:rsid wsp:val=&quot;00954429&quot;/&gt;&lt;wsp:rsid wsp:val=&quot;009563CE&quot;/&gt;&lt;wsp:rsid wsp:val=&quot;00976328&quot;/&gt;&lt;wsp:rsid wsp:val=&quot;0097680D&quot;/&gt;&lt;wsp:rsid wsp:val=&quot;00982438&quot;/&gt;&lt;wsp:rsid wsp:val=&quot;0098404C&quot;/&gt;&lt;wsp:rsid wsp:val=&quot;00985283&quot;/&gt;&lt;wsp:rsid wsp:val=&quot;00995992&quot;/&gt;&lt;wsp:rsid wsp:val=&quot;0099619E&quot;/&gt;&lt;wsp:rsid wsp:val=&quot;009A03E5&quot;/&gt;&lt;wsp:rsid wsp:val=&quot;009A0F3B&quot;/&gt;&lt;wsp:rsid wsp:val=&quot;009A1BB4&quot;/&gt;&lt;wsp:rsid wsp:val=&quot;009A2628&quot;/&gt;&lt;wsp:rsid wsp:val=&quot;009A3200&quot;/&gt;&lt;wsp:rsid wsp:val=&quot;009B0897&quot;/&gt;&lt;wsp:rsid wsp:val=&quot;009B7BD9&quot;/&gt;&lt;wsp:rsid wsp:val=&quot;009C7DD5&quot;/&gt;&lt;wsp:rsid wsp:val=&quot;009E227D&quot;/&gt;&lt;wsp:rsid wsp:val=&quot;009E5019&quot;/&gt;&lt;wsp:rsid wsp:val=&quot;00A04F1B&quot;/&gt;&lt;wsp:rsid wsp:val=&quot;00A0501B&quot;/&gt;&lt;wsp:rsid wsp:val=&quot;00A14947&quot;/&gt;&lt;wsp:rsid wsp:val=&quot;00A32A83&quot;/&gt;&lt;wsp:rsid wsp:val=&quot;00A368DB&quot;/&gt;&lt;wsp:rsid wsp:val=&quot;00A423AA&quot;/&gt;&lt;wsp:rsid wsp:val=&quot;00A53EC6&quot;/&gt;&lt;wsp:rsid wsp:val=&quot;00A55C0F&quot;/&gt;&lt;wsp:rsid wsp:val=&quot;00A8713F&quot;/&gt;&lt;wsp:rsid wsp:val=&quot;00A90BA1&quot;/&gt;&lt;wsp:rsid wsp:val=&quot;00A97A9A&quot;/&gt;&lt;wsp:rsid wsp:val=&quot;00AA0671&quot;/&gt;&lt;wsp:rsid wsp:val=&quot;00AA2531&quot;/&gt;&lt;wsp:rsid wsp:val=&quot;00AB1E09&quot;/&gt;&lt;wsp:rsid wsp:val=&quot;00AB5330&quot;/&gt;&lt;wsp:rsid wsp:val=&quot;00AB7747&quot;/&gt;&lt;wsp:rsid wsp:val=&quot;00AC14CE&quot;/&gt;&lt;wsp:rsid wsp:val=&quot;00AC2A56&quot;/&gt;&lt;wsp:rsid wsp:val=&quot;00AD055E&quot;/&gt;&lt;wsp:rsid wsp:val=&quot;00AD12F9&quot;/&gt;&lt;wsp:rsid wsp:val=&quot;00AD47A7&quot;/&gt;&lt;wsp:rsid wsp:val=&quot;00AF0CBF&quot;/&gt;&lt;wsp:rsid wsp:val=&quot;00AF257F&quot;/&gt;&lt;wsp:rsid wsp:val=&quot;00AF33CF&quot;/&gt;&lt;wsp:rsid wsp:val=&quot;00AF4D50&quot;/&gt;&lt;wsp:rsid wsp:val=&quot;00AF6179&quot;/&gt;&lt;wsp:rsid wsp:val=&quot;00B1295A&quot;/&gt;&lt;wsp:rsid wsp:val=&quot;00B20A45&quot;/&gt;&lt;wsp:rsid wsp:val=&quot;00B22C5C&quot;/&gt;&lt;wsp:rsid wsp:val=&quot;00B24F30&quot;/&gt;&lt;wsp:rsid wsp:val=&quot;00B31ABF&quot;/&gt;&lt;wsp:rsid wsp:val=&quot;00B33BE3&quot;/&gt;&lt;wsp:rsid wsp:val=&quot;00B53B5D&quot;/&gt;&lt;wsp:rsid wsp:val=&quot;00B6055E&quot;/&gt;&lt;wsp:rsid wsp:val=&quot;00B6317D&quot;/&gt;&lt;wsp:rsid wsp:val=&quot;00B7723F&quot;/&gt;&lt;wsp:rsid wsp:val=&quot;00B80534&quot;/&gt;&lt;wsp:rsid wsp:val=&quot;00B8433C&quot;/&gt;&lt;wsp:rsid wsp:val=&quot;00B87491&quot;/&gt;&lt;wsp:rsid wsp:val=&quot;00BA29E9&quot;/&gt;&lt;wsp:rsid wsp:val=&quot;00BA7142&quot;/&gt;&lt;wsp:rsid wsp:val=&quot;00BB237C&quot;/&gt;&lt;wsp:rsid wsp:val=&quot;00BB3740&quot;/&gt;&lt;wsp:rsid wsp:val=&quot;00BB41A3&quot;/&gt;&lt;wsp:rsid wsp:val=&quot;00BC32DC&quot;/&gt;&lt;wsp:rsid wsp:val=&quot;00BC35B6&quot;/&gt;&lt;wsp:rsid wsp:val=&quot;00BD1B51&quot;/&gt;&lt;wsp:rsid wsp:val=&quot;00BD4596&quot;/&gt;&lt;wsp:rsid wsp:val=&quot;00BE1405&quot;/&gt;&lt;wsp:rsid wsp:val=&quot;00BE312D&quot;/&gt;&lt;wsp:rsid wsp:val=&quot;00BF1C20&quot;/&gt;&lt;wsp:rsid wsp:val=&quot;00BF3523&quot;/&gt;&lt;wsp:rsid wsp:val=&quot;00C10578&quot;/&gt;&lt;wsp:rsid wsp:val=&quot;00C135BC&quot;/&gt;&lt;wsp:rsid wsp:val=&quot;00C15C95&quot;/&gt;&lt;wsp:rsid wsp:val=&quot;00C2596A&quot;/&gt;&lt;wsp:rsid wsp:val=&quot;00C27537&quot;/&gt;&lt;wsp:rsid wsp:val=&quot;00C328FE&quot;/&gt;&lt;wsp:rsid wsp:val=&quot;00C33507&quot;/&gt;&lt;wsp:rsid wsp:val=&quot;00C4409D&quot;/&gt;&lt;wsp:rsid wsp:val=&quot;00C44E72&quot;/&gt;&lt;wsp:rsid wsp:val=&quot;00C45A06&quot;/&gt;&lt;wsp:rsid wsp:val=&quot;00C47E5B&quot;/&gt;&lt;wsp:rsid wsp:val=&quot;00C61E4B&quot;/&gt;&lt;wsp:rsid wsp:val=&quot;00C64BFF&quot;/&gt;&lt;wsp:rsid wsp:val=&quot;00C704E9&quot;/&gt;&lt;wsp:rsid wsp:val=&quot;00C71050&quot;/&gt;&lt;wsp:rsid wsp:val=&quot;00C763C9&quot;/&gt;&lt;wsp:rsid wsp:val=&quot;00C80057&quot;/&gt;&lt;wsp:rsid wsp:val=&quot;00C82232&quot;/&gt;&lt;wsp:rsid wsp:val=&quot;00C82913&quot;/&gt;&lt;wsp:rsid wsp:val=&quot;00C972B1&quot;/&gt;&lt;wsp:rsid wsp:val=&quot;00CA2CCE&quot;/&gt;&lt;wsp:rsid wsp:val=&quot;00CA43FD&quot;/&gt;&lt;wsp:rsid wsp:val=&quot;00CA7EF8&quot;/&gt;&lt;wsp:rsid wsp:val=&quot;00CC489B&quot;/&gt;&lt;wsp:rsid wsp:val=&quot;00CD2BCD&quot;/&gt;&lt;wsp:rsid wsp:val=&quot;00CD3A4C&quot;/&gt;&lt;wsp:rsid wsp:val=&quot;00CE10E9&quot;/&gt;&lt;wsp:rsid wsp:val=&quot;00CE2910&quot;/&gt;&lt;wsp:rsid wsp:val=&quot;00CE5393&quot;/&gt;&lt;wsp:rsid wsp:val=&quot;00CF36BE&quot;/&gt;&lt;wsp:rsid wsp:val=&quot;00CF6000&quot;/&gt;&lt;wsp:rsid wsp:val=&quot;00D003F3&quot;/&gt;&lt;wsp:rsid wsp:val=&quot;00D0364F&quot;/&gt;&lt;wsp:rsid wsp:val=&quot;00D06834&quot;/&gt;&lt;wsp:rsid wsp:val=&quot;00D308ED&quot;/&gt;&lt;wsp:rsid wsp:val=&quot;00D36D86&quot;/&gt;&lt;wsp:rsid wsp:val=&quot;00D428AA&quot;/&gt;&lt;wsp:rsid wsp:val=&quot;00D50A34&quot;/&gt;&lt;wsp:rsid wsp:val=&quot;00D53EFA&quot;/&gt;&lt;wsp:rsid wsp:val=&quot;00D94A7C&quot;/&gt;&lt;wsp:rsid wsp:val=&quot;00D95896&quot;/&gt;&lt;wsp:rsid wsp:val=&quot;00DB2983&quot;/&gt;&lt;wsp:rsid wsp:val=&quot;00DC1257&quot;/&gt;&lt;wsp:rsid wsp:val=&quot;00DC3DC0&quot;/&gt;&lt;wsp:rsid wsp:val=&quot;00DC5B2B&quot;/&gt;&lt;wsp:rsid wsp:val=&quot;00DD318D&quot;/&gt;&lt;wsp:rsid wsp:val=&quot;00DF2E12&quot;/&gt;&lt;wsp:rsid wsp:val=&quot;00DF514A&quot;/&gt;&lt;wsp:rsid wsp:val=&quot;00DF6690&quot;/&gt;&lt;wsp:rsid wsp:val=&quot;00DF6804&quot;/&gt;&lt;wsp:rsid wsp:val=&quot;00E0358D&quot;/&gt;&lt;wsp:rsid wsp:val=&quot;00E04323&quot;/&gt;&lt;wsp:rsid wsp:val=&quot;00E070A2&quot;/&gt;&lt;wsp:rsid wsp:val=&quot;00E205AF&quot;/&gt;&lt;wsp:rsid wsp:val=&quot;00E2656A&quot;/&gt;&lt;wsp:rsid wsp:val=&quot;00E412D0&quot;/&gt;&lt;wsp:rsid wsp:val=&quot;00E56322&quot;/&gt;&lt;wsp:rsid wsp:val=&quot;00E60982&quot;/&gt;&lt;wsp:rsid wsp:val=&quot;00E62C62&quot;/&gt;&lt;wsp:rsid wsp:val=&quot;00E654C1&quot;/&gt;&lt;wsp:rsid wsp:val=&quot;00E65D97&quot;/&gt;&lt;wsp:rsid wsp:val=&quot;00E72A5A&quot;/&gt;&lt;wsp:rsid wsp:val=&quot;00E73354&quot;/&gt;&lt;wsp:rsid wsp:val=&quot;00E9242D&quot;/&gt;&lt;wsp:rsid wsp:val=&quot;00EA7FFB&quot;/&gt;&lt;wsp:rsid wsp:val=&quot;00EB5255&quot;/&gt;&lt;wsp:rsid wsp:val=&quot;00EB5C47&quot;/&gt;&lt;wsp:rsid wsp:val=&quot;00ED0639&quot;/&gt;&lt;wsp:rsid wsp:val=&quot;00EF4755&quot;/&gt;&lt;wsp:rsid wsp:val=&quot;00EF7135&quot;/&gt;&lt;wsp:rsid wsp:val=&quot;00F027DB&quot;/&gt;&lt;wsp:rsid wsp:val=&quot;00F14A7A&quot;/&gt;&lt;wsp:rsid wsp:val=&quot;00F22985&quot;/&gt;&lt;wsp:rsid wsp:val=&quot;00F3383E&quot;/&gt;&lt;wsp:rsid wsp:val=&quot;00F465A7&quot;/&gt;&lt;wsp:rsid wsp:val=&quot;00F50B7C&quot;/&gt;&lt;wsp:rsid wsp:val=&quot;00F550E6&quot;/&gt;&lt;wsp:rsid wsp:val=&quot;00F74345&quot;/&gt;&lt;wsp:rsid wsp:val=&quot;00F80A0A&quot;/&gt;&lt;wsp:rsid wsp:val=&quot;00F82B19&quot;/&gt;&lt;wsp:rsid wsp:val=&quot;00F9212D&quot;/&gt;&lt;wsp:rsid wsp:val=&quot;00F965DA&quot;/&gt;&lt;wsp:rsid wsp:val=&quot;00FA406A&quot;/&gt;&lt;wsp:rsid wsp:val=&quot;00FB503A&quot;/&gt;&lt;wsp:rsid wsp:val=&quot;00FB516C&quot;/&gt;&lt;wsp:rsid wsp:val=&quot;00FD0236&quot;/&gt;&lt;wsp:rsid wsp:val=&quot;00FD18F4&quot;/&gt;&lt;wsp:rsid wsp:val=&quot;00FD54DB&quot;/&gt;&lt;wsp:rsid wsp:val=&quot;00FD619F&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0F6AFA&quot; wsp:rsidP=&quot;000F6AFA&quot;&gt;&lt;m:oMathPara&gt;&lt;m:oMath&gt;&lt;m:r&gt;&lt;w:rPr&gt;&lt;w:rFonts w:ascii=&quot;Cambria Math&quot; w:h-ansi=&quot;Cambria Math&quot;/&gt;&lt;wx:font wx:val=&quot;Cambria Math&quot;/&gt;&lt;w:i/&gt;&lt;/w:rPr&gt;&lt;m:t&gt;Q=&lt;/m:t&gt;&lt;/m:r&gt;&lt;m:f&gt;&lt;m:fPr&gt;&lt;m:ctrlPr&gt;&lt;w:rPr&gt;&lt;w:rFonts w:ascii=&quot;Cambria Math&quot; w:h-ansi=&quot;Cambria Math&quot;/&gt;&lt;wx:font wx:val=&quot;Cambria Math&quot;/&gt;&lt;w:i/&gt;&lt;w:i-cs/&gt;&lt;/w:rPr&gt;&lt;/m:ctrlPr&gt;&lt;/m:fPr&gt;&lt;m:num&gt;&lt;m:sSub&gt;&lt;m:sSubPr&gt;&lt;m:ctrlPr&gt;&lt;w:rPr&gt;&lt;w:rFonts w:ascii=&quot;Cambria Math&quot; w:h-ansi=&quot;Cambria Math&quot;/&gt;&lt;wx:font wx:val=&quot;Cambria Math&quot;/&gt;&lt;w:i/&gt;&lt;w:i-cs/&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1&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1&lt;/m:t&gt;&lt;/m:r&gt;&lt;/m:sub&gt;&lt;/m:sSub&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i-cs/&gt;&lt;/w:rPr&gt;&lt;/m:ctrlPr&gt;&lt;/m:fPr&gt;&lt;m:num&gt;&lt;m:sSub&gt;&lt;m:sSubPr&gt;&lt;m:ctrlPr&gt;&lt;w:rPr&gt;&lt;w:rFonts w:ascii=&quot;Cambria Math&quot; w:h-ansi=&quot;Cambria Math&quot;/&gt;&lt;wx:font wx:val=&quot;Cambria Math&quot;/&gt;&lt;w:i/&gt;&lt;w:i-cs/&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2&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2&lt;/m:t&gt;&lt;/m:r&gt;&lt;/m:sub&gt;&lt;/m:sSub&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i-cs/&gt;&lt;/w:rPr&gt;&lt;/m:ctrlPr&gt;&lt;/m:fPr&gt;&lt;m:num&gt;&lt;m:sSub&gt;&lt;m:sSubPr&gt;&lt;m:ctrlPr&gt;&lt;w:rPr&gt;&lt;w:rFonts w:ascii=&quot;Cambria Math&quot; w:h-ansi=&quot;Cambria Math&quot;/&gt;&lt;wx:font wx:val=&quot;Cambria Math&quot;/&gt;&lt;w:i/&gt;&lt;w:i-cs/&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n&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n&lt;/m:t&gt;&lt;/m:r&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26" chromakey="#FFFFFF" o:title=""/>
                  <o:lock v:ext="edit" aspectratio="t"/>
                  <w10:wrap type="none"/>
                  <w10:anchorlock/>
                </v:shape>
              </w:pict>
            </w:r>
            <w:r>
              <w:rPr>
                <w:color w:val="auto"/>
                <w:sz w:val="24"/>
                <w:highlight w:val="none"/>
              </w:rPr>
              <w:fldChar w:fldCharType="end"/>
            </w:r>
          </w:p>
          <w:p w14:paraId="1D05235E">
            <w:pPr>
              <w:adjustRightInd w:val="0"/>
              <w:snapToGrid w:val="0"/>
              <w:spacing w:line="360" w:lineRule="auto"/>
              <w:ind w:firstLine="480" w:firstLineChars="200"/>
              <w:jc w:val="center"/>
              <w:rPr>
                <w:color w:val="auto"/>
                <w:sz w:val="24"/>
                <w:highlight w:val="none"/>
              </w:rPr>
            </w:pPr>
            <w:r>
              <w:rPr>
                <w:color w:val="auto"/>
                <w:sz w:val="24"/>
                <w:highlight w:val="none"/>
              </w:rPr>
              <w:t>式中：q</w:t>
            </w:r>
            <w:r>
              <w:rPr>
                <w:color w:val="auto"/>
                <w:sz w:val="24"/>
                <w:highlight w:val="none"/>
                <w:vertAlign w:val="subscript"/>
              </w:rPr>
              <w:t>1</w:t>
            </w:r>
            <w:r>
              <w:rPr>
                <w:color w:val="auto"/>
                <w:sz w:val="24"/>
                <w:highlight w:val="none"/>
              </w:rPr>
              <w:t>、q</w:t>
            </w:r>
            <w:r>
              <w:rPr>
                <w:color w:val="auto"/>
                <w:sz w:val="24"/>
                <w:highlight w:val="none"/>
                <w:vertAlign w:val="subscript"/>
              </w:rPr>
              <w:t>2</w:t>
            </w:r>
            <w:r>
              <w:rPr>
                <w:color w:val="auto"/>
                <w:sz w:val="24"/>
                <w:highlight w:val="none"/>
              </w:rPr>
              <w:t>、q</w:t>
            </w:r>
            <w:r>
              <w:rPr>
                <w:color w:val="auto"/>
                <w:sz w:val="24"/>
                <w:highlight w:val="none"/>
                <w:vertAlign w:val="subscript"/>
              </w:rPr>
              <w:t>n</w:t>
            </w:r>
            <w:r>
              <w:rPr>
                <w:color w:val="auto"/>
                <w:sz w:val="24"/>
                <w:highlight w:val="none"/>
              </w:rPr>
              <w:t>——每种危险物质实际存在量，t；</w:t>
            </w:r>
          </w:p>
          <w:p w14:paraId="7960762A">
            <w:pPr>
              <w:adjustRightInd w:val="0"/>
              <w:snapToGrid w:val="0"/>
              <w:spacing w:line="360" w:lineRule="auto"/>
              <w:ind w:firstLine="480" w:firstLineChars="200"/>
              <w:rPr>
                <w:color w:val="auto"/>
                <w:sz w:val="24"/>
                <w:highlight w:val="none"/>
              </w:rPr>
            </w:pPr>
            <w:r>
              <w:rPr>
                <w:color w:val="auto"/>
                <w:sz w:val="24"/>
                <w:highlight w:val="none"/>
              </w:rPr>
              <w:t>Q</w:t>
            </w:r>
            <w:r>
              <w:rPr>
                <w:color w:val="auto"/>
                <w:sz w:val="24"/>
                <w:highlight w:val="none"/>
                <w:vertAlign w:val="subscript"/>
              </w:rPr>
              <w:t>1</w:t>
            </w:r>
            <w:r>
              <w:rPr>
                <w:color w:val="auto"/>
                <w:sz w:val="24"/>
                <w:highlight w:val="none"/>
              </w:rPr>
              <w:t>、Q</w:t>
            </w:r>
            <w:r>
              <w:rPr>
                <w:color w:val="auto"/>
                <w:sz w:val="24"/>
                <w:highlight w:val="none"/>
                <w:vertAlign w:val="subscript"/>
              </w:rPr>
              <w:t>2</w:t>
            </w:r>
            <w:r>
              <w:rPr>
                <w:color w:val="auto"/>
                <w:sz w:val="24"/>
                <w:highlight w:val="none"/>
              </w:rPr>
              <w:t>、Q</w:t>
            </w:r>
            <w:r>
              <w:rPr>
                <w:color w:val="auto"/>
                <w:sz w:val="24"/>
                <w:highlight w:val="none"/>
                <w:vertAlign w:val="subscript"/>
              </w:rPr>
              <w:t>n</w:t>
            </w:r>
            <w:r>
              <w:rPr>
                <w:color w:val="auto"/>
                <w:sz w:val="24"/>
                <w:highlight w:val="none"/>
              </w:rPr>
              <w:t>——各危险物质相对应的生产场所或贮存区临界量，t。</w:t>
            </w:r>
          </w:p>
          <w:p w14:paraId="77E1C1E5">
            <w:pPr>
              <w:adjustRightInd w:val="0"/>
              <w:snapToGrid w:val="0"/>
              <w:spacing w:line="360" w:lineRule="auto"/>
              <w:ind w:firstLine="480" w:firstLineChars="200"/>
              <w:rPr>
                <w:color w:val="auto"/>
                <w:sz w:val="24"/>
                <w:highlight w:val="none"/>
              </w:rPr>
            </w:pPr>
            <w:r>
              <w:rPr>
                <w:color w:val="auto"/>
                <w:sz w:val="24"/>
                <w:highlight w:val="none"/>
              </w:rPr>
              <w:t>本项目生产、储运过程中涉及的突发环境事件风险物质及临界量见表4-2</w:t>
            </w:r>
            <w:r>
              <w:rPr>
                <w:rFonts w:hint="eastAsia"/>
                <w:color w:val="auto"/>
                <w:sz w:val="24"/>
                <w:highlight w:val="none"/>
                <w:lang w:val="en-US" w:eastAsia="zh-CN"/>
              </w:rPr>
              <w:t>5</w:t>
            </w:r>
            <w:r>
              <w:rPr>
                <w:color w:val="auto"/>
                <w:sz w:val="24"/>
                <w:highlight w:val="none"/>
              </w:rPr>
              <w:t>。</w:t>
            </w:r>
            <w:bookmarkStart w:id="20" w:name="_Ref792792"/>
          </w:p>
          <w:bookmarkEnd w:id="20"/>
          <w:p w14:paraId="6DE7FD07">
            <w:pPr>
              <w:jc w:val="center"/>
              <w:rPr>
                <w:b/>
                <w:color w:val="auto"/>
                <w:sz w:val="24"/>
                <w:szCs w:val="21"/>
                <w:highlight w:val="none"/>
              </w:rPr>
            </w:pPr>
            <w:r>
              <w:rPr>
                <w:b/>
                <w:color w:val="auto"/>
                <w:sz w:val="24"/>
                <w:szCs w:val="21"/>
                <w:highlight w:val="none"/>
              </w:rPr>
              <w:t>表4-2</w:t>
            </w:r>
            <w:r>
              <w:rPr>
                <w:rFonts w:hint="eastAsia"/>
                <w:b/>
                <w:color w:val="auto"/>
                <w:sz w:val="24"/>
                <w:szCs w:val="21"/>
                <w:highlight w:val="none"/>
                <w:lang w:val="en-US" w:eastAsia="zh-CN"/>
              </w:rPr>
              <w:t>5</w:t>
            </w:r>
            <w:r>
              <w:rPr>
                <w:b/>
                <w:color w:val="auto"/>
                <w:sz w:val="24"/>
                <w:szCs w:val="21"/>
                <w:highlight w:val="none"/>
              </w:rPr>
              <w:t xml:space="preserve"> 本项目危险物质Q值确定表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autofit"/>
              <w:tblCellMar>
                <w:top w:w="0" w:type="dxa"/>
                <w:left w:w="30" w:type="dxa"/>
                <w:bottom w:w="0" w:type="dxa"/>
                <w:right w:w="30" w:type="dxa"/>
              </w:tblCellMar>
            </w:tblPr>
            <w:tblGrid>
              <w:gridCol w:w="450"/>
              <w:gridCol w:w="3224"/>
              <w:gridCol w:w="644"/>
              <w:gridCol w:w="1565"/>
              <w:gridCol w:w="1023"/>
              <w:gridCol w:w="1578"/>
            </w:tblGrid>
            <w:tr w14:paraId="36111CFD">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30" w:type="dxa"/>
                  <w:bottom w:w="0" w:type="dxa"/>
                  <w:right w:w="30" w:type="dxa"/>
                </w:tblCellMar>
              </w:tblPrEx>
              <w:trPr>
                <w:trHeight w:val="340" w:hRule="atLeast"/>
                <w:jc w:val="center"/>
              </w:trPr>
              <w:tc>
                <w:tcPr>
                  <w:tcW w:w="416" w:type="pct"/>
                  <w:tcBorders>
                    <w:top w:val="single" w:color="auto" w:sz="12" w:space="0"/>
                    <w:left w:val="nil"/>
                    <w:bottom w:val="single" w:color="auto" w:sz="12" w:space="0"/>
                    <w:right w:val="single" w:color="auto" w:sz="4" w:space="0"/>
                  </w:tcBorders>
                  <w:noWrap/>
                  <w:vAlign w:val="center"/>
                </w:tcPr>
                <w:p w14:paraId="4A201A59">
                  <w:pPr>
                    <w:autoSpaceDE w:val="0"/>
                    <w:autoSpaceDN w:val="0"/>
                    <w:adjustRightInd w:val="0"/>
                    <w:snapToGrid w:val="0"/>
                    <w:spacing w:before="62"/>
                    <w:jc w:val="center"/>
                    <w:rPr>
                      <w:b/>
                      <w:bCs/>
                      <w:snapToGrid w:val="0"/>
                      <w:color w:val="auto"/>
                      <w:kern w:val="0"/>
                      <w:szCs w:val="21"/>
                      <w:highlight w:val="none"/>
                      <w:lang w:val="zh-CN"/>
                    </w:rPr>
                  </w:pPr>
                  <w:r>
                    <w:rPr>
                      <w:b/>
                      <w:bCs/>
                      <w:snapToGrid w:val="0"/>
                      <w:color w:val="auto"/>
                      <w:kern w:val="0"/>
                      <w:szCs w:val="21"/>
                      <w:highlight w:val="none"/>
                      <w:lang w:val="zh-CN"/>
                    </w:rPr>
                    <w:t>序号</w:t>
                  </w:r>
                </w:p>
              </w:tc>
              <w:tc>
                <w:tcPr>
                  <w:tcW w:w="1042" w:type="pct"/>
                  <w:tcBorders>
                    <w:top w:val="single" w:color="auto" w:sz="12" w:space="0"/>
                    <w:left w:val="single" w:color="auto" w:sz="4" w:space="0"/>
                    <w:bottom w:val="single" w:color="auto" w:sz="12" w:space="0"/>
                    <w:right w:val="single" w:color="auto" w:sz="4" w:space="0"/>
                  </w:tcBorders>
                  <w:noWrap/>
                  <w:vAlign w:val="center"/>
                </w:tcPr>
                <w:p w14:paraId="102A2C66">
                  <w:pPr>
                    <w:autoSpaceDE w:val="0"/>
                    <w:autoSpaceDN w:val="0"/>
                    <w:adjustRightInd w:val="0"/>
                    <w:snapToGrid w:val="0"/>
                    <w:spacing w:before="62"/>
                    <w:jc w:val="center"/>
                    <w:rPr>
                      <w:b/>
                      <w:bCs/>
                      <w:snapToGrid w:val="0"/>
                      <w:color w:val="auto"/>
                      <w:kern w:val="0"/>
                      <w:szCs w:val="21"/>
                      <w:highlight w:val="none"/>
                      <w:lang w:val="zh-CN"/>
                    </w:rPr>
                  </w:pPr>
                  <w:r>
                    <w:rPr>
                      <w:b/>
                      <w:bCs/>
                      <w:snapToGrid w:val="0"/>
                      <w:color w:val="auto"/>
                      <w:kern w:val="0"/>
                      <w:szCs w:val="21"/>
                      <w:highlight w:val="none"/>
                      <w:lang w:val="zh-CN"/>
                    </w:rPr>
                    <w:t>危险物质名称</w:t>
                  </w:r>
                </w:p>
              </w:tc>
              <w:tc>
                <w:tcPr>
                  <w:tcW w:w="795" w:type="pct"/>
                  <w:tcBorders>
                    <w:top w:val="single" w:color="auto" w:sz="12" w:space="0"/>
                    <w:left w:val="single" w:color="auto" w:sz="4" w:space="0"/>
                    <w:bottom w:val="single" w:color="auto" w:sz="12" w:space="0"/>
                    <w:right w:val="single" w:color="auto" w:sz="4" w:space="0"/>
                  </w:tcBorders>
                  <w:noWrap/>
                  <w:vAlign w:val="center"/>
                </w:tcPr>
                <w:p w14:paraId="033E7D22">
                  <w:pPr>
                    <w:autoSpaceDE w:val="0"/>
                    <w:autoSpaceDN w:val="0"/>
                    <w:adjustRightInd w:val="0"/>
                    <w:snapToGrid w:val="0"/>
                    <w:spacing w:before="62"/>
                    <w:jc w:val="center"/>
                    <w:rPr>
                      <w:b/>
                      <w:bCs/>
                      <w:snapToGrid w:val="0"/>
                      <w:color w:val="auto"/>
                      <w:kern w:val="0"/>
                      <w:szCs w:val="21"/>
                      <w:highlight w:val="none"/>
                      <w:lang w:val="zh-CN"/>
                    </w:rPr>
                  </w:pPr>
                  <w:r>
                    <w:rPr>
                      <w:b/>
                      <w:bCs/>
                      <w:snapToGrid w:val="0"/>
                      <w:color w:val="auto"/>
                      <w:kern w:val="0"/>
                      <w:szCs w:val="21"/>
                      <w:highlight w:val="none"/>
                      <w:lang w:val="zh-CN"/>
                    </w:rPr>
                    <w:t>CAS号</w:t>
                  </w:r>
                </w:p>
              </w:tc>
              <w:tc>
                <w:tcPr>
                  <w:tcW w:w="1013" w:type="pct"/>
                  <w:tcBorders>
                    <w:top w:val="single" w:color="auto" w:sz="12" w:space="0"/>
                    <w:left w:val="single" w:color="auto" w:sz="4" w:space="0"/>
                    <w:bottom w:val="single" w:color="auto" w:sz="12" w:space="0"/>
                    <w:right w:val="single" w:color="auto" w:sz="4" w:space="0"/>
                  </w:tcBorders>
                  <w:noWrap/>
                  <w:vAlign w:val="center"/>
                </w:tcPr>
                <w:p w14:paraId="2175EDC1">
                  <w:pPr>
                    <w:autoSpaceDE w:val="0"/>
                    <w:autoSpaceDN w:val="0"/>
                    <w:adjustRightInd w:val="0"/>
                    <w:snapToGrid w:val="0"/>
                    <w:spacing w:before="62"/>
                    <w:jc w:val="center"/>
                    <w:rPr>
                      <w:b/>
                      <w:bCs/>
                      <w:snapToGrid w:val="0"/>
                      <w:color w:val="auto"/>
                      <w:kern w:val="0"/>
                      <w:szCs w:val="21"/>
                      <w:highlight w:val="none"/>
                      <w:lang w:val="zh-CN"/>
                    </w:rPr>
                  </w:pPr>
                  <w:r>
                    <w:rPr>
                      <w:b/>
                      <w:bCs/>
                      <w:snapToGrid w:val="0"/>
                      <w:color w:val="auto"/>
                      <w:kern w:val="0"/>
                      <w:szCs w:val="21"/>
                      <w:highlight w:val="none"/>
                      <w:lang w:val="zh-CN"/>
                    </w:rPr>
                    <w:t>最大存在总量qn/t</w:t>
                  </w:r>
                </w:p>
              </w:tc>
              <w:tc>
                <w:tcPr>
                  <w:tcW w:w="685" w:type="pct"/>
                  <w:tcBorders>
                    <w:top w:val="single" w:color="auto" w:sz="12" w:space="0"/>
                    <w:left w:val="single" w:color="auto" w:sz="4" w:space="0"/>
                    <w:bottom w:val="single" w:color="auto" w:sz="12" w:space="0"/>
                    <w:right w:val="single" w:color="auto" w:sz="4" w:space="0"/>
                  </w:tcBorders>
                  <w:noWrap/>
                  <w:vAlign w:val="center"/>
                </w:tcPr>
                <w:p w14:paraId="69B3B318">
                  <w:pPr>
                    <w:autoSpaceDE w:val="0"/>
                    <w:autoSpaceDN w:val="0"/>
                    <w:adjustRightInd w:val="0"/>
                    <w:snapToGrid w:val="0"/>
                    <w:spacing w:before="62"/>
                    <w:jc w:val="center"/>
                    <w:rPr>
                      <w:b/>
                      <w:bCs/>
                      <w:snapToGrid w:val="0"/>
                      <w:color w:val="auto"/>
                      <w:kern w:val="0"/>
                      <w:szCs w:val="21"/>
                      <w:highlight w:val="none"/>
                      <w:lang w:val="zh-CN"/>
                    </w:rPr>
                  </w:pPr>
                  <w:r>
                    <w:rPr>
                      <w:b/>
                      <w:bCs/>
                      <w:snapToGrid w:val="0"/>
                      <w:color w:val="auto"/>
                      <w:kern w:val="0"/>
                      <w:szCs w:val="21"/>
                      <w:highlight w:val="none"/>
                      <w:lang w:val="zh-CN"/>
                    </w:rPr>
                    <w:t>临界量Qn/t</w:t>
                  </w:r>
                </w:p>
              </w:tc>
              <w:tc>
                <w:tcPr>
                  <w:tcW w:w="1047" w:type="pct"/>
                  <w:tcBorders>
                    <w:top w:val="single" w:color="auto" w:sz="12" w:space="0"/>
                    <w:left w:val="single" w:color="auto" w:sz="4" w:space="0"/>
                    <w:bottom w:val="single" w:color="auto" w:sz="12" w:space="0"/>
                    <w:right w:val="nil"/>
                  </w:tcBorders>
                  <w:noWrap/>
                  <w:vAlign w:val="center"/>
                </w:tcPr>
                <w:p w14:paraId="6364D4C1">
                  <w:pPr>
                    <w:autoSpaceDE w:val="0"/>
                    <w:autoSpaceDN w:val="0"/>
                    <w:adjustRightInd w:val="0"/>
                    <w:snapToGrid w:val="0"/>
                    <w:spacing w:before="62"/>
                    <w:jc w:val="center"/>
                    <w:rPr>
                      <w:b/>
                      <w:bCs/>
                      <w:snapToGrid w:val="0"/>
                      <w:color w:val="auto"/>
                      <w:kern w:val="0"/>
                      <w:szCs w:val="21"/>
                      <w:highlight w:val="none"/>
                      <w:lang w:val="zh-CN"/>
                    </w:rPr>
                  </w:pPr>
                  <w:r>
                    <w:rPr>
                      <w:b/>
                      <w:bCs/>
                      <w:snapToGrid w:val="0"/>
                      <w:color w:val="auto"/>
                      <w:kern w:val="0"/>
                      <w:szCs w:val="21"/>
                      <w:highlight w:val="none"/>
                      <w:lang w:val="zh-CN"/>
                    </w:rPr>
                    <w:t>该种危险物质Q值</w:t>
                  </w:r>
                </w:p>
              </w:tc>
            </w:tr>
            <w:tr w14:paraId="475810C7">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30" w:type="dxa"/>
                  <w:bottom w:w="0" w:type="dxa"/>
                  <w:right w:w="30" w:type="dxa"/>
                </w:tblCellMar>
              </w:tblPrEx>
              <w:trPr>
                <w:trHeight w:val="340" w:hRule="atLeast"/>
                <w:jc w:val="center"/>
              </w:trPr>
              <w:tc>
                <w:tcPr>
                  <w:tcW w:w="416" w:type="pct"/>
                  <w:tcBorders>
                    <w:bottom w:val="single" w:color="auto" w:sz="4" w:space="0"/>
                  </w:tcBorders>
                  <w:noWrap/>
                  <w:vAlign w:val="center"/>
                </w:tcPr>
                <w:p w14:paraId="20D22506">
                  <w:pPr>
                    <w:autoSpaceDE w:val="0"/>
                    <w:autoSpaceDN w:val="0"/>
                    <w:adjustRightInd w:val="0"/>
                    <w:snapToGrid w:val="0"/>
                    <w:spacing w:before="62"/>
                    <w:jc w:val="center"/>
                    <w:rPr>
                      <w:bCs/>
                      <w:snapToGrid w:val="0"/>
                      <w:color w:val="auto"/>
                      <w:kern w:val="0"/>
                      <w:szCs w:val="21"/>
                      <w:highlight w:val="none"/>
                      <w:lang w:val="zh-CN"/>
                    </w:rPr>
                  </w:pPr>
                  <w:r>
                    <w:rPr>
                      <w:bCs/>
                      <w:snapToGrid w:val="0"/>
                      <w:color w:val="auto"/>
                      <w:kern w:val="0"/>
                      <w:szCs w:val="21"/>
                      <w:highlight w:val="none"/>
                      <w:lang w:val="zh-CN"/>
                    </w:rPr>
                    <w:t>1</w:t>
                  </w:r>
                </w:p>
              </w:tc>
              <w:tc>
                <w:tcPr>
                  <w:tcW w:w="1042" w:type="pct"/>
                  <w:tcBorders>
                    <w:bottom w:val="single" w:color="auto" w:sz="4" w:space="0"/>
                  </w:tcBorders>
                  <w:noWrap/>
                  <w:vAlign w:val="center"/>
                </w:tcPr>
                <w:p w14:paraId="638AA9C5">
                  <w:pPr>
                    <w:adjustRightInd w:val="0"/>
                    <w:snapToGrid w:val="0"/>
                    <w:jc w:val="center"/>
                    <w:rPr>
                      <w:color w:val="auto"/>
                      <w:szCs w:val="21"/>
                      <w:highlight w:val="none"/>
                    </w:rPr>
                  </w:pPr>
                  <w:r>
                    <w:rPr>
                      <w:rFonts w:hint="eastAsia"/>
                      <w:color w:val="auto"/>
                      <w:szCs w:val="21"/>
                      <w:highlight w:val="none"/>
                      <w:lang w:val="en-US" w:eastAsia="zh-CN"/>
                    </w:rPr>
                    <w:t>润滑</w:t>
                  </w:r>
                  <w:r>
                    <w:rPr>
                      <w:rFonts w:hint="eastAsia"/>
                      <w:color w:val="auto"/>
                      <w:szCs w:val="21"/>
                      <w:highlight w:val="none"/>
                    </w:rPr>
                    <w:t>油</w:t>
                  </w:r>
                </w:p>
              </w:tc>
              <w:tc>
                <w:tcPr>
                  <w:tcW w:w="795" w:type="pct"/>
                  <w:tcBorders>
                    <w:bottom w:val="single" w:color="auto" w:sz="4" w:space="0"/>
                  </w:tcBorders>
                  <w:noWrap/>
                  <w:vAlign w:val="center"/>
                </w:tcPr>
                <w:p w14:paraId="74F80D9F">
                  <w:pPr>
                    <w:adjustRightInd w:val="0"/>
                    <w:snapToGrid w:val="0"/>
                    <w:jc w:val="center"/>
                    <w:rPr>
                      <w:color w:val="auto"/>
                      <w:szCs w:val="21"/>
                      <w:highlight w:val="none"/>
                    </w:rPr>
                  </w:pPr>
                  <w:r>
                    <w:rPr>
                      <w:rFonts w:hint="eastAsia"/>
                      <w:color w:val="auto"/>
                      <w:szCs w:val="21"/>
                      <w:highlight w:val="none"/>
                    </w:rPr>
                    <w:t>/</w:t>
                  </w:r>
                </w:p>
              </w:tc>
              <w:tc>
                <w:tcPr>
                  <w:tcW w:w="1013" w:type="pct"/>
                  <w:tcBorders>
                    <w:bottom w:val="single" w:color="auto" w:sz="4" w:space="0"/>
                  </w:tcBorders>
                  <w:noWrap/>
                  <w:vAlign w:val="center"/>
                </w:tcPr>
                <w:p w14:paraId="0F9E3EE5">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0.04</w:t>
                  </w:r>
                </w:p>
              </w:tc>
              <w:tc>
                <w:tcPr>
                  <w:tcW w:w="685" w:type="pct"/>
                  <w:tcBorders>
                    <w:bottom w:val="single" w:color="auto" w:sz="4" w:space="0"/>
                  </w:tcBorders>
                  <w:noWrap/>
                  <w:vAlign w:val="center"/>
                </w:tcPr>
                <w:p w14:paraId="1BD2E479">
                  <w:pPr>
                    <w:adjustRightInd w:val="0"/>
                    <w:snapToGrid w:val="0"/>
                    <w:jc w:val="center"/>
                    <w:rPr>
                      <w:color w:val="auto"/>
                      <w:szCs w:val="21"/>
                      <w:highlight w:val="none"/>
                    </w:rPr>
                  </w:pPr>
                  <w:r>
                    <w:rPr>
                      <w:rFonts w:hint="eastAsia"/>
                      <w:color w:val="auto"/>
                      <w:szCs w:val="21"/>
                      <w:highlight w:val="none"/>
                    </w:rPr>
                    <w:t>2500</w:t>
                  </w:r>
                </w:p>
              </w:tc>
              <w:tc>
                <w:tcPr>
                  <w:tcW w:w="1047" w:type="pct"/>
                  <w:tcBorders>
                    <w:bottom w:val="single" w:color="auto" w:sz="4" w:space="0"/>
                  </w:tcBorders>
                  <w:noWrap/>
                  <w:vAlign w:val="center"/>
                </w:tcPr>
                <w:p w14:paraId="1D10FD18">
                  <w:pPr>
                    <w:adjustRightInd w:val="0"/>
                    <w:snapToGrid w:val="0"/>
                    <w:jc w:val="center"/>
                    <w:rPr>
                      <w:rFonts w:hint="default" w:eastAsia="宋体"/>
                      <w:color w:val="auto"/>
                      <w:szCs w:val="21"/>
                      <w:highlight w:val="none"/>
                      <w:lang w:val="en-US" w:eastAsia="zh-CN"/>
                    </w:rPr>
                  </w:pPr>
                  <w:r>
                    <w:rPr>
                      <w:rFonts w:hint="eastAsia"/>
                      <w:color w:val="auto"/>
                      <w:szCs w:val="21"/>
                      <w:highlight w:val="none"/>
                    </w:rPr>
                    <w:t>0.000</w:t>
                  </w:r>
                  <w:r>
                    <w:rPr>
                      <w:rFonts w:hint="eastAsia"/>
                      <w:color w:val="auto"/>
                      <w:szCs w:val="21"/>
                      <w:highlight w:val="none"/>
                      <w:lang w:val="en-US" w:eastAsia="zh-CN"/>
                    </w:rPr>
                    <w:t>016</w:t>
                  </w:r>
                </w:p>
              </w:tc>
            </w:tr>
            <w:tr w14:paraId="57E6622A">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30" w:type="dxa"/>
                  <w:bottom w:w="0" w:type="dxa"/>
                  <w:right w:w="30" w:type="dxa"/>
                </w:tblCellMar>
              </w:tblPrEx>
              <w:trPr>
                <w:trHeight w:val="340" w:hRule="atLeast"/>
                <w:jc w:val="center"/>
              </w:trPr>
              <w:tc>
                <w:tcPr>
                  <w:tcW w:w="416" w:type="pct"/>
                  <w:tcBorders>
                    <w:top w:val="single" w:color="auto" w:sz="4" w:space="0"/>
                    <w:bottom w:val="single" w:color="auto" w:sz="4" w:space="0"/>
                  </w:tcBorders>
                  <w:noWrap/>
                  <w:vAlign w:val="center"/>
                </w:tcPr>
                <w:p w14:paraId="3C02341F">
                  <w:pPr>
                    <w:autoSpaceDE w:val="0"/>
                    <w:autoSpaceDN w:val="0"/>
                    <w:adjustRightInd w:val="0"/>
                    <w:snapToGrid w:val="0"/>
                    <w:spacing w:before="62"/>
                    <w:jc w:val="center"/>
                    <w:rPr>
                      <w:bCs/>
                      <w:snapToGrid w:val="0"/>
                      <w:color w:val="auto"/>
                      <w:kern w:val="0"/>
                      <w:szCs w:val="21"/>
                      <w:highlight w:val="none"/>
                    </w:rPr>
                  </w:pPr>
                  <w:r>
                    <w:rPr>
                      <w:rFonts w:hint="eastAsia"/>
                      <w:bCs/>
                      <w:snapToGrid w:val="0"/>
                      <w:color w:val="auto"/>
                      <w:kern w:val="0"/>
                      <w:szCs w:val="21"/>
                      <w:highlight w:val="none"/>
                    </w:rPr>
                    <w:t>2</w:t>
                  </w:r>
                </w:p>
              </w:tc>
              <w:tc>
                <w:tcPr>
                  <w:tcW w:w="1042" w:type="pct"/>
                  <w:tcBorders>
                    <w:top w:val="single" w:color="auto" w:sz="4" w:space="0"/>
                    <w:bottom w:val="single" w:color="auto" w:sz="4" w:space="0"/>
                  </w:tcBorders>
                  <w:noWrap/>
                  <w:vAlign w:val="center"/>
                </w:tcPr>
                <w:p w14:paraId="78CE2DA8">
                  <w:pPr>
                    <w:adjustRightInd w:val="0"/>
                    <w:snapToGrid w:val="0"/>
                    <w:jc w:val="center"/>
                    <w:rPr>
                      <w:rFonts w:hint="default" w:eastAsia="宋体"/>
                      <w:color w:val="auto"/>
                      <w:szCs w:val="21"/>
                      <w:highlight w:val="none"/>
                      <w:lang w:val="en-US" w:eastAsia="zh-CN"/>
                    </w:rPr>
                  </w:pPr>
                  <w:r>
                    <w:rPr>
                      <w:rFonts w:hint="eastAsia"/>
                      <w:color w:val="auto"/>
                      <w:szCs w:val="21"/>
                      <w:highlight w:val="none"/>
                      <w:lang w:eastAsia="zh-CN"/>
                    </w:rPr>
                    <w:t>危险废物（</w:t>
                  </w:r>
                  <w:r>
                    <w:rPr>
                      <w:rFonts w:hint="eastAsia"/>
                      <w:color w:val="auto"/>
                      <w:szCs w:val="21"/>
                      <w:highlight w:val="none"/>
                      <w:lang w:val="en-US" w:eastAsia="zh-CN"/>
                    </w:rPr>
                    <w:t>废无尘纸/布、废包装瓶</w:t>
                  </w:r>
                  <w:r>
                    <w:rPr>
                      <w:rFonts w:hint="eastAsia"/>
                      <w:color w:val="auto"/>
                      <w:szCs w:val="21"/>
                      <w:highlight w:val="none"/>
                      <w:lang w:eastAsia="zh-CN"/>
                    </w:rPr>
                    <w:t>）</w:t>
                  </w:r>
                </w:p>
              </w:tc>
              <w:tc>
                <w:tcPr>
                  <w:tcW w:w="795" w:type="pct"/>
                  <w:tcBorders>
                    <w:top w:val="single" w:color="auto" w:sz="4" w:space="0"/>
                    <w:bottom w:val="single" w:color="auto" w:sz="4" w:space="0"/>
                  </w:tcBorders>
                  <w:noWrap/>
                  <w:vAlign w:val="center"/>
                </w:tcPr>
                <w:p w14:paraId="3EA419EA">
                  <w:pPr>
                    <w:adjustRightInd w:val="0"/>
                    <w:snapToGrid w:val="0"/>
                    <w:jc w:val="center"/>
                    <w:rPr>
                      <w:color w:val="auto"/>
                      <w:szCs w:val="21"/>
                      <w:highlight w:val="none"/>
                    </w:rPr>
                  </w:pPr>
                  <w:r>
                    <w:rPr>
                      <w:rFonts w:hint="eastAsia"/>
                      <w:color w:val="auto"/>
                      <w:szCs w:val="21"/>
                      <w:highlight w:val="none"/>
                    </w:rPr>
                    <w:t>/</w:t>
                  </w:r>
                </w:p>
              </w:tc>
              <w:tc>
                <w:tcPr>
                  <w:tcW w:w="1013" w:type="pct"/>
                  <w:tcBorders>
                    <w:top w:val="single" w:color="auto" w:sz="4" w:space="0"/>
                    <w:bottom w:val="single" w:color="auto" w:sz="4" w:space="0"/>
                  </w:tcBorders>
                  <w:noWrap/>
                  <w:vAlign w:val="center"/>
                </w:tcPr>
                <w:p w14:paraId="394D57C0">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0.011</w:t>
                  </w:r>
                </w:p>
              </w:tc>
              <w:tc>
                <w:tcPr>
                  <w:tcW w:w="685" w:type="pct"/>
                  <w:tcBorders>
                    <w:top w:val="single" w:color="auto" w:sz="4" w:space="0"/>
                    <w:bottom w:val="single" w:color="auto" w:sz="4" w:space="0"/>
                  </w:tcBorders>
                  <w:noWrap/>
                  <w:vAlign w:val="center"/>
                </w:tcPr>
                <w:p w14:paraId="20B6073F">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50</w:t>
                  </w:r>
                </w:p>
              </w:tc>
              <w:tc>
                <w:tcPr>
                  <w:tcW w:w="1047" w:type="pct"/>
                  <w:tcBorders>
                    <w:top w:val="single" w:color="auto" w:sz="4" w:space="0"/>
                    <w:bottom w:val="single" w:color="auto" w:sz="4" w:space="0"/>
                  </w:tcBorders>
                  <w:noWrap/>
                  <w:vAlign w:val="center"/>
                </w:tcPr>
                <w:p w14:paraId="2506F44C">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0.00022</w:t>
                  </w:r>
                </w:p>
              </w:tc>
            </w:tr>
            <w:tr w14:paraId="710AB275">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30" w:type="dxa"/>
                  <w:bottom w:w="0" w:type="dxa"/>
                  <w:right w:w="30" w:type="dxa"/>
                </w:tblCellMar>
              </w:tblPrEx>
              <w:trPr>
                <w:trHeight w:val="340" w:hRule="atLeast"/>
                <w:jc w:val="center"/>
              </w:trPr>
              <w:tc>
                <w:tcPr>
                  <w:tcW w:w="416" w:type="pct"/>
                  <w:tcBorders>
                    <w:top w:val="single" w:color="auto" w:sz="4" w:space="0"/>
                    <w:bottom w:val="single" w:color="auto" w:sz="4" w:space="0"/>
                  </w:tcBorders>
                  <w:noWrap/>
                  <w:vAlign w:val="center"/>
                </w:tcPr>
                <w:p w14:paraId="6CFC1F42">
                  <w:pPr>
                    <w:autoSpaceDE w:val="0"/>
                    <w:autoSpaceDN w:val="0"/>
                    <w:adjustRightInd w:val="0"/>
                    <w:snapToGrid w:val="0"/>
                    <w:spacing w:before="62"/>
                    <w:jc w:val="center"/>
                    <w:rPr>
                      <w:rFonts w:hint="eastAsia" w:eastAsia="宋体"/>
                      <w:bCs/>
                      <w:snapToGrid w:val="0"/>
                      <w:color w:val="auto"/>
                      <w:kern w:val="0"/>
                      <w:szCs w:val="21"/>
                      <w:highlight w:val="none"/>
                      <w:lang w:val="en-US" w:eastAsia="zh-CN"/>
                    </w:rPr>
                  </w:pPr>
                  <w:r>
                    <w:rPr>
                      <w:rFonts w:hint="eastAsia"/>
                      <w:bCs/>
                      <w:snapToGrid w:val="0"/>
                      <w:color w:val="auto"/>
                      <w:kern w:val="0"/>
                      <w:szCs w:val="21"/>
                      <w:highlight w:val="none"/>
                      <w:lang w:val="en-US" w:eastAsia="zh-CN"/>
                    </w:rPr>
                    <w:t>3</w:t>
                  </w:r>
                </w:p>
              </w:tc>
              <w:tc>
                <w:tcPr>
                  <w:tcW w:w="1042" w:type="pct"/>
                  <w:tcBorders>
                    <w:top w:val="single" w:color="auto" w:sz="4" w:space="0"/>
                    <w:bottom w:val="single" w:color="auto" w:sz="4" w:space="0"/>
                  </w:tcBorders>
                  <w:noWrap/>
                  <w:vAlign w:val="center"/>
                </w:tcPr>
                <w:p w14:paraId="4597C479">
                  <w:pPr>
                    <w:adjustRightInd w:val="0"/>
                    <w:snapToGrid w:val="0"/>
                    <w:jc w:val="center"/>
                    <w:rPr>
                      <w:rFonts w:hint="eastAsia"/>
                      <w:color w:val="auto"/>
                      <w:szCs w:val="21"/>
                      <w:highlight w:val="none"/>
                      <w:lang w:eastAsia="zh-CN"/>
                    </w:rPr>
                  </w:pPr>
                  <w:r>
                    <w:rPr>
                      <w:rFonts w:hint="eastAsia"/>
                      <w:color w:val="auto"/>
                      <w:szCs w:val="21"/>
                      <w:highlight w:val="none"/>
                      <w:lang w:eastAsia="zh-CN"/>
                    </w:rPr>
                    <w:t>清洗剂</w:t>
                  </w:r>
                </w:p>
              </w:tc>
              <w:tc>
                <w:tcPr>
                  <w:tcW w:w="795" w:type="pct"/>
                  <w:tcBorders>
                    <w:top w:val="single" w:color="auto" w:sz="4" w:space="0"/>
                    <w:bottom w:val="single" w:color="auto" w:sz="4" w:space="0"/>
                  </w:tcBorders>
                  <w:noWrap/>
                  <w:vAlign w:val="center"/>
                </w:tcPr>
                <w:p w14:paraId="32DC111B">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013" w:type="pct"/>
                  <w:tcBorders>
                    <w:top w:val="single" w:color="auto" w:sz="4" w:space="0"/>
                    <w:bottom w:val="single" w:color="auto" w:sz="4" w:space="0"/>
                  </w:tcBorders>
                  <w:noWrap/>
                  <w:vAlign w:val="center"/>
                </w:tcPr>
                <w:p w14:paraId="13EE0C92">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0.05</w:t>
                  </w:r>
                </w:p>
              </w:tc>
              <w:tc>
                <w:tcPr>
                  <w:tcW w:w="685" w:type="pct"/>
                  <w:tcBorders>
                    <w:top w:val="single" w:color="auto" w:sz="4" w:space="0"/>
                    <w:bottom w:val="single" w:color="auto" w:sz="4" w:space="0"/>
                  </w:tcBorders>
                  <w:noWrap/>
                  <w:vAlign w:val="center"/>
                </w:tcPr>
                <w:p w14:paraId="0F995876">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100</w:t>
                  </w:r>
                </w:p>
              </w:tc>
              <w:tc>
                <w:tcPr>
                  <w:tcW w:w="1047" w:type="pct"/>
                  <w:tcBorders>
                    <w:top w:val="single" w:color="auto" w:sz="4" w:space="0"/>
                    <w:bottom w:val="single" w:color="auto" w:sz="4" w:space="0"/>
                  </w:tcBorders>
                  <w:noWrap/>
                  <w:vAlign w:val="center"/>
                </w:tcPr>
                <w:p w14:paraId="4889C398">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0.0005</w:t>
                  </w:r>
                </w:p>
              </w:tc>
            </w:tr>
            <w:tr w14:paraId="62DCA4F1">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30" w:type="dxa"/>
                  <w:bottom w:w="0" w:type="dxa"/>
                  <w:right w:w="30" w:type="dxa"/>
                </w:tblCellMar>
              </w:tblPrEx>
              <w:trPr>
                <w:trHeight w:val="340" w:hRule="atLeast"/>
                <w:jc w:val="center"/>
              </w:trPr>
              <w:tc>
                <w:tcPr>
                  <w:tcW w:w="416" w:type="pct"/>
                  <w:tcBorders>
                    <w:top w:val="single" w:color="auto" w:sz="4" w:space="0"/>
                    <w:bottom w:val="single" w:color="auto" w:sz="4" w:space="0"/>
                  </w:tcBorders>
                  <w:noWrap/>
                  <w:vAlign w:val="center"/>
                </w:tcPr>
                <w:p w14:paraId="773ED695">
                  <w:pPr>
                    <w:autoSpaceDE w:val="0"/>
                    <w:autoSpaceDN w:val="0"/>
                    <w:adjustRightInd w:val="0"/>
                    <w:snapToGrid w:val="0"/>
                    <w:spacing w:before="62"/>
                    <w:jc w:val="center"/>
                    <w:rPr>
                      <w:rFonts w:hint="default"/>
                      <w:bCs/>
                      <w:snapToGrid w:val="0"/>
                      <w:color w:val="auto"/>
                      <w:kern w:val="0"/>
                      <w:szCs w:val="21"/>
                      <w:highlight w:val="none"/>
                      <w:lang w:val="en-US" w:eastAsia="zh-CN"/>
                    </w:rPr>
                  </w:pPr>
                  <w:r>
                    <w:rPr>
                      <w:rFonts w:hint="eastAsia"/>
                      <w:bCs/>
                      <w:snapToGrid w:val="0"/>
                      <w:color w:val="auto"/>
                      <w:kern w:val="0"/>
                      <w:szCs w:val="21"/>
                      <w:highlight w:val="none"/>
                      <w:lang w:val="en-US" w:eastAsia="zh-CN"/>
                    </w:rPr>
                    <w:t>4</w:t>
                  </w:r>
                </w:p>
              </w:tc>
              <w:tc>
                <w:tcPr>
                  <w:tcW w:w="1042" w:type="pct"/>
                  <w:tcBorders>
                    <w:top w:val="single" w:color="auto" w:sz="4" w:space="0"/>
                    <w:bottom w:val="single" w:color="auto" w:sz="4" w:space="0"/>
                  </w:tcBorders>
                  <w:noWrap/>
                  <w:vAlign w:val="center"/>
                </w:tcPr>
                <w:p w14:paraId="786F5F67">
                  <w:pPr>
                    <w:adjustRightInd w:val="0"/>
                    <w:snapToGrid w:val="0"/>
                    <w:jc w:val="center"/>
                    <w:rPr>
                      <w:rFonts w:hint="eastAsia"/>
                      <w:color w:val="auto"/>
                      <w:szCs w:val="21"/>
                      <w:highlight w:val="none"/>
                      <w:lang w:eastAsia="zh-CN"/>
                    </w:rPr>
                  </w:pPr>
                  <w:r>
                    <w:rPr>
                      <w:rFonts w:hint="eastAsia"/>
                      <w:color w:val="auto"/>
                      <w:szCs w:val="21"/>
                      <w:highlight w:val="none"/>
                      <w:lang w:eastAsia="zh-CN"/>
                    </w:rPr>
                    <w:t>光学专用胶</w:t>
                  </w:r>
                </w:p>
              </w:tc>
              <w:tc>
                <w:tcPr>
                  <w:tcW w:w="795" w:type="pct"/>
                  <w:tcBorders>
                    <w:top w:val="single" w:color="auto" w:sz="4" w:space="0"/>
                    <w:bottom w:val="single" w:color="auto" w:sz="4" w:space="0"/>
                  </w:tcBorders>
                  <w:noWrap/>
                  <w:vAlign w:val="center"/>
                </w:tcPr>
                <w:p w14:paraId="1DEB511D">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w:t>
                  </w:r>
                </w:p>
              </w:tc>
              <w:tc>
                <w:tcPr>
                  <w:tcW w:w="1013" w:type="pct"/>
                  <w:tcBorders>
                    <w:top w:val="single" w:color="auto" w:sz="4" w:space="0"/>
                    <w:bottom w:val="single" w:color="auto" w:sz="4" w:space="0"/>
                  </w:tcBorders>
                  <w:noWrap/>
                  <w:vAlign w:val="center"/>
                </w:tcPr>
                <w:p w14:paraId="3C02556F">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0.005</w:t>
                  </w:r>
                </w:p>
              </w:tc>
              <w:tc>
                <w:tcPr>
                  <w:tcW w:w="685" w:type="pct"/>
                  <w:tcBorders>
                    <w:top w:val="single" w:color="auto" w:sz="4" w:space="0"/>
                    <w:bottom w:val="single" w:color="auto" w:sz="4" w:space="0"/>
                  </w:tcBorders>
                  <w:noWrap/>
                  <w:vAlign w:val="center"/>
                </w:tcPr>
                <w:p w14:paraId="039DAFE6">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50</w:t>
                  </w:r>
                </w:p>
              </w:tc>
              <w:tc>
                <w:tcPr>
                  <w:tcW w:w="1047" w:type="pct"/>
                  <w:tcBorders>
                    <w:top w:val="single" w:color="auto" w:sz="4" w:space="0"/>
                    <w:bottom w:val="single" w:color="auto" w:sz="4" w:space="0"/>
                  </w:tcBorders>
                  <w:noWrap/>
                  <w:vAlign w:val="center"/>
                </w:tcPr>
                <w:p w14:paraId="79A50A59">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0.00005</w:t>
                  </w:r>
                </w:p>
              </w:tc>
            </w:tr>
            <w:tr w14:paraId="56CDB5B1">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30" w:type="dxa"/>
                  <w:bottom w:w="0" w:type="dxa"/>
                  <w:right w:w="30" w:type="dxa"/>
                </w:tblCellMar>
              </w:tblPrEx>
              <w:trPr>
                <w:trHeight w:val="340" w:hRule="atLeast"/>
                <w:jc w:val="center"/>
              </w:trPr>
              <w:tc>
                <w:tcPr>
                  <w:tcW w:w="416" w:type="pct"/>
                  <w:tcBorders>
                    <w:top w:val="single" w:color="auto" w:sz="4" w:space="0"/>
                    <w:bottom w:val="single" w:color="auto" w:sz="4" w:space="0"/>
                  </w:tcBorders>
                  <w:noWrap/>
                  <w:vAlign w:val="center"/>
                </w:tcPr>
                <w:p w14:paraId="46FC388B">
                  <w:pPr>
                    <w:autoSpaceDE w:val="0"/>
                    <w:autoSpaceDN w:val="0"/>
                    <w:adjustRightInd w:val="0"/>
                    <w:snapToGrid w:val="0"/>
                    <w:spacing w:before="62"/>
                    <w:jc w:val="center"/>
                    <w:rPr>
                      <w:rFonts w:hint="default"/>
                      <w:bCs/>
                      <w:snapToGrid w:val="0"/>
                      <w:color w:val="auto"/>
                      <w:kern w:val="0"/>
                      <w:szCs w:val="21"/>
                      <w:highlight w:val="none"/>
                      <w:lang w:val="en-US" w:eastAsia="zh-CN"/>
                    </w:rPr>
                  </w:pPr>
                  <w:r>
                    <w:rPr>
                      <w:rFonts w:hint="eastAsia"/>
                      <w:bCs/>
                      <w:snapToGrid w:val="0"/>
                      <w:color w:val="auto"/>
                      <w:kern w:val="0"/>
                      <w:szCs w:val="21"/>
                      <w:highlight w:val="none"/>
                      <w:lang w:val="en-US" w:eastAsia="zh-CN"/>
                    </w:rPr>
                    <w:t>5</w:t>
                  </w:r>
                </w:p>
              </w:tc>
              <w:tc>
                <w:tcPr>
                  <w:tcW w:w="1042" w:type="pct"/>
                  <w:tcBorders>
                    <w:top w:val="single" w:color="auto" w:sz="4" w:space="0"/>
                    <w:bottom w:val="single" w:color="auto" w:sz="4" w:space="0"/>
                  </w:tcBorders>
                  <w:noWrap/>
                  <w:vAlign w:val="center"/>
                </w:tcPr>
                <w:p w14:paraId="329F0BA2">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废润滑油</w:t>
                  </w:r>
                </w:p>
              </w:tc>
              <w:tc>
                <w:tcPr>
                  <w:tcW w:w="795" w:type="pct"/>
                  <w:tcBorders>
                    <w:top w:val="single" w:color="auto" w:sz="4" w:space="0"/>
                    <w:bottom w:val="single" w:color="auto" w:sz="4" w:space="0"/>
                  </w:tcBorders>
                  <w:noWrap/>
                  <w:vAlign w:val="center"/>
                </w:tcPr>
                <w:p w14:paraId="6C0BAFB6">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w:t>
                  </w:r>
                </w:p>
              </w:tc>
              <w:tc>
                <w:tcPr>
                  <w:tcW w:w="1013" w:type="pct"/>
                  <w:tcBorders>
                    <w:top w:val="single" w:color="auto" w:sz="4" w:space="0"/>
                    <w:bottom w:val="single" w:color="auto" w:sz="4" w:space="0"/>
                  </w:tcBorders>
                  <w:noWrap/>
                  <w:vAlign w:val="center"/>
                </w:tcPr>
                <w:p w14:paraId="28E61DC5">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0.01</w:t>
                  </w:r>
                </w:p>
              </w:tc>
              <w:tc>
                <w:tcPr>
                  <w:tcW w:w="685" w:type="pct"/>
                  <w:tcBorders>
                    <w:top w:val="single" w:color="auto" w:sz="4" w:space="0"/>
                    <w:bottom w:val="single" w:color="auto" w:sz="4" w:space="0"/>
                  </w:tcBorders>
                  <w:noWrap/>
                  <w:vAlign w:val="center"/>
                </w:tcPr>
                <w:p w14:paraId="391405EF">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2500</w:t>
                  </w:r>
                </w:p>
              </w:tc>
              <w:tc>
                <w:tcPr>
                  <w:tcW w:w="1047" w:type="pct"/>
                  <w:tcBorders>
                    <w:top w:val="single" w:color="auto" w:sz="4" w:space="0"/>
                    <w:bottom w:val="single" w:color="auto" w:sz="4" w:space="0"/>
                  </w:tcBorders>
                  <w:noWrap/>
                  <w:vAlign w:val="center"/>
                </w:tcPr>
                <w:p w14:paraId="214B71D7">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0.000004</w:t>
                  </w:r>
                </w:p>
              </w:tc>
            </w:tr>
            <w:tr w14:paraId="59EFED11">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30" w:type="dxa"/>
                  <w:bottom w:w="0" w:type="dxa"/>
                  <w:right w:w="30" w:type="dxa"/>
                </w:tblCellMar>
              </w:tblPrEx>
              <w:trPr>
                <w:trHeight w:val="340" w:hRule="atLeast"/>
                <w:jc w:val="center"/>
              </w:trPr>
              <w:tc>
                <w:tcPr>
                  <w:tcW w:w="416" w:type="pct"/>
                  <w:tcBorders>
                    <w:top w:val="single" w:color="auto" w:sz="4" w:space="0"/>
                    <w:bottom w:val="single" w:color="auto" w:sz="4" w:space="0"/>
                  </w:tcBorders>
                  <w:noWrap/>
                  <w:vAlign w:val="center"/>
                </w:tcPr>
                <w:p w14:paraId="7C46BC1B">
                  <w:pPr>
                    <w:autoSpaceDE w:val="0"/>
                    <w:autoSpaceDN w:val="0"/>
                    <w:adjustRightInd w:val="0"/>
                    <w:snapToGrid w:val="0"/>
                    <w:spacing w:before="62"/>
                    <w:jc w:val="center"/>
                    <w:rPr>
                      <w:rFonts w:hint="default"/>
                      <w:bCs/>
                      <w:snapToGrid w:val="0"/>
                      <w:color w:val="auto"/>
                      <w:kern w:val="0"/>
                      <w:szCs w:val="21"/>
                      <w:highlight w:val="none"/>
                      <w:lang w:val="en-US" w:eastAsia="zh-CN"/>
                    </w:rPr>
                  </w:pPr>
                  <w:r>
                    <w:rPr>
                      <w:rFonts w:hint="eastAsia"/>
                      <w:bCs/>
                      <w:snapToGrid w:val="0"/>
                      <w:color w:val="auto"/>
                      <w:kern w:val="0"/>
                      <w:szCs w:val="21"/>
                      <w:highlight w:val="none"/>
                      <w:lang w:val="en-US" w:eastAsia="zh-CN"/>
                    </w:rPr>
                    <w:t>6</w:t>
                  </w:r>
                </w:p>
              </w:tc>
              <w:tc>
                <w:tcPr>
                  <w:tcW w:w="1042" w:type="pct"/>
                  <w:tcBorders>
                    <w:top w:val="single" w:color="auto" w:sz="4" w:space="0"/>
                    <w:bottom w:val="single" w:color="auto" w:sz="4" w:space="0"/>
                  </w:tcBorders>
                  <w:noWrap/>
                  <w:vAlign w:val="center"/>
                </w:tcPr>
                <w:p w14:paraId="7C5081F4">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废油桶</w:t>
                  </w:r>
                </w:p>
              </w:tc>
              <w:tc>
                <w:tcPr>
                  <w:tcW w:w="795" w:type="pct"/>
                  <w:tcBorders>
                    <w:top w:val="single" w:color="auto" w:sz="4" w:space="0"/>
                    <w:bottom w:val="single" w:color="auto" w:sz="4" w:space="0"/>
                  </w:tcBorders>
                  <w:noWrap/>
                  <w:vAlign w:val="center"/>
                </w:tcPr>
                <w:p w14:paraId="2F2B8473">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w:t>
                  </w:r>
                </w:p>
              </w:tc>
              <w:tc>
                <w:tcPr>
                  <w:tcW w:w="1013" w:type="pct"/>
                  <w:tcBorders>
                    <w:top w:val="single" w:color="auto" w:sz="4" w:space="0"/>
                    <w:bottom w:val="single" w:color="auto" w:sz="4" w:space="0"/>
                  </w:tcBorders>
                  <w:noWrap/>
                  <w:vAlign w:val="center"/>
                </w:tcPr>
                <w:p w14:paraId="0C0508A6">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0.01</w:t>
                  </w:r>
                </w:p>
              </w:tc>
              <w:tc>
                <w:tcPr>
                  <w:tcW w:w="685" w:type="pct"/>
                  <w:tcBorders>
                    <w:top w:val="single" w:color="auto" w:sz="4" w:space="0"/>
                    <w:bottom w:val="single" w:color="auto" w:sz="4" w:space="0"/>
                  </w:tcBorders>
                  <w:noWrap/>
                  <w:vAlign w:val="center"/>
                </w:tcPr>
                <w:p w14:paraId="09CCF19E">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2500</w:t>
                  </w:r>
                </w:p>
              </w:tc>
              <w:tc>
                <w:tcPr>
                  <w:tcW w:w="1047" w:type="pct"/>
                  <w:tcBorders>
                    <w:top w:val="single" w:color="auto" w:sz="4" w:space="0"/>
                    <w:bottom w:val="single" w:color="auto" w:sz="4" w:space="0"/>
                  </w:tcBorders>
                  <w:noWrap/>
                  <w:vAlign w:val="center"/>
                </w:tcPr>
                <w:p w14:paraId="7CF2904D">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0.000004</w:t>
                  </w:r>
                </w:p>
              </w:tc>
            </w:tr>
            <w:tr w14:paraId="152A0FD1">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30" w:type="dxa"/>
                  <w:bottom w:w="0" w:type="dxa"/>
                  <w:right w:w="30" w:type="dxa"/>
                </w:tblCellMar>
              </w:tblPrEx>
              <w:trPr>
                <w:trHeight w:val="340" w:hRule="atLeast"/>
                <w:jc w:val="center"/>
              </w:trPr>
              <w:tc>
                <w:tcPr>
                  <w:tcW w:w="3952" w:type="pct"/>
                  <w:gridSpan w:val="5"/>
                  <w:tcBorders>
                    <w:top w:val="single" w:color="auto" w:sz="4" w:space="0"/>
                    <w:bottom w:val="single" w:color="auto" w:sz="12" w:space="0"/>
                  </w:tcBorders>
                  <w:noWrap/>
                  <w:vAlign w:val="center"/>
                </w:tcPr>
                <w:p w14:paraId="6170A963">
                  <w:pPr>
                    <w:adjustRightInd w:val="0"/>
                    <w:snapToGrid w:val="0"/>
                    <w:jc w:val="center"/>
                    <w:rPr>
                      <w:color w:val="auto"/>
                      <w:szCs w:val="21"/>
                      <w:highlight w:val="none"/>
                    </w:rPr>
                  </w:pPr>
                  <w:r>
                    <w:rPr>
                      <w:rFonts w:hint="eastAsia"/>
                      <w:color w:val="auto"/>
                      <w:szCs w:val="21"/>
                      <w:highlight w:val="none"/>
                    </w:rPr>
                    <w:t>合计</w:t>
                  </w:r>
                </w:p>
              </w:tc>
              <w:tc>
                <w:tcPr>
                  <w:tcW w:w="1047" w:type="pct"/>
                  <w:tcBorders>
                    <w:top w:val="single" w:color="auto" w:sz="4" w:space="0"/>
                    <w:bottom w:val="single" w:color="auto" w:sz="12" w:space="0"/>
                  </w:tcBorders>
                  <w:noWrap/>
                  <w:vAlign w:val="center"/>
                </w:tcPr>
                <w:p w14:paraId="344F6500">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0.000794</w:t>
                  </w:r>
                </w:p>
              </w:tc>
            </w:tr>
          </w:tbl>
          <w:p w14:paraId="415FB9A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lang w:eastAsia="zh-CN"/>
              </w:rPr>
              <w:t>注：</w:t>
            </w:r>
            <w:r>
              <w:rPr>
                <w:rFonts w:hint="default" w:ascii="Times New Roman" w:hAnsi="Times New Roman" w:eastAsia="宋体" w:cs="Times New Roman"/>
                <w:b/>
                <w:bCs/>
                <w:color w:val="auto"/>
                <w:sz w:val="18"/>
                <w:szCs w:val="18"/>
                <w:highlight w:val="none"/>
              </w:rPr>
              <w:t>危险废物</w:t>
            </w:r>
            <w:r>
              <w:rPr>
                <w:rFonts w:hint="eastAsia" w:cs="Times New Roman"/>
                <w:b/>
                <w:bCs/>
                <w:color w:val="auto"/>
                <w:sz w:val="18"/>
                <w:szCs w:val="18"/>
                <w:highlight w:val="none"/>
                <w:lang w:eastAsia="zh-CN"/>
              </w:rPr>
              <w:t>、</w:t>
            </w:r>
            <w:r>
              <w:rPr>
                <w:rFonts w:hint="eastAsia" w:cs="Times New Roman"/>
                <w:b/>
                <w:bCs/>
                <w:color w:val="auto"/>
                <w:sz w:val="18"/>
                <w:szCs w:val="18"/>
                <w:highlight w:val="none"/>
                <w:lang w:val="en-US" w:eastAsia="zh-CN"/>
              </w:rPr>
              <w:t>光学专用胶</w:t>
            </w:r>
            <w:r>
              <w:rPr>
                <w:rFonts w:hint="default" w:ascii="Times New Roman" w:hAnsi="Times New Roman" w:eastAsia="宋体" w:cs="Times New Roman"/>
                <w:b/>
                <w:bCs/>
                <w:color w:val="auto"/>
                <w:sz w:val="18"/>
                <w:szCs w:val="18"/>
                <w:highlight w:val="none"/>
              </w:rPr>
              <w:t>临界量参照《建设项目环境风险评价技术导则》（HJ169-2018）附录B表B.2中健康危险急性毒性物质（类别2，类别3），即50</w:t>
            </w:r>
            <w:r>
              <w:rPr>
                <w:rFonts w:hint="default" w:ascii="Times New Roman" w:hAnsi="Times New Roman" w:eastAsia="宋体" w:cs="Times New Roman"/>
                <w:b/>
                <w:bCs/>
                <w:color w:val="auto"/>
                <w:sz w:val="18"/>
                <w:szCs w:val="18"/>
                <w:highlight w:val="none"/>
                <w:lang w:eastAsia="zh-CN"/>
              </w:rPr>
              <w:t>。</w:t>
            </w:r>
          </w:p>
          <w:p w14:paraId="2B4BE2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highlight w:val="none"/>
                <w:lang w:val="en-US" w:eastAsia="zh-CN"/>
              </w:rPr>
            </w:pPr>
            <w:r>
              <w:rPr>
                <w:color w:val="auto"/>
                <w:sz w:val="24"/>
                <w:szCs w:val="24"/>
                <w:highlight w:val="none"/>
              </w:rPr>
              <w:t>由表4-2</w:t>
            </w:r>
            <w:r>
              <w:rPr>
                <w:rFonts w:hint="eastAsia"/>
                <w:color w:val="auto"/>
                <w:sz w:val="24"/>
                <w:szCs w:val="24"/>
                <w:highlight w:val="none"/>
                <w:lang w:val="en-US" w:eastAsia="zh-CN"/>
              </w:rPr>
              <w:t>4</w:t>
            </w:r>
            <w:r>
              <w:rPr>
                <w:color w:val="auto"/>
                <w:sz w:val="24"/>
                <w:szCs w:val="24"/>
                <w:highlight w:val="none"/>
              </w:rPr>
              <w:t>可知</w:t>
            </w:r>
            <w:r>
              <w:rPr>
                <w:rFonts w:hint="eastAsia"/>
                <w:color w:val="auto"/>
                <w:sz w:val="24"/>
                <w:szCs w:val="24"/>
                <w:highlight w:val="none"/>
              </w:rPr>
              <w:t>，</w:t>
            </w:r>
            <w:r>
              <w:rPr>
                <w:color w:val="auto"/>
                <w:sz w:val="24"/>
                <w:szCs w:val="24"/>
                <w:highlight w:val="none"/>
              </w:rPr>
              <w:t>本项目Q＜1。则</w:t>
            </w:r>
            <w:r>
              <w:rPr>
                <w:color w:val="auto"/>
                <w:kern w:val="0"/>
                <w:sz w:val="24"/>
                <w:szCs w:val="24"/>
                <w:highlight w:val="none"/>
                <w:lang w:bidi="ar"/>
              </w:rPr>
              <w:t>企业环境风险潜势为Ⅰ</w:t>
            </w:r>
            <w:r>
              <w:rPr>
                <w:rFonts w:hint="eastAsia"/>
                <w:color w:val="auto"/>
                <w:kern w:val="0"/>
                <w:sz w:val="24"/>
                <w:szCs w:val="24"/>
                <w:highlight w:val="none"/>
                <w:lang w:eastAsia="zh-CN" w:bidi="ar"/>
              </w:rPr>
              <w:t>。</w:t>
            </w:r>
          </w:p>
          <w:p w14:paraId="4D1CBBF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auto"/>
                <w:sz w:val="24"/>
                <w:szCs w:val="24"/>
                <w:highlight w:val="none"/>
              </w:rPr>
            </w:pPr>
            <w:r>
              <w:rPr>
                <w:color w:val="auto"/>
                <w:sz w:val="24"/>
                <w:szCs w:val="24"/>
                <w:highlight w:val="none"/>
              </w:rPr>
              <w:t>（2）评价等级</w:t>
            </w:r>
          </w:p>
          <w:p w14:paraId="5FAFF02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auto"/>
                <w:sz w:val="24"/>
                <w:szCs w:val="24"/>
                <w:highlight w:val="none"/>
              </w:rPr>
            </w:pPr>
            <w:r>
              <w:rPr>
                <w:color w:val="auto"/>
                <w:sz w:val="24"/>
                <w:szCs w:val="24"/>
                <w:highlight w:val="none"/>
              </w:rPr>
              <w:t>根据《建设项目环境风险评价技术导则》（HJ169-2018），评价工作等级划分见下表。</w:t>
            </w:r>
          </w:p>
          <w:p w14:paraId="42F70A09">
            <w:pPr>
              <w:keepNext/>
              <w:keepLines/>
              <w:spacing w:line="240" w:lineRule="auto"/>
              <w:ind w:firstLine="0" w:firstLineChars="0"/>
              <w:jc w:val="center"/>
              <w:rPr>
                <w:b/>
                <w:bCs/>
                <w:color w:val="auto"/>
                <w:highlight w:val="none"/>
              </w:rPr>
            </w:pPr>
            <w:r>
              <w:rPr>
                <w:b/>
                <w:bCs/>
                <w:color w:val="auto"/>
                <w:highlight w:val="none"/>
              </w:rPr>
              <w:t>表4-2</w:t>
            </w:r>
            <w:r>
              <w:rPr>
                <w:rFonts w:hint="eastAsia"/>
                <w:b/>
                <w:bCs/>
                <w:color w:val="auto"/>
                <w:highlight w:val="none"/>
                <w:lang w:val="en-US" w:eastAsia="zh-CN"/>
              </w:rPr>
              <w:t>6</w:t>
            </w:r>
            <w:r>
              <w:rPr>
                <w:b/>
                <w:bCs/>
                <w:color w:val="auto"/>
                <w:highlight w:val="none"/>
              </w:rPr>
              <w:t xml:space="preserve">  评价工作等级划分</w:t>
            </w:r>
          </w:p>
          <w:tbl>
            <w:tblPr>
              <w:tblStyle w:val="3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1"/>
              <w:gridCol w:w="1708"/>
              <w:gridCol w:w="1691"/>
              <w:gridCol w:w="1692"/>
              <w:gridCol w:w="1697"/>
            </w:tblGrid>
            <w:tr w14:paraId="074FED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997" w:type="pct"/>
                  <w:tcBorders>
                    <w:tl2br w:val="nil"/>
                    <w:tr2bl w:val="nil"/>
                  </w:tcBorders>
                  <w:vAlign w:val="center"/>
                </w:tcPr>
                <w:p w14:paraId="624ADF8F">
                  <w:pPr>
                    <w:widowControl/>
                    <w:spacing w:line="240" w:lineRule="auto"/>
                    <w:ind w:firstLine="0" w:firstLineChars="0"/>
                    <w:jc w:val="center"/>
                    <w:rPr>
                      <w:color w:val="auto"/>
                      <w:sz w:val="21"/>
                      <w:szCs w:val="21"/>
                      <w:highlight w:val="none"/>
                    </w:rPr>
                  </w:pPr>
                  <w:r>
                    <w:rPr>
                      <w:color w:val="auto"/>
                      <w:sz w:val="21"/>
                      <w:szCs w:val="21"/>
                      <w:highlight w:val="none"/>
                    </w:rPr>
                    <w:t>环境风险潜势</w:t>
                  </w:r>
                </w:p>
              </w:tc>
              <w:tc>
                <w:tcPr>
                  <w:tcW w:w="1007" w:type="pct"/>
                  <w:tcBorders>
                    <w:tl2br w:val="nil"/>
                    <w:tr2bl w:val="nil"/>
                  </w:tcBorders>
                  <w:vAlign w:val="center"/>
                </w:tcPr>
                <w:p w14:paraId="222B8D19">
                  <w:pPr>
                    <w:widowControl/>
                    <w:spacing w:line="240" w:lineRule="auto"/>
                    <w:ind w:firstLine="0" w:firstLineChars="0"/>
                    <w:jc w:val="center"/>
                    <w:rPr>
                      <w:color w:val="auto"/>
                      <w:sz w:val="21"/>
                      <w:szCs w:val="21"/>
                      <w:highlight w:val="none"/>
                    </w:rPr>
                  </w:pPr>
                  <w:r>
                    <w:rPr>
                      <w:color w:val="auto"/>
                      <w:sz w:val="21"/>
                      <w:szCs w:val="21"/>
                      <w:highlight w:val="none"/>
                    </w:rPr>
                    <w:t>IV、IV+</w:t>
                  </w:r>
                </w:p>
              </w:tc>
              <w:tc>
                <w:tcPr>
                  <w:tcW w:w="997" w:type="pct"/>
                  <w:tcBorders>
                    <w:tl2br w:val="nil"/>
                    <w:tr2bl w:val="nil"/>
                  </w:tcBorders>
                  <w:vAlign w:val="center"/>
                </w:tcPr>
                <w:p w14:paraId="55D3DB9A">
                  <w:pPr>
                    <w:widowControl/>
                    <w:spacing w:line="240" w:lineRule="auto"/>
                    <w:ind w:firstLine="0" w:firstLineChars="0"/>
                    <w:jc w:val="center"/>
                    <w:rPr>
                      <w:color w:val="auto"/>
                      <w:sz w:val="21"/>
                      <w:szCs w:val="21"/>
                      <w:highlight w:val="none"/>
                    </w:rPr>
                  </w:pPr>
                  <w:r>
                    <w:rPr>
                      <w:color w:val="auto"/>
                      <w:sz w:val="21"/>
                      <w:szCs w:val="21"/>
                      <w:highlight w:val="none"/>
                    </w:rPr>
                    <w:t>III</w:t>
                  </w:r>
                </w:p>
              </w:tc>
              <w:tc>
                <w:tcPr>
                  <w:tcW w:w="998" w:type="pct"/>
                  <w:tcBorders>
                    <w:tl2br w:val="nil"/>
                    <w:tr2bl w:val="nil"/>
                  </w:tcBorders>
                  <w:vAlign w:val="center"/>
                </w:tcPr>
                <w:p w14:paraId="7C1D7B6D">
                  <w:pPr>
                    <w:widowControl/>
                    <w:spacing w:line="240" w:lineRule="auto"/>
                    <w:ind w:firstLine="0" w:firstLineChars="0"/>
                    <w:jc w:val="center"/>
                    <w:rPr>
                      <w:color w:val="auto"/>
                      <w:sz w:val="21"/>
                      <w:szCs w:val="21"/>
                      <w:highlight w:val="none"/>
                    </w:rPr>
                  </w:pPr>
                  <w:r>
                    <w:rPr>
                      <w:color w:val="auto"/>
                      <w:sz w:val="21"/>
                      <w:szCs w:val="21"/>
                      <w:highlight w:val="none"/>
                    </w:rPr>
                    <w:t>II</w:t>
                  </w:r>
                </w:p>
              </w:tc>
              <w:tc>
                <w:tcPr>
                  <w:tcW w:w="998" w:type="pct"/>
                  <w:tcBorders>
                    <w:tl2br w:val="nil"/>
                    <w:tr2bl w:val="nil"/>
                  </w:tcBorders>
                  <w:vAlign w:val="center"/>
                </w:tcPr>
                <w:p w14:paraId="0391381B">
                  <w:pPr>
                    <w:widowControl/>
                    <w:spacing w:line="240" w:lineRule="auto"/>
                    <w:ind w:firstLine="0" w:firstLineChars="0"/>
                    <w:jc w:val="center"/>
                    <w:rPr>
                      <w:color w:val="auto"/>
                      <w:sz w:val="21"/>
                      <w:szCs w:val="21"/>
                      <w:highlight w:val="none"/>
                    </w:rPr>
                  </w:pPr>
                  <w:r>
                    <w:rPr>
                      <w:color w:val="auto"/>
                      <w:sz w:val="21"/>
                      <w:szCs w:val="21"/>
                      <w:highlight w:val="none"/>
                    </w:rPr>
                    <w:t>I</w:t>
                  </w:r>
                </w:p>
              </w:tc>
            </w:tr>
            <w:tr w14:paraId="08590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7" w:type="pct"/>
                  <w:tcBorders>
                    <w:tl2br w:val="nil"/>
                    <w:tr2bl w:val="nil"/>
                  </w:tcBorders>
                  <w:vAlign w:val="center"/>
                </w:tcPr>
                <w:p w14:paraId="7421AE90">
                  <w:pPr>
                    <w:widowControl/>
                    <w:spacing w:line="240" w:lineRule="auto"/>
                    <w:ind w:firstLine="0" w:firstLineChars="0"/>
                    <w:jc w:val="center"/>
                    <w:rPr>
                      <w:color w:val="auto"/>
                      <w:sz w:val="21"/>
                      <w:szCs w:val="21"/>
                      <w:highlight w:val="none"/>
                    </w:rPr>
                  </w:pPr>
                  <w:r>
                    <w:rPr>
                      <w:color w:val="auto"/>
                      <w:sz w:val="21"/>
                      <w:szCs w:val="21"/>
                      <w:highlight w:val="none"/>
                    </w:rPr>
                    <w:t>评价工作等级</w:t>
                  </w:r>
                </w:p>
              </w:tc>
              <w:tc>
                <w:tcPr>
                  <w:tcW w:w="1007" w:type="pct"/>
                  <w:tcBorders>
                    <w:tl2br w:val="nil"/>
                    <w:tr2bl w:val="nil"/>
                  </w:tcBorders>
                  <w:vAlign w:val="center"/>
                </w:tcPr>
                <w:p w14:paraId="71F58FAB">
                  <w:pPr>
                    <w:widowControl/>
                    <w:spacing w:line="240" w:lineRule="auto"/>
                    <w:ind w:firstLine="0" w:firstLineChars="0"/>
                    <w:jc w:val="center"/>
                    <w:rPr>
                      <w:color w:val="auto"/>
                      <w:sz w:val="21"/>
                      <w:szCs w:val="21"/>
                      <w:highlight w:val="none"/>
                    </w:rPr>
                  </w:pPr>
                  <w:r>
                    <w:rPr>
                      <w:color w:val="auto"/>
                      <w:sz w:val="21"/>
                      <w:szCs w:val="21"/>
                      <w:highlight w:val="none"/>
                    </w:rPr>
                    <w:t>一</w:t>
                  </w:r>
                </w:p>
              </w:tc>
              <w:tc>
                <w:tcPr>
                  <w:tcW w:w="997" w:type="pct"/>
                  <w:tcBorders>
                    <w:tl2br w:val="nil"/>
                    <w:tr2bl w:val="nil"/>
                  </w:tcBorders>
                  <w:vAlign w:val="center"/>
                </w:tcPr>
                <w:p w14:paraId="1BFAAC61">
                  <w:pPr>
                    <w:widowControl/>
                    <w:spacing w:line="240" w:lineRule="auto"/>
                    <w:ind w:firstLine="0" w:firstLineChars="0"/>
                    <w:jc w:val="center"/>
                    <w:rPr>
                      <w:color w:val="auto"/>
                      <w:sz w:val="21"/>
                      <w:szCs w:val="21"/>
                      <w:highlight w:val="none"/>
                    </w:rPr>
                  </w:pPr>
                  <w:r>
                    <w:rPr>
                      <w:color w:val="auto"/>
                      <w:sz w:val="21"/>
                      <w:szCs w:val="21"/>
                      <w:highlight w:val="none"/>
                    </w:rPr>
                    <w:t>二</w:t>
                  </w:r>
                </w:p>
              </w:tc>
              <w:tc>
                <w:tcPr>
                  <w:tcW w:w="998" w:type="pct"/>
                  <w:tcBorders>
                    <w:tl2br w:val="nil"/>
                    <w:tr2bl w:val="nil"/>
                  </w:tcBorders>
                  <w:vAlign w:val="center"/>
                </w:tcPr>
                <w:p w14:paraId="2328A0B6">
                  <w:pPr>
                    <w:widowControl/>
                    <w:spacing w:line="240" w:lineRule="auto"/>
                    <w:ind w:firstLine="0" w:firstLineChars="0"/>
                    <w:jc w:val="center"/>
                    <w:rPr>
                      <w:color w:val="auto"/>
                      <w:sz w:val="21"/>
                      <w:szCs w:val="21"/>
                      <w:highlight w:val="none"/>
                    </w:rPr>
                  </w:pPr>
                  <w:r>
                    <w:rPr>
                      <w:color w:val="auto"/>
                      <w:sz w:val="21"/>
                      <w:szCs w:val="21"/>
                      <w:highlight w:val="none"/>
                    </w:rPr>
                    <w:t>三</w:t>
                  </w:r>
                </w:p>
              </w:tc>
              <w:tc>
                <w:tcPr>
                  <w:tcW w:w="998" w:type="pct"/>
                  <w:tcBorders>
                    <w:tl2br w:val="nil"/>
                    <w:tr2bl w:val="nil"/>
                  </w:tcBorders>
                  <w:vAlign w:val="center"/>
                </w:tcPr>
                <w:p w14:paraId="422CE238">
                  <w:pPr>
                    <w:widowControl/>
                    <w:spacing w:line="240" w:lineRule="auto"/>
                    <w:ind w:firstLine="0" w:firstLineChars="0"/>
                    <w:jc w:val="center"/>
                    <w:rPr>
                      <w:color w:val="auto"/>
                      <w:sz w:val="21"/>
                      <w:szCs w:val="21"/>
                      <w:highlight w:val="none"/>
                    </w:rPr>
                  </w:pPr>
                  <w:r>
                    <w:rPr>
                      <w:color w:val="auto"/>
                      <w:sz w:val="21"/>
                      <w:szCs w:val="21"/>
                      <w:highlight w:val="none"/>
                    </w:rPr>
                    <w:t>简单分析a</w:t>
                  </w:r>
                </w:p>
              </w:tc>
            </w:tr>
            <w:tr w14:paraId="37107E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l2br w:val="nil"/>
                    <w:tr2bl w:val="nil"/>
                  </w:tcBorders>
                  <w:vAlign w:val="center"/>
                </w:tcPr>
                <w:p w14:paraId="13CA0C11">
                  <w:pPr>
                    <w:pStyle w:val="8"/>
                    <w:adjustRightInd w:val="0"/>
                    <w:snapToGrid w:val="0"/>
                    <w:spacing w:line="240" w:lineRule="auto"/>
                    <w:ind w:firstLine="0" w:firstLineChars="0"/>
                    <w:jc w:val="left"/>
                    <w:rPr>
                      <w:color w:val="auto"/>
                      <w:sz w:val="21"/>
                      <w:szCs w:val="21"/>
                      <w:highlight w:val="none"/>
                    </w:rPr>
                  </w:pPr>
                  <w:r>
                    <w:rPr>
                      <w:color w:val="auto"/>
                      <w:sz w:val="21"/>
                      <w:szCs w:val="21"/>
                      <w:highlight w:val="none"/>
                    </w:rPr>
                    <w:t>a是相当于详细评价工作内容而言，在描述危险物质、环境影响途径、环境危害后果、风险防范措施等方面给出定性的说明。见附录A。</w:t>
                  </w:r>
                </w:p>
              </w:tc>
            </w:tr>
          </w:tbl>
          <w:p w14:paraId="259D4E7F">
            <w:pPr>
              <w:pStyle w:val="19"/>
              <w:keepNext w:val="0"/>
              <w:keepLines w:val="0"/>
              <w:pageBreakBefore w:val="0"/>
              <w:kinsoku/>
              <w:overflowPunct/>
              <w:topLinePunct w:val="0"/>
              <w:bidi w:val="0"/>
              <w:adjustRightInd/>
              <w:snapToGrid/>
              <w:spacing w:before="0" w:after="0" w:line="360" w:lineRule="auto"/>
              <w:ind w:right="0" w:firstLine="480"/>
              <w:textAlignment w:val="auto"/>
              <w:rPr>
                <w:rFonts w:ascii="Times New Roman"/>
                <w:color w:val="auto"/>
                <w:sz w:val="24"/>
                <w:szCs w:val="24"/>
                <w:highlight w:val="none"/>
              </w:rPr>
            </w:pPr>
            <w:r>
              <w:rPr>
                <w:rFonts w:ascii="Times New Roman"/>
                <w:color w:val="auto"/>
                <w:sz w:val="24"/>
                <w:szCs w:val="24"/>
                <w:highlight w:val="none"/>
              </w:rPr>
              <w:t>根据以上分析，项目环境风险评价工作等级简单分析即可。</w:t>
            </w:r>
          </w:p>
          <w:p w14:paraId="05337D63">
            <w:pPr>
              <w:keepNext w:val="0"/>
              <w:keepLines w:val="0"/>
              <w:pageBreakBefore w:val="0"/>
              <w:numPr>
                <w:ilvl w:val="0"/>
                <w:numId w:val="0"/>
              </w:numPr>
              <w:kinsoku/>
              <w:wordWrap w:val="0"/>
              <w:overflowPunct/>
              <w:topLinePunct w:val="0"/>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3</w:t>
            </w:r>
            <w:r>
              <w:rPr>
                <w:rFonts w:hint="eastAsia"/>
                <w:color w:val="auto"/>
                <w:sz w:val="24"/>
                <w:highlight w:val="none"/>
                <w:lang w:eastAsia="zh-CN"/>
              </w:rPr>
              <w:t>）</w:t>
            </w:r>
            <w:r>
              <w:rPr>
                <w:rFonts w:hint="eastAsia"/>
                <w:color w:val="auto"/>
                <w:sz w:val="24"/>
                <w:highlight w:val="none"/>
              </w:rPr>
              <w:t>环境风险分析</w:t>
            </w:r>
          </w:p>
          <w:p w14:paraId="29B366B4">
            <w:pPr>
              <w:keepNext w:val="0"/>
              <w:keepLines w:val="0"/>
              <w:pageBreakBefore w:val="0"/>
              <w:widowControl/>
              <w:kinsoku/>
              <w:overflowPunct/>
              <w:topLinePunct w:val="0"/>
              <w:autoSpaceDE w:val="0"/>
              <w:autoSpaceDN w:val="0"/>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①地表水：当项目厂区内部发生火灾事故时，灭火过程中产生的消防废水未截留在厂区内，可能会随着地面径流进入雨水管网，直接进入外部水体环境中，污染地表水环境。</w:t>
            </w:r>
          </w:p>
          <w:p w14:paraId="3463D9C6">
            <w:pPr>
              <w:keepNext w:val="0"/>
              <w:keepLines w:val="0"/>
              <w:pageBreakBefore w:val="0"/>
              <w:widowControl/>
              <w:kinsoku/>
              <w:overflowPunct/>
              <w:topLinePunct w:val="0"/>
              <w:autoSpaceDE w:val="0"/>
              <w:autoSpaceDN w:val="0"/>
              <w:bidi w:val="0"/>
              <w:adjustRightInd/>
              <w:snapToGrid/>
              <w:spacing w:line="360" w:lineRule="auto"/>
              <w:ind w:firstLine="480" w:firstLineChars="200"/>
              <w:textAlignment w:val="auto"/>
              <w:rPr>
                <w:color w:val="auto"/>
                <w:sz w:val="24"/>
                <w:szCs w:val="28"/>
                <w:highlight w:val="none"/>
              </w:rPr>
            </w:pPr>
            <w:r>
              <w:rPr>
                <w:rFonts w:hint="eastAsia"/>
                <w:color w:val="auto"/>
                <w:sz w:val="24"/>
                <w:highlight w:val="none"/>
              </w:rPr>
              <w:t>②地下水和土壤：污染地表水的有毒有害物质未能及时有效处理，从而进入地下水体和土壤，污染了地下水和土壤环境</w:t>
            </w:r>
            <w:r>
              <w:rPr>
                <w:color w:val="auto"/>
                <w:sz w:val="24"/>
                <w:szCs w:val="28"/>
                <w:highlight w:val="none"/>
              </w:rPr>
              <w:t>。</w:t>
            </w:r>
          </w:p>
          <w:p w14:paraId="6FCBE733">
            <w:pPr>
              <w:keepNext w:val="0"/>
              <w:keepLines w:val="0"/>
              <w:pageBreakBefore w:val="0"/>
              <w:widowControl/>
              <w:kinsoku/>
              <w:wordWrap/>
              <w:overflowPunct/>
              <w:topLinePunct w:val="0"/>
              <w:autoSpaceDE w:val="0"/>
              <w:autoSpaceDN w:val="0"/>
              <w:bidi w:val="0"/>
              <w:adjustRightInd w:val="0"/>
              <w:snapToGrid w:val="0"/>
              <w:spacing w:line="360" w:lineRule="auto"/>
              <w:ind w:firstLine="482" w:firstLineChars="200"/>
              <w:jc w:val="left"/>
              <w:textAlignment w:val="auto"/>
              <w:rPr>
                <w:b/>
                <w:color w:val="auto"/>
                <w:kern w:val="0"/>
                <w:sz w:val="24"/>
                <w:highlight w:val="none"/>
              </w:rPr>
            </w:pPr>
            <w:r>
              <w:rPr>
                <w:rFonts w:hint="eastAsia"/>
                <w:b/>
                <w:color w:val="auto"/>
                <w:kern w:val="0"/>
                <w:sz w:val="24"/>
                <w:highlight w:val="none"/>
                <w:lang w:val="en-US" w:eastAsia="zh-CN"/>
              </w:rPr>
              <w:t>2</w:t>
            </w:r>
            <w:r>
              <w:rPr>
                <w:b/>
                <w:color w:val="auto"/>
                <w:kern w:val="0"/>
                <w:sz w:val="24"/>
                <w:highlight w:val="none"/>
              </w:rPr>
              <w:t>、环境风险防范</w:t>
            </w:r>
            <w:r>
              <w:rPr>
                <w:rFonts w:hint="eastAsia"/>
                <w:b/>
                <w:color w:val="auto"/>
                <w:kern w:val="0"/>
                <w:sz w:val="24"/>
                <w:highlight w:val="none"/>
                <w:lang w:eastAsia="zh-CN"/>
              </w:rPr>
              <w:t>应急</w:t>
            </w:r>
            <w:r>
              <w:rPr>
                <w:b/>
                <w:color w:val="auto"/>
                <w:kern w:val="0"/>
                <w:sz w:val="24"/>
                <w:highlight w:val="none"/>
              </w:rPr>
              <w:t>措施</w:t>
            </w:r>
          </w:p>
          <w:p w14:paraId="4AEAE5FD">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color w:val="auto"/>
                <w:kern w:val="0"/>
                <w:sz w:val="24"/>
                <w:highlight w:val="none"/>
              </w:rPr>
            </w:pPr>
            <w:r>
              <w:rPr>
                <w:rFonts w:hint="eastAsia"/>
                <w:color w:val="auto"/>
                <w:kern w:val="0"/>
                <w:sz w:val="24"/>
                <w:highlight w:val="none"/>
              </w:rPr>
              <w:t>为减少可能造成的环境风险，宜采取以下风险防范及应急措施：</w:t>
            </w:r>
          </w:p>
          <w:p w14:paraId="18BE587B">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color w:val="auto"/>
                <w:kern w:val="0"/>
                <w:sz w:val="24"/>
                <w:highlight w:val="none"/>
              </w:rPr>
            </w:pPr>
            <w:r>
              <w:rPr>
                <w:rFonts w:hint="eastAsia"/>
                <w:color w:val="auto"/>
                <w:kern w:val="0"/>
                <w:sz w:val="24"/>
                <w:highlight w:val="none"/>
              </w:rPr>
              <w:t>1)从生产管理、工艺技术设计、自动控制设计、电气及电讯、消防及火灾报警系统等方面制定相应的环境风险防范措施。</w:t>
            </w:r>
          </w:p>
          <w:p w14:paraId="1A70345B">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color w:val="auto"/>
                <w:kern w:val="0"/>
                <w:sz w:val="24"/>
                <w:highlight w:val="none"/>
              </w:rPr>
            </w:pPr>
            <w:r>
              <w:rPr>
                <w:rFonts w:hint="eastAsia"/>
                <w:color w:val="auto"/>
                <w:kern w:val="0"/>
                <w:sz w:val="24"/>
                <w:highlight w:val="none"/>
              </w:rPr>
              <w:t>2)车间内应设有足够的灭火设施。这些设施包括自动报警系统、干粉灭火系统、泡沫消防栓、消火栓系统等，一旦发生火灾，能保证企业有足够的灭火装置，将火灾损失降到最低。</w:t>
            </w:r>
          </w:p>
          <w:p w14:paraId="202CA574">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color w:val="auto"/>
                <w:kern w:val="0"/>
                <w:sz w:val="24"/>
                <w:highlight w:val="none"/>
              </w:rPr>
            </w:pPr>
            <w:r>
              <w:rPr>
                <w:rFonts w:hint="eastAsia"/>
                <w:color w:val="auto"/>
                <w:kern w:val="0"/>
                <w:sz w:val="24"/>
                <w:highlight w:val="none"/>
              </w:rPr>
              <w:t>3)车间严禁明火。生产车间、仓库等场所配置足量的泡沫、干粉等灭火器，并保持完好状态。</w:t>
            </w:r>
          </w:p>
          <w:p w14:paraId="3DA09E6D">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color w:val="auto"/>
                <w:kern w:val="0"/>
                <w:sz w:val="24"/>
                <w:highlight w:val="none"/>
              </w:rPr>
            </w:pPr>
            <w:r>
              <w:rPr>
                <w:rFonts w:hint="eastAsia"/>
                <w:color w:val="auto"/>
                <w:kern w:val="0"/>
                <w:sz w:val="24"/>
                <w:highlight w:val="none"/>
              </w:rPr>
              <w:t>4)厂区留有足够的消防通道。生产车间、仓库设置消防给水管道和消防栓。厂部要组织义务消防员，并进行定期的培训和训练。对有火灾危险的场所设置自动报警系统，一旦发生火灾，立即做出应急反应。</w:t>
            </w:r>
          </w:p>
          <w:p w14:paraId="6009BE8E">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color w:val="auto"/>
                <w:kern w:val="0"/>
                <w:sz w:val="24"/>
                <w:highlight w:val="none"/>
              </w:rPr>
            </w:pPr>
            <w:r>
              <w:rPr>
                <w:rFonts w:hint="eastAsia"/>
                <w:color w:val="auto"/>
                <w:kern w:val="0"/>
                <w:sz w:val="24"/>
                <w:highlight w:val="none"/>
              </w:rPr>
              <w:t>5)对于危废仓库，建设单位拟设置监控系统，主要在仓库出入口、仓库内、厂门口等关键位置安装视频监控设施，进行实时监控，并与中控室联网。</w:t>
            </w:r>
          </w:p>
          <w:p w14:paraId="00F6376D">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eastAsia"/>
                <w:color w:val="auto"/>
                <w:kern w:val="0"/>
                <w:sz w:val="24"/>
                <w:highlight w:val="none"/>
              </w:rPr>
            </w:pPr>
            <w:r>
              <w:rPr>
                <w:rFonts w:hint="eastAsia"/>
                <w:color w:val="auto"/>
                <w:kern w:val="0"/>
                <w:sz w:val="24"/>
                <w:highlight w:val="none"/>
              </w:rPr>
              <w:t>6)贮存过程拟在液态危险废物贮存容器下方设置不锈钢托盘，或在危废暂存场所设置地沟等，发生少量泄漏立即将容器内剩余溶液转移，并收集托盘、地沟内泄漏液体，防止泄漏物料挥发到大气中。</w:t>
            </w:r>
          </w:p>
          <w:p w14:paraId="701EB1B9">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color w:val="auto"/>
                <w:kern w:val="0"/>
                <w:sz w:val="24"/>
                <w:highlight w:val="none"/>
              </w:rPr>
            </w:pPr>
            <w:r>
              <w:rPr>
                <w:rFonts w:hint="eastAsia"/>
                <w:color w:val="auto"/>
                <w:kern w:val="0"/>
                <w:sz w:val="24"/>
                <w:highlight w:val="none"/>
              </w:rPr>
              <w:t>7)厂区内的雨水管道、事故沟收集系统严格分开，设置切换阀。</w:t>
            </w:r>
          </w:p>
          <w:p w14:paraId="05992AE3">
            <w:pPr>
              <w:keepNext w:val="0"/>
              <w:keepLines w:val="0"/>
              <w:pageBreakBefore w:val="0"/>
              <w:widowControl/>
              <w:kinsoku/>
              <w:wordWrap/>
              <w:overflowPunct/>
              <w:topLinePunct w:val="0"/>
              <w:autoSpaceDE w:val="0"/>
              <w:autoSpaceDN w:val="0"/>
              <w:bidi w:val="0"/>
              <w:adjustRightInd/>
              <w:snapToGrid/>
              <w:spacing w:line="360" w:lineRule="auto"/>
              <w:ind w:firstLine="482" w:firstLineChars="200"/>
              <w:jc w:val="left"/>
              <w:textAlignment w:val="auto"/>
              <w:rPr>
                <w:b/>
                <w:color w:val="auto"/>
                <w:kern w:val="0"/>
                <w:sz w:val="24"/>
                <w:highlight w:val="none"/>
              </w:rPr>
            </w:pPr>
            <w:r>
              <w:rPr>
                <w:rFonts w:hint="eastAsia"/>
                <w:b/>
                <w:color w:val="auto"/>
                <w:kern w:val="0"/>
                <w:sz w:val="24"/>
                <w:highlight w:val="none"/>
                <w:lang w:val="en-US" w:eastAsia="zh-CN"/>
              </w:rPr>
              <w:t>3</w:t>
            </w:r>
            <w:r>
              <w:rPr>
                <w:b/>
                <w:color w:val="auto"/>
                <w:kern w:val="0"/>
                <w:sz w:val="24"/>
                <w:highlight w:val="none"/>
              </w:rPr>
              <w:t>、环境风险影响结论</w:t>
            </w:r>
          </w:p>
          <w:p w14:paraId="69B997E5">
            <w:pPr>
              <w:keepNext w:val="0"/>
              <w:keepLines w:val="0"/>
              <w:pageBreakBefore w:val="0"/>
              <w:kinsoku/>
              <w:wordWrap/>
              <w:overflowPunct/>
              <w:topLinePunct w:val="0"/>
              <w:bidi w:val="0"/>
              <w:adjustRightInd/>
              <w:snapToGrid/>
              <w:spacing w:line="360" w:lineRule="auto"/>
              <w:ind w:firstLine="480" w:firstLineChars="200"/>
              <w:textAlignment w:val="auto"/>
              <w:rPr>
                <w:color w:val="auto"/>
                <w:sz w:val="24"/>
                <w:highlight w:val="none"/>
                <w:lang w:val="zh-CN"/>
              </w:rPr>
            </w:pPr>
            <w:r>
              <w:rPr>
                <w:color w:val="auto"/>
                <w:sz w:val="24"/>
                <w:highlight w:val="none"/>
                <w:lang w:val="zh-CN"/>
              </w:rPr>
              <w:t>在各环境风险防范措施落实到位的情况下，可降低建设项目的环境风险，最大程度减少对环境可能造成的危害，项目对环境的风险影响可接受。</w:t>
            </w:r>
          </w:p>
          <w:p w14:paraId="562AEB62">
            <w:pPr>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eastAsiaTheme="minorEastAsia"/>
                <w:b/>
                <w:color w:val="auto"/>
                <w:kern w:val="0"/>
                <w:sz w:val="24"/>
                <w:highlight w:val="none"/>
              </w:rPr>
            </w:pPr>
            <w:r>
              <w:rPr>
                <w:rFonts w:eastAsiaTheme="minorEastAsia"/>
                <w:b/>
                <w:color w:val="auto"/>
                <w:kern w:val="0"/>
                <w:sz w:val="24"/>
                <w:highlight w:val="none"/>
              </w:rPr>
              <w:t>（八）电磁辐射</w:t>
            </w:r>
          </w:p>
          <w:p w14:paraId="1162144F">
            <w:pPr>
              <w:pStyle w:val="2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textAlignment w:val="auto"/>
              <w:rPr>
                <w:color w:val="auto"/>
                <w:sz w:val="24"/>
                <w:szCs w:val="24"/>
                <w:highlight w:val="none"/>
              </w:rPr>
            </w:pPr>
            <w:r>
              <w:rPr>
                <w:rFonts w:hint="eastAsia"/>
                <w:color w:val="auto"/>
                <w:sz w:val="24"/>
                <w:szCs w:val="24"/>
                <w:highlight w:val="none"/>
              </w:rPr>
              <w:t>本项目不属于电磁辐射类项目，因此无需相应电磁辐射环保</w:t>
            </w:r>
            <w:r>
              <w:rPr>
                <w:rFonts w:hint="eastAsia"/>
                <w:color w:val="auto"/>
                <w:sz w:val="24"/>
                <w:szCs w:val="24"/>
                <w:highlight w:val="none"/>
                <w:lang w:val="en-US" w:eastAsia="zh-CN"/>
              </w:rPr>
              <w:t>措</w:t>
            </w:r>
            <w:r>
              <w:rPr>
                <w:rFonts w:hint="eastAsia"/>
                <w:color w:val="auto"/>
                <w:sz w:val="24"/>
                <w:szCs w:val="24"/>
                <w:highlight w:val="none"/>
              </w:rPr>
              <w:t>施。</w:t>
            </w:r>
          </w:p>
          <w:p w14:paraId="159A2838">
            <w:pPr>
              <w:pStyle w:val="47"/>
              <w:rPr>
                <w:rFonts w:hAnsi="Times New Roman" w:cs="Times New Roman" w:eastAsiaTheme="minorEastAsia"/>
                <w:color w:val="auto"/>
                <w:highlight w:val="none"/>
              </w:rPr>
            </w:pPr>
          </w:p>
        </w:tc>
      </w:tr>
    </w:tbl>
    <w:p w14:paraId="2111DE49">
      <w:pPr>
        <w:pStyle w:val="33"/>
        <w:spacing w:before="0" w:beforeAutospacing="0" w:after="0" w:afterAutospacing="0"/>
        <w:jc w:val="center"/>
        <w:outlineLvl w:val="0"/>
        <w:rPr>
          <w:rFonts w:ascii="Times New Roman" w:hAnsi="Times New Roman" w:eastAsiaTheme="minorEastAsia"/>
          <w:snapToGrid w:val="0"/>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2FB28CA">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480" w:lineRule="auto"/>
        <w:jc w:val="center"/>
        <w:textAlignment w:val="auto"/>
        <w:outlineLvl w:val="0"/>
        <w:rPr>
          <w:rFonts w:hint="eastAsia" w:ascii="宋体" w:hAnsi="宋体" w:eastAsia="宋体" w:cs="宋体"/>
          <w:snapToGrid w:val="0"/>
          <w:color w:val="auto"/>
          <w:sz w:val="30"/>
          <w:szCs w:val="30"/>
          <w:highlight w:val="none"/>
        </w:rPr>
      </w:pPr>
      <w:r>
        <w:rPr>
          <w:rFonts w:hint="eastAsia" w:ascii="宋体" w:hAnsi="宋体" w:eastAsia="宋体" w:cs="宋体"/>
          <w:snapToGrid w:val="0"/>
          <w:color w:val="auto"/>
          <w:sz w:val="30"/>
          <w:szCs w:val="30"/>
          <w:highlight w:val="none"/>
        </w:rPr>
        <w:t>五、</w:t>
      </w:r>
      <w:bookmarkStart w:id="21" w:name="_Hlk54167917"/>
      <w:r>
        <w:rPr>
          <w:rFonts w:hint="eastAsia" w:ascii="宋体" w:hAnsi="宋体" w:eastAsia="宋体" w:cs="宋体"/>
          <w:snapToGrid w:val="0"/>
          <w:color w:val="auto"/>
          <w:sz w:val="30"/>
          <w:szCs w:val="30"/>
          <w:highlight w:val="none"/>
        </w:rPr>
        <w:t>环境保护措施监督检查清单</w:t>
      </w:r>
      <w:bookmarkEnd w:id="21"/>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432"/>
        <w:gridCol w:w="870"/>
        <w:gridCol w:w="839"/>
        <w:gridCol w:w="1559"/>
        <w:gridCol w:w="2868"/>
      </w:tblGrid>
      <w:tr w14:paraId="7BE4E1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32" w:type="dxa"/>
            <w:tcBorders>
              <w:tl2br w:val="single" w:color="auto" w:sz="4" w:space="0"/>
            </w:tcBorders>
            <w:noWrap w:val="0"/>
            <w:vAlign w:val="top"/>
          </w:tcPr>
          <w:p w14:paraId="54F428F6">
            <w:pPr>
              <w:adjustRightInd w:val="0"/>
              <w:snapToGrid w:val="0"/>
              <w:ind w:firstLine="240" w:firstLineChars="100"/>
              <w:rPr>
                <w:color w:val="auto"/>
                <w:sz w:val="24"/>
                <w:szCs w:val="24"/>
                <w:highlight w:val="none"/>
              </w:rPr>
            </w:pPr>
            <w:r>
              <w:rPr>
                <w:color w:val="auto"/>
                <w:sz w:val="24"/>
                <w:szCs w:val="24"/>
                <w:highlight w:val="none"/>
              </w:rPr>
              <w:t>内容</w:t>
            </w:r>
          </w:p>
          <w:p w14:paraId="6BDF2484">
            <w:pPr>
              <w:adjustRightInd w:val="0"/>
              <w:snapToGrid w:val="0"/>
              <w:rPr>
                <w:color w:val="auto"/>
                <w:sz w:val="24"/>
                <w:szCs w:val="24"/>
                <w:highlight w:val="none"/>
              </w:rPr>
            </w:pPr>
          </w:p>
          <w:p w14:paraId="22436B56">
            <w:pPr>
              <w:adjustRightInd w:val="0"/>
              <w:snapToGrid w:val="0"/>
              <w:rPr>
                <w:color w:val="auto"/>
                <w:sz w:val="24"/>
                <w:szCs w:val="24"/>
                <w:highlight w:val="none"/>
              </w:rPr>
            </w:pPr>
            <w:r>
              <w:rPr>
                <w:color w:val="auto"/>
                <w:sz w:val="24"/>
                <w:szCs w:val="24"/>
                <w:highlight w:val="none"/>
              </w:rPr>
              <w:t>要素</w:t>
            </w:r>
          </w:p>
        </w:tc>
        <w:tc>
          <w:tcPr>
            <w:tcW w:w="1432" w:type="dxa"/>
            <w:noWrap w:val="0"/>
            <w:vAlign w:val="center"/>
          </w:tcPr>
          <w:p w14:paraId="4CA5BB6A">
            <w:pPr>
              <w:adjustRightInd w:val="0"/>
              <w:snapToGrid w:val="0"/>
              <w:jc w:val="center"/>
              <w:rPr>
                <w:color w:val="auto"/>
                <w:sz w:val="24"/>
                <w:szCs w:val="24"/>
                <w:highlight w:val="none"/>
              </w:rPr>
            </w:pPr>
            <w:r>
              <w:rPr>
                <w:color w:val="auto"/>
                <w:sz w:val="24"/>
                <w:szCs w:val="24"/>
                <w:highlight w:val="none"/>
              </w:rPr>
              <w:t>排放口(编号、名称)/污染源</w:t>
            </w:r>
          </w:p>
        </w:tc>
        <w:tc>
          <w:tcPr>
            <w:tcW w:w="1709" w:type="dxa"/>
            <w:gridSpan w:val="2"/>
            <w:noWrap w:val="0"/>
            <w:vAlign w:val="center"/>
          </w:tcPr>
          <w:p w14:paraId="2A02AB19">
            <w:pPr>
              <w:adjustRightInd w:val="0"/>
              <w:snapToGrid w:val="0"/>
              <w:jc w:val="center"/>
              <w:rPr>
                <w:color w:val="auto"/>
                <w:sz w:val="24"/>
                <w:szCs w:val="24"/>
                <w:highlight w:val="none"/>
              </w:rPr>
            </w:pPr>
            <w:r>
              <w:rPr>
                <w:color w:val="auto"/>
                <w:sz w:val="24"/>
                <w:szCs w:val="24"/>
                <w:highlight w:val="none"/>
              </w:rPr>
              <w:t>污染物项目</w:t>
            </w:r>
          </w:p>
        </w:tc>
        <w:tc>
          <w:tcPr>
            <w:tcW w:w="1559" w:type="dxa"/>
            <w:noWrap w:val="0"/>
            <w:vAlign w:val="center"/>
          </w:tcPr>
          <w:p w14:paraId="4EA4B1D3">
            <w:pPr>
              <w:adjustRightInd w:val="0"/>
              <w:snapToGrid w:val="0"/>
              <w:jc w:val="center"/>
              <w:rPr>
                <w:color w:val="auto"/>
                <w:sz w:val="24"/>
                <w:szCs w:val="24"/>
                <w:highlight w:val="none"/>
              </w:rPr>
            </w:pPr>
            <w:r>
              <w:rPr>
                <w:color w:val="auto"/>
                <w:sz w:val="24"/>
                <w:szCs w:val="24"/>
                <w:highlight w:val="none"/>
              </w:rPr>
              <w:t>环境保护措施</w:t>
            </w:r>
          </w:p>
        </w:tc>
        <w:tc>
          <w:tcPr>
            <w:tcW w:w="2868" w:type="dxa"/>
            <w:noWrap w:val="0"/>
            <w:vAlign w:val="center"/>
          </w:tcPr>
          <w:p w14:paraId="001CF7E6">
            <w:pPr>
              <w:adjustRightInd w:val="0"/>
              <w:snapToGrid w:val="0"/>
              <w:jc w:val="center"/>
              <w:rPr>
                <w:color w:val="auto"/>
                <w:sz w:val="24"/>
                <w:szCs w:val="24"/>
                <w:highlight w:val="none"/>
              </w:rPr>
            </w:pPr>
            <w:r>
              <w:rPr>
                <w:color w:val="auto"/>
                <w:sz w:val="24"/>
                <w:szCs w:val="24"/>
                <w:highlight w:val="none"/>
              </w:rPr>
              <w:t>执行标准</w:t>
            </w:r>
          </w:p>
        </w:tc>
      </w:tr>
      <w:tr w14:paraId="2013FD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1232" w:type="dxa"/>
            <w:vMerge w:val="restart"/>
            <w:noWrap w:val="0"/>
            <w:vAlign w:val="center"/>
          </w:tcPr>
          <w:p w14:paraId="47590073">
            <w:pPr>
              <w:adjustRightInd w:val="0"/>
              <w:snapToGrid w:val="0"/>
              <w:jc w:val="center"/>
              <w:rPr>
                <w:rFonts w:hint="default" w:eastAsiaTheme="minorEastAsia"/>
                <w:b w:val="0"/>
                <w:bCs/>
                <w:color w:val="auto"/>
                <w:sz w:val="24"/>
                <w:highlight w:val="none"/>
                <w:lang w:val="en-US" w:eastAsia="zh-CN"/>
              </w:rPr>
            </w:pPr>
            <w:r>
              <w:rPr>
                <w:rFonts w:hint="eastAsia" w:eastAsiaTheme="minorEastAsia"/>
                <w:b w:val="0"/>
                <w:bCs/>
                <w:color w:val="auto"/>
                <w:sz w:val="24"/>
                <w:highlight w:val="none"/>
                <w:lang w:val="en-US" w:eastAsia="zh-CN"/>
              </w:rPr>
              <w:t>大气环境</w:t>
            </w:r>
          </w:p>
        </w:tc>
        <w:tc>
          <w:tcPr>
            <w:tcW w:w="1432" w:type="dxa"/>
            <w:vMerge w:val="restart"/>
            <w:noWrap w:val="0"/>
            <w:vAlign w:val="center"/>
          </w:tcPr>
          <w:p w14:paraId="309AAF2D">
            <w:pPr>
              <w:adjustRightInd w:val="0"/>
              <w:snapToGrid w:val="0"/>
              <w:jc w:val="center"/>
              <w:rPr>
                <w:rFonts w:hint="default" w:eastAsiaTheme="minorEastAsia"/>
                <w:color w:val="auto"/>
                <w:sz w:val="24"/>
                <w:highlight w:val="none"/>
                <w:lang w:val="en-US" w:eastAsia="zh-CN"/>
              </w:rPr>
            </w:pPr>
            <w:r>
              <w:rPr>
                <w:rFonts w:hint="eastAsia" w:eastAsiaTheme="minorEastAsia"/>
                <w:color w:val="auto"/>
                <w:sz w:val="24"/>
                <w:highlight w:val="none"/>
                <w:lang w:val="en-US" w:eastAsia="zh-CN"/>
              </w:rPr>
              <w:t>生产车间</w:t>
            </w:r>
          </w:p>
        </w:tc>
        <w:tc>
          <w:tcPr>
            <w:tcW w:w="870" w:type="dxa"/>
            <w:tcBorders>
              <w:right w:val="single" w:color="auto" w:sz="4" w:space="0"/>
            </w:tcBorders>
            <w:noWrap w:val="0"/>
            <w:vAlign w:val="center"/>
          </w:tcPr>
          <w:p w14:paraId="30B66195">
            <w:pPr>
              <w:adjustRightInd w:val="0"/>
              <w:snapToGrid w:val="0"/>
              <w:jc w:val="center"/>
              <w:rPr>
                <w:rFonts w:hint="eastAsia" w:eastAsia="宋体"/>
                <w:color w:val="auto"/>
                <w:sz w:val="24"/>
                <w:szCs w:val="24"/>
                <w:highlight w:val="none"/>
                <w:lang w:val="en-US" w:eastAsia="zh-CN"/>
              </w:rPr>
            </w:pPr>
            <w:r>
              <w:rPr>
                <w:rFonts w:hint="eastAsia"/>
                <w:color w:val="auto"/>
                <w:sz w:val="24"/>
                <w:szCs w:val="24"/>
                <w:highlight w:val="none"/>
              </w:rPr>
              <w:t>非甲烷总烃</w:t>
            </w:r>
          </w:p>
        </w:tc>
        <w:tc>
          <w:tcPr>
            <w:tcW w:w="839" w:type="dxa"/>
            <w:tcBorders>
              <w:left w:val="single" w:color="auto" w:sz="4" w:space="0"/>
            </w:tcBorders>
            <w:noWrap w:val="0"/>
            <w:vAlign w:val="center"/>
          </w:tcPr>
          <w:p w14:paraId="62F592A4">
            <w:pPr>
              <w:adjustRightInd w:val="0"/>
              <w:snapToGrid w:val="0"/>
              <w:jc w:val="center"/>
              <w:rPr>
                <w:rFonts w:hint="eastAsia"/>
                <w:color w:val="auto"/>
                <w:sz w:val="24"/>
                <w:szCs w:val="24"/>
                <w:highlight w:val="none"/>
                <w:lang w:val="en-US" w:eastAsia="zh-CN"/>
              </w:rPr>
            </w:pPr>
            <w:r>
              <w:rPr>
                <w:rFonts w:hint="eastAsia"/>
                <w:color w:val="auto"/>
                <w:sz w:val="24"/>
                <w:szCs w:val="24"/>
                <w:highlight w:val="none"/>
                <w:lang w:val="en-US" w:eastAsia="zh-CN"/>
              </w:rPr>
              <w:t>厂界</w:t>
            </w:r>
          </w:p>
        </w:tc>
        <w:tc>
          <w:tcPr>
            <w:tcW w:w="1559" w:type="dxa"/>
            <w:vMerge w:val="restart"/>
            <w:noWrap w:val="0"/>
            <w:vAlign w:val="center"/>
          </w:tcPr>
          <w:p w14:paraId="4327BC4F">
            <w:pPr>
              <w:adjustRightInd w:val="0"/>
              <w:snapToGrid w:val="0"/>
              <w:jc w:val="center"/>
              <w:rPr>
                <w:rFonts w:hint="default"/>
                <w:color w:val="auto"/>
                <w:sz w:val="24"/>
                <w:szCs w:val="24"/>
                <w:highlight w:val="none"/>
                <w:lang w:val="en-US"/>
              </w:rPr>
            </w:pPr>
            <w:r>
              <w:rPr>
                <w:rFonts w:hint="eastAsia"/>
                <w:color w:val="auto"/>
                <w:sz w:val="24"/>
                <w:szCs w:val="24"/>
                <w:highlight w:val="none"/>
                <w:lang w:val="en-US" w:eastAsia="zh-CN"/>
              </w:rPr>
              <w:t>无组织排放，车间加强通风</w:t>
            </w:r>
          </w:p>
        </w:tc>
        <w:tc>
          <w:tcPr>
            <w:tcW w:w="2868" w:type="dxa"/>
            <w:noWrap w:val="0"/>
            <w:vAlign w:val="center"/>
          </w:tcPr>
          <w:p w14:paraId="0EFB03C4">
            <w:pPr>
              <w:adjustRightInd w:val="0"/>
              <w:snapToGrid w:val="0"/>
              <w:jc w:val="center"/>
              <w:rPr>
                <w:color w:val="auto"/>
                <w:sz w:val="24"/>
                <w:szCs w:val="24"/>
                <w:highlight w:val="none"/>
              </w:rPr>
            </w:pPr>
            <w:r>
              <w:rPr>
                <w:color w:val="auto"/>
                <w:sz w:val="24"/>
                <w:szCs w:val="24"/>
                <w:highlight w:val="none"/>
              </w:rPr>
              <w:t>江苏省《大气污染物综合排放标准》（DB32/4041-2021）表3中标准</w:t>
            </w:r>
          </w:p>
        </w:tc>
      </w:tr>
      <w:tr w14:paraId="231AE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32" w:type="dxa"/>
            <w:vMerge w:val="continue"/>
            <w:noWrap w:val="0"/>
            <w:vAlign w:val="center"/>
          </w:tcPr>
          <w:p w14:paraId="54218D13">
            <w:pPr>
              <w:adjustRightInd w:val="0"/>
              <w:snapToGrid w:val="0"/>
              <w:jc w:val="center"/>
              <w:rPr>
                <w:color w:val="auto"/>
                <w:sz w:val="24"/>
                <w:szCs w:val="24"/>
                <w:highlight w:val="none"/>
              </w:rPr>
            </w:pPr>
          </w:p>
        </w:tc>
        <w:tc>
          <w:tcPr>
            <w:tcW w:w="1432" w:type="dxa"/>
            <w:vMerge w:val="continue"/>
            <w:noWrap w:val="0"/>
            <w:vAlign w:val="center"/>
          </w:tcPr>
          <w:p w14:paraId="300493F7">
            <w:pPr>
              <w:adjustRightInd w:val="0"/>
              <w:snapToGrid w:val="0"/>
              <w:jc w:val="center"/>
              <w:rPr>
                <w:color w:val="auto"/>
                <w:sz w:val="24"/>
                <w:szCs w:val="24"/>
                <w:highlight w:val="none"/>
              </w:rPr>
            </w:pPr>
          </w:p>
        </w:tc>
        <w:tc>
          <w:tcPr>
            <w:tcW w:w="870" w:type="dxa"/>
            <w:noWrap w:val="0"/>
            <w:vAlign w:val="center"/>
          </w:tcPr>
          <w:p w14:paraId="1A9D489C">
            <w:pPr>
              <w:adjustRightInd w:val="0"/>
              <w:snapToGrid w:val="0"/>
              <w:jc w:val="center"/>
              <w:rPr>
                <w:rFonts w:hint="eastAsia"/>
                <w:color w:val="auto"/>
                <w:sz w:val="24"/>
                <w:szCs w:val="24"/>
                <w:highlight w:val="none"/>
              </w:rPr>
            </w:pPr>
            <w:r>
              <w:rPr>
                <w:rFonts w:hint="eastAsia"/>
                <w:color w:val="auto"/>
                <w:sz w:val="24"/>
                <w:szCs w:val="24"/>
                <w:highlight w:val="none"/>
              </w:rPr>
              <w:t>非甲烷总烃</w:t>
            </w:r>
          </w:p>
        </w:tc>
        <w:tc>
          <w:tcPr>
            <w:tcW w:w="839" w:type="dxa"/>
            <w:noWrap w:val="0"/>
            <w:vAlign w:val="center"/>
          </w:tcPr>
          <w:p w14:paraId="07C2EFEC">
            <w:pPr>
              <w:adjustRightInd w:val="0"/>
              <w:snapToGrid w:val="0"/>
              <w:jc w:val="center"/>
              <w:rPr>
                <w:rFonts w:hint="eastAsia"/>
                <w:color w:val="auto"/>
                <w:sz w:val="24"/>
                <w:szCs w:val="24"/>
                <w:highlight w:val="none"/>
              </w:rPr>
            </w:pPr>
            <w:r>
              <w:rPr>
                <w:rFonts w:hint="eastAsia"/>
                <w:color w:val="auto"/>
                <w:sz w:val="24"/>
                <w:szCs w:val="24"/>
                <w:highlight w:val="none"/>
              </w:rPr>
              <w:t>厂区内</w:t>
            </w:r>
          </w:p>
        </w:tc>
        <w:tc>
          <w:tcPr>
            <w:tcW w:w="1559" w:type="dxa"/>
            <w:vMerge w:val="continue"/>
            <w:noWrap w:val="0"/>
            <w:vAlign w:val="center"/>
          </w:tcPr>
          <w:p w14:paraId="308FC193">
            <w:pPr>
              <w:adjustRightInd w:val="0"/>
              <w:snapToGrid w:val="0"/>
              <w:jc w:val="center"/>
              <w:rPr>
                <w:rFonts w:hint="eastAsia"/>
                <w:color w:val="auto"/>
                <w:sz w:val="24"/>
                <w:szCs w:val="24"/>
                <w:highlight w:val="none"/>
              </w:rPr>
            </w:pPr>
          </w:p>
        </w:tc>
        <w:tc>
          <w:tcPr>
            <w:tcW w:w="2868" w:type="dxa"/>
            <w:noWrap w:val="0"/>
            <w:vAlign w:val="center"/>
          </w:tcPr>
          <w:p w14:paraId="135CE0BB">
            <w:pPr>
              <w:adjustRightInd w:val="0"/>
              <w:snapToGrid w:val="0"/>
              <w:jc w:val="center"/>
              <w:rPr>
                <w:color w:val="auto"/>
                <w:sz w:val="24"/>
                <w:szCs w:val="24"/>
                <w:highlight w:val="none"/>
              </w:rPr>
            </w:pPr>
            <w:r>
              <w:rPr>
                <w:color w:val="auto"/>
                <w:sz w:val="24"/>
                <w:szCs w:val="24"/>
                <w:highlight w:val="none"/>
              </w:rPr>
              <w:t>江苏省《大气污染物综合排放标准》（DB32/4041-2021）表2中标准</w:t>
            </w:r>
          </w:p>
        </w:tc>
      </w:tr>
      <w:tr w14:paraId="24810C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32" w:type="dxa"/>
            <w:vMerge w:val="restart"/>
            <w:noWrap w:val="0"/>
            <w:vAlign w:val="center"/>
          </w:tcPr>
          <w:p w14:paraId="75770012">
            <w:pPr>
              <w:adjustRightInd w:val="0"/>
              <w:snapToGrid w:val="0"/>
              <w:jc w:val="center"/>
              <w:rPr>
                <w:color w:val="auto"/>
                <w:sz w:val="24"/>
                <w:szCs w:val="24"/>
                <w:highlight w:val="none"/>
              </w:rPr>
            </w:pPr>
            <w:r>
              <w:rPr>
                <w:color w:val="auto"/>
                <w:sz w:val="24"/>
                <w:szCs w:val="24"/>
                <w:highlight w:val="none"/>
              </w:rPr>
              <w:t>地表水环境</w:t>
            </w:r>
          </w:p>
        </w:tc>
        <w:tc>
          <w:tcPr>
            <w:tcW w:w="1432" w:type="dxa"/>
            <w:vMerge w:val="restart"/>
            <w:noWrap w:val="0"/>
            <w:vAlign w:val="center"/>
          </w:tcPr>
          <w:p w14:paraId="5DB78063">
            <w:pPr>
              <w:adjustRightInd w:val="0"/>
              <w:snapToGrid w:val="0"/>
              <w:jc w:val="center"/>
              <w:rPr>
                <w:color w:val="auto"/>
                <w:sz w:val="24"/>
                <w:szCs w:val="24"/>
                <w:highlight w:val="none"/>
              </w:rPr>
            </w:pPr>
            <w:r>
              <w:rPr>
                <w:color w:val="auto"/>
                <w:sz w:val="24"/>
                <w:szCs w:val="24"/>
                <w:highlight w:val="none"/>
              </w:rPr>
              <w:t>废水排放口（DW001）</w:t>
            </w:r>
          </w:p>
        </w:tc>
        <w:tc>
          <w:tcPr>
            <w:tcW w:w="1709" w:type="dxa"/>
            <w:gridSpan w:val="2"/>
            <w:noWrap w:val="0"/>
            <w:vAlign w:val="center"/>
          </w:tcPr>
          <w:p w14:paraId="27894381">
            <w:pPr>
              <w:pStyle w:val="78"/>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COD</w:t>
            </w:r>
          </w:p>
        </w:tc>
        <w:tc>
          <w:tcPr>
            <w:tcW w:w="1559" w:type="dxa"/>
            <w:vMerge w:val="restart"/>
            <w:noWrap w:val="0"/>
            <w:vAlign w:val="center"/>
          </w:tcPr>
          <w:p w14:paraId="7C2EC0E5">
            <w:pPr>
              <w:adjustRightInd w:val="0"/>
              <w:snapToGrid w:val="0"/>
              <w:jc w:val="center"/>
              <w:rPr>
                <w:color w:val="auto"/>
                <w:sz w:val="24"/>
                <w:szCs w:val="24"/>
                <w:highlight w:val="none"/>
              </w:rPr>
            </w:pPr>
            <w:r>
              <w:rPr>
                <w:rFonts w:hint="eastAsia"/>
                <w:color w:val="auto"/>
                <w:sz w:val="24"/>
                <w:szCs w:val="24"/>
                <w:highlight w:val="none"/>
                <w:lang w:eastAsia="zh-CN"/>
              </w:rPr>
              <w:t>沉淀池、依托园区</w:t>
            </w:r>
            <w:r>
              <w:rPr>
                <w:color w:val="auto"/>
                <w:sz w:val="24"/>
                <w:szCs w:val="24"/>
                <w:highlight w:val="none"/>
              </w:rPr>
              <w:t>化粪池</w:t>
            </w:r>
          </w:p>
        </w:tc>
        <w:tc>
          <w:tcPr>
            <w:tcW w:w="2868" w:type="dxa"/>
            <w:vMerge w:val="restart"/>
            <w:noWrap w:val="0"/>
            <w:vAlign w:val="center"/>
          </w:tcPr>
          <w:p w14:paraId="2BA36BC7">
            <w:pPr>
              <w:adjustRightInd w:val="0"/>
              <w:snapToGrid w:val="0"/>
              <w:jc w:val="center"/>
              <w:rPr>
                <w:rFonts w:hint="default" w:ascii="Times New Roman" w:hAnsi="Times New Roman" w:eastAsia="宋体" w:cs="Times New Roman"/>
                <w:caps w:val="0"/>
                <w:smallCaps w:val="0"/>
                <w:color w:val="auto"/>
                <w:spacing w:val="0"/>
                <w:sz w:val="24"/>
                <w:szCs w:val="24"/>
                <w:highlight w:val="none"/>
                <w:lang w:val="en-US" w:eastAsia="zh-CN"/>
              </w:rPr>
            </w:pPr>
            <w:r>
              <w:rPr>
                <w:rFonts w:hint="default" w:ascii="Times New Roman" w:hAnsi="Times New Roman" w:eastAsia="宋体" w:cs="Times New Roman"/>
                <w:caps w:val="0"/>
                <w:smallCaps w:val="0"/>
                <w:color w:val="auto"/>
                <w:spacing w:val="0"/>
                <w:sz w:val="24"/>
                <w:szCs w:val="24"/>
                <w:highlight w:val="none"/>
                <w:lang w:val="en-US" w:eastAsia="zh-CN"/>
              </w:rPr>
              <w:t>《污水综合排放标准》(GB8978-1996)</w:t>
            </w:r>
          </w:p>
          <w:p w14:paraId="5BB9C7F3">
            <w:pPr>
              <w:adjustRightInd w:val="0"/>
              <w:snapToGrid w:val="0"/>
              <w:jc w:val="center"/>
              <w:rPr>
                <w:rFonts w:hint="default" w:ascii="Times New Roman" w:hAnsi="Times New Roman" w:eastAsia="宋体" w:cs="Times New Roman"/>
                <w:caps w:val="0"/>
                <w:smallCaps w:val="0"/>
                <w:color w:val="auto"/>
                <w:spacing w:val="0"/>
                <w:sz w:val="24"/>
                <w:szCs w:val="24"/>
                <w:highlight w:val="none"/>
                <w:lang w:val="en-US" w:eastAsia="zh-CN"/>
              </w:rPr>
            </w:pPr>
            <w:r>
              <w:rPr>
                <w:rFonts w:hint="default" w:ascii="Times New Roman" w:hAnsi="Times New Roman" w:eastAsia="宋体" w:cs="Times New Roman"/>
                <w:caps w:val="0"/>
                <w:smallCaps w:val="0"/>
                <w:color w:val="auto"/>
                <w:spacing w:val="0"/>
                <w:sz w:val="24"/>
                <w:szCs w:val="24"/>
                <w:highlight w:val="none"/>
                <w:lang w:val="en-US" w:eastAsia="zh-CN"/>
              </w:rPr>
              <w:t>表4三级标准、《污</w:t>
            </w:r>
          </w:p>
          <w:p w14:paraId="44894718">
            <w:pPr>
              <w:adjustRightInd w:val="0"/>
              <w:snapToGrid w:val="0"/>
              <w:jc w:val="center"/>
              <w:rPr>
                <w:rFonts w:hint="default" w:ascii="Times New Roman" w:hAnsi="Times New Roman" w:eastAsia="宋体" w:cs="Times New Roman"/>
                <w:caps w:val="0"/>
                <w:smallCaps w:val="0"/>
                <w:color w:val="auto"/>
                <w:spacing w:val="0"/>
                <w:sz w:val="24"/>
                <w:szCs w:val="24"/>
                <w:highlight w:val="none"/>
                <w:lang w:val="en-US" w:eastAsia="zh-CN"/>
              </w:rPr>
            </w:pPr>
            <w:r>
              <w:rPr>
                <w:rFonts w:hint="default" w:ascii="Times New Roman" w:hAnsi="Times New Roman" w:eastAsia="宋体" w:cs="Times New Roman"/>
                <w:caps w:val="0"/>
                <w:smallCaps w:val="0"/>
                <w:color w:val="auto"/>
                <w:spacing w:val="0"/>
                <w:sz w:val="24"/>
                <w:szCs w:val="24"/>
                <w:highlight w:val="none"/>
                <w:lang w:val="en-US" w:eastAsia="zh-CN"/>
              </w:rPr>
              <w:t>水排入城镇下水道水</w:t>
            </w:r>
          </w:p>
          <w:p w14:paraId="4FC035E4">
            <w:pPr>
              <w:adjustRightInd w:val="0"/>
              <w:snapToGrid w:val="0"/>
              <w:jc w:val="center"/>
              <w:rPr>
                <w:rFonts w:hint="default" w:ascii="Times New Roman" w:hAnsi="Times New Roman" w:eastAsia="宋体" w:cs="Times New Roman"/>
                <w:caps w:val="0"/>
                <w:smallCaps w:val="0"/>
                <w:color w:val="auto"/>
                <w:spacing w:val="0"/>
                <w:sz w:val="24"/>
                <w:szCs w:val="24"/>
                <w:highlight w:val="none"/>
                <w:lang w:val="en-US" w:eastAsia="zh-CN"/>
              </w:rPr>
            </w:pPr>
            <w:r>
              <w:rPr>
                <w:rFonts w:hint="default" w:ascii="Times New Roman" w:hAnsi="Times New Roman" w:eastAsia="宋体" w:cs="Times New Roman"/>
                <w:caps w:val="0"/>
                <w:smallCaps w:val="0"/>
                <w:color w:val="auto"/>
                <w:spacing w:val="0"/>
                <w:sz w:val="24"/>
                <w:szCs w:val="24"/>
                <w:highlight w:val="none"/>
                <w:lang w:val="en-US" w:eastAsia="zh-CN"/>
              </w:rPr>
              <w:t>质标准》(GB/T</w:t>
            </w:r>
          </w:p>
          <w:p w14:paraId="1BAD23C9">
            <w:pPr>
              <w:adjustRightInd w:val="0"/>
              <w:snapToGrid w:val="0"/>
              <w:jc w:val="center"/>
              <w:rPr>
                <w:rFonts w:hint="default" w:ascii="Times New Roman" w:hAnsi="Times New Roman" w:eastAsia="宋体" w:cs="Times New Roman"/>
                <w:caps w:val="0"/>
                <w:smallCaps w:val="0"/>
                <w:color w:val="auto"/>
                <w:spacing w:val="0"/>
                <w:sz w:val="24"/>
                <w:szCs w:val="24"/>
                <w:highlight w:val="none"/>
                <w:lang w:val="en-US" w:eastAsia="zh-CN"/>
              </w:rPr>
            </w:pPr>
            <w:r>
              <w:rPr>
                <w:rFonts w:hint="default" w:ascii="Times New Roman" w:hAnsi="Times New Roman" w:eastAsia="宋体" w:cs="Times New Roman"/>
                <w:caps w:val="0"/>
                <w:smallCaps w:val="0"/>
                <w:color w:val="auto"/>
                <w:spacing w:val="0"/>
                <w:sz w:val="24"/>
                <w:szCs w:val="24"/>
                <w:highlight w:val="none"/>
                <w:lang w:val="en-US" w:eastAsia="zh-CN"/>
              </w:rPr>
              <w:t>31962-2015)表1中B</w:t>
            </w:r>
          </w:p>
          <w:p w14:paraId="58D84F42">
            <w:pPr>
              <w:adjustRightInd w:val="0"/>
              <w:snapToGrid w:val="0"/>
              <w:jc w:val="center"/>
              <w:rPr>
                <w:color w:val="auto"/>
                <w:sz w:val="24"/>
                <w:szCs w:val="24"/>
                <w:highlight w:val="none"/>
              </w:rPr>
            </w:pPr>
            <w:r>
              <w:rPr>
                <w:rFonts w:hint="default" w:ascii="Times New Roman" w:hAnsi="Times New Roman" w:eastAsia="宋体" w:cs="Times New Roman"/>
                <w:caps w:val="0"/>
                <w:smallCaps w:val="0"/>
                <w:color w:val="auto"/>
                <w:spacing w:val="0"/>
                <w:sz w:val="24"/>
                <w:szCs w:val="24"/>
                <w:highlight w:val="none"/>
                <w:lang w:val="en-US" w:eastAsia="zh-CN"/>
              </w:rPr>
              <w:t>等级标准</w:t>
            </w:r>
          </w:p>
        </w:tc>
      </w:tr>
      <w:tr w14:paraId="3E5E3E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32" w:type="dxa"/>
            <w:vMerge w:val="continue"/>
            <w:noWrap w:val="0"/>
            <w:vAlign w:val="center"/>
          </w:tcPr>
          <w:p w14:paraId="3DAEA198">
            <w:pPr>
              <w:adjustRightInd w:val="0"/>
              <w:snapToGrid w:val="0"/>
              <w:jc w:val="center"/>
              <w:rPr>
                <w:color w:val="auto"/>
                <w:sz w:val="24"/>
                <w:szCs w:val="24"/>
                <w:highlight w:val="none"/>
              </w:rPr>
            </w:pPr>
          </w:p>
        </w:tc>
        <w:tc>
          <w:tcPr>
            <w:tcW w:w="1432" w:type="dxa"/>
            <w:vMerge w:val="continue"/>
            <w:noWrap w:val="0"/>
            <w:vAlign w:val="center"/>
          </w:tcPr>
          <w:p w14:paraId="12B808D3">
            <w:pPr>
              <w:adjustRightInd w:val="0"/>
              <w:snapToGrid w:val="0"/>
              <w:jc w:val="center"/>
              <w:rPr>
                <w:color w:val="auto"/>
                <w:sz w:val="24"/>
                <w:szCs w:val="24"/>
                <w:highlight w:val="none"/>
              </w:rPr>
            </w:pPr>
          </w:p>
        </w:tc>
        <w:tc>
          <w:tcPr>
            <w:tcW w:w="1709" w:type="dxa"/>
            <w:gridSpan w:val="2"/>
            <w:noWrap w:val="0"/>
            <w:vAlign w:val="center"/>
          </w:tcPr>
          <w:p w14:paraId="4E3B269C">
            <w:pPr>
              <w:pStyle w:val="78"/>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SS</w:t>
            </w:r>
          </w:p>
        </w:tc>
        <w:tc>
          <w:tcPr>
            <w:tcW w:w="1559" w:type="dxa"/>
            <w:vMerge w:val="continue"/>
            <w:noWrap w:val="0"/>
            <w:vAlign w:val="center"/>
          </w:tcPr>
          <w:p w14:paraId="5AF19760">
            <w:pPr>
              <w:adjustRightInd w:val="0"/>
              <w:snapToGrid w:val="0"/>
              <w:jc w:val="center"/>
              <w:rPr>
                <w:color w:val="auto"/>
                <w:sz w:val="24"/>
                <w:szCs w:val="24"/>
                <w:highlight w:val="none"/>
              </w:rPr>
            </w:pPr>
          </w:p>
        </w:tc>
        <w:tc>
          <w:tcPr>
            <w:tcW w:w="2868" w:type="dxa"/>
            <w:vMerge w:val="continue"/>
            <w:noWrap w:val="0"/>
            <w:vAlign w:val="center"/>
          </w:tcPr>
          <w:p w14:paraId="7A9BB809">
            <w:pPr>
              <w:adjustRightInd w:val="0"/>
              <w:snapToGrid w:val="0"/>
              <w:jc w:val="center"/>
              <w:rPr>
                <w:color w:val="auto"/>
                <w:sz w:val="24"/>
                <w:szCs w:val="24"/>
                <w:highlight w:val="none"/>
              </w:rPr>
            </w:pPr>
          </w:p>
        </w:tc>
      </w:tr>
      <w:tr w14:paraId="3DCB8B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32" w:type="dxa"/>
            <w:vMerge w:val="continue"/>
            <w:noWrap w:val="0"/>
            <w:vAlign w:val="center"/>
          </w:tcPr>
          <w:p w14:paraId="0A941DC8">
            <w:pPr>
              <w:adjustRightInd w:val="0"/>
              <w:snapToGrid w:val="0"/>
              <w:jc w:val="center"/>
              <w:rPr>
                <w:color w:val="auto"/>
                <w:sz w:val="24"/>
                <w:szCs w:val="24"/>
                <w:highlight w:val="none"/>
              </w:rPr>
            </w:pPr>
          </w:p>
        </w:tc>
        <w:tc>
          <w:tcPr>
            <w:tcW w:w="1432" w:type="dxa"/>
            <w:vMerge w:val="continue"/>
            <w:noWrap w:val="0"/>
            <w:vAlign w:val="center"/>
          </w:tcPr>
          <w:p w14:paraId="612D8E0C">
            <w:pPr>
              <w:adjustRightInd w:val="0"/>
              <w:snapToGrid w:val="0"/>
              <w:jc w:val="center"/>
              <w:rPr>
                <w:color w:val="auto"/>
                <w:sz w:val="24"/>
                <w:szCs w:val="24"/>
                <w:highlight w:val="none"/>
              </w:rPr>
            </w:pPr>
          </w:p>
        </w:tc>
        <w:tc>
          <w:tcPr>
            <w:tcW w:w="1709" w:type="dxa"/>
            <w:gridSpan w:val="2"/>
            <w:noWrap w:val="0"/>
            <w:vAlign w:val="center"/>
          </w:tcPr>
          <w:p w14:paraId="7B19804A">
            <w:pPr>
              <w:pStyle w:val="78"/>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氨氮</w:t>
            </w:r>
          </w:p>
        </w:tc>
        <w:tc>
          <w:tcPr>
            <w:tcW w:w="1559" w:type="dxa"/>
            <w:vMerge w:val="continue"/>
            <w:noWrap w:val="0"/>
            <w:vAlign w:val="center"/>
          </w:tcPr>
          <w:p w14:paraId="1260B47B">
            <w:pPr>
              <w:adjustRightInd w:val="0"/>
              <w:snapToGrid w:val="0"/>
              <w:jc w:val="center"/>
              <w:rPr>
                <w:color w:val="auto"/>
                <w:sz w:val="24"/>
                <w:szCs w:val="24"/>
                <w:highlight w:val="none"/>
              </w:rPr>
            </w:pPr>
          </w:p>
        </w:tc>
        <w:tc>
          <w:tcPr>
            <w:tcW w:w="2868" w:type="dxa"/>
            <w:vMerge w:val="continue"/>
            <w:noWrap w:val="0"/>
            <w:vAlign w:val="center"/>
          </w:tcPr>
          <w:p w14:paraId="1CCC0909">
            <w:pPr>
              <w:adjustRightInd w:val="0"/>
              <w:snapToGrid w:val="0"/>
              <w:jc w:val="center"/>
              <w:rPr>
                <w:color w:val="auto"/>
                <w:sz w:val="24"/>
                <w:szCs w:val="24"/>
                <w:highlight w:val="none"/>
              </w:rPr>
            </w:pPr>
          </w:p>
        </w:tc>
      </w:tr>
      <w:tr w14:paraId="6A78EA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32" w:type="dxa"/>
            <w:vMerge w:val="continue"/>
            <w:noWrap w:val="0"/>
            <w:vAlign w:val="center"/>
          </w:tcPr>
          <w:p w14:paraId="7557F0A3">
            <w:pPr>
              <w:adjustRightInd w:val="0"/>
              <w:snapToGrid w:val="0"/>
              <w:jc w:val="center"/>
              <w:rPr>
                <w:color w:val="auto"/>
                <w:sz w:val="24"/>
                <w:szCs w:val="24"/>
                <w:highlight w:val="none"/>
              </w:rPr>
            </w:pPr>
          </w:p>
        </w:tc>
        <w:tc>
          <w:tcPr>
            <w:tcW w:w="1432" w:type="dxa"/>
            <w:vMerge w:val="continue"/>
            <w:noWrap w:val="0"/>
            <w:vAlign w:val="center"/>
          </w:tcPr>
          <w:p w14:paraId="3EE7B60E">
            <w:pPr>
              <w:adjustRightInd w:val="0"/>
              <w:snapToGrid w:val="0"/>
              <w:jc w:val="center"/>
              <w:rPr>
                <w:color w:val="auto"/>
                <w:sz w:val="24"/>
                <w:szCs w:val="24"/>
                <w:highlight w:val="none"/>
              </w:rPr>
            </w:pPr>
          </w:p>
        </w:tc>
        <w:tc>
          <w:tcPr>
            <w:tcW w:w="1709" w:type="dxa"/>
            <w:gridSpan w:val="2"/>
            <w:noWrap w:val="0"/>
            <w:vAlign w:val="center"/>
          </w:tcPr>
          <w:p w14:paraId="41E9A104">
            <w:pPr>
              <w:pStyle w:val="78"/>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总磷</w:t>
            </w:r>
          </w:p>
        </w:tc>
        <w:tc>
          <w:tcPr>
            <w:tcW w:w="1559" w:type="dxa"/>
            <w:vMerge w:val="continue"/>
            <w:noWrap w:val="0"/>
            <w:vAlign w:val="center"/>
          </w:tcPr>
          <w:p w14:paraId="7E3F2097">
            <w:pPr>
              <w:adjustRightInd w:val="0"/>
              <w:snapToGrid w:val="0"/>
              <w:jc w:val="center"/>
              <w:rPr>
                <w:color w:val="auto"/>
                <w:sz w:val="24"/>
                <w:szCs w:val="24"/>
                <w:highlight w:val="none"/>
              </w:rPr>
            </w:pPr>
          </w:p>
        </w:tc>
        <w:tc>
          <w:tcPr>
            <w:tcW w:w="2868" w:type="dxa"/>
            <w:vMerge w:val="continue"/>
            <w:noWrap w:val="0"/>
            <w:vAlign w:val="center"/>
          </w:tcPr>
          <w:p w14:paraId="576D34F8">
            <w:pPr>
              <w:adjustRightInd w:val="0"/>
              <w:snapToGrid w:val="0"/>
              <w:jc w:val="center"/>
              <w:rPr>
                <w:color w:val="auto"/>
                <w:sz w:val="24"/>
                <w:szCs w:val="24"/>
                <w:highlight w:val="none"/>
              </w:rPr>
            </w:pPr>
          </w:p>
        </w:tc>
      </w:tr>
      <w:tr w14:paraId="334FAC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232" w:type="dxa"/>
            <w:vMerge w:val="continue"/>
            <w:noWrap w:val="0"/>
            <w:vAlign w:val="center"/>
          </w:tcPr>
          <w:p w14:paraId="54A7E513">
            <w:pPr>
              <w:adjustRightInd w:val="0"/>
              <w:snapToGrid w:val="0"/>
              <w:jc w:val="center"/>
              <w:rPr>
                <w:color w:val="auto"/>
                <w:sz w:val="24"/>
                <w:szCs w:val="24"/>
                <w:highlight w:val="none"/>
              </w:rPr>
            </w:pPr>
          </w:p>
        </w:tc>
        <w:tc>
          <w:tcPr>
            <w:tcW w:w="1432" w:type="dxa"/>
            <w:vMerge w:val="continue"/>
            <w:noWrap w:val="0"/>
            <w:vAlign w:val="center"/>
          </w:tcPr>
          <w:p w14:paraId="228FF2B5">
            <w:pPr>
              <w:adjustRightInd w:val="0"/>
              <w:snapToGrid w:val="0"/>
              <w:jc w:val="center"/>
              <w:rPr>
                <w:color w:val="auto"/>
                <w:sz w:val="24"/>
                <w:szCs w:val="24"/>
                <w:highlight w:val="none"/>
              </w:rPr>
            </w:pPr>
          </w:p>
        </w:tc>
        <w:tc>
          <w:tcPr>
            <w:tcW w:w="1709" w:type="dxa"/>
            <w:gridSpan w:val="2"/>
            <w:noWrap w:val="0"/>
            <w:vAlign w:val="center"/>
          </w:tcPr>
          <w:p w14:paraId="470E15FB">
            <w:pPr>
              <w:pStyle w:val="78"/>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val="en-US" w:eastAsia="zh-CN"/>
              </w:rPr>
              <w:t>总氮</w:t>
            </w:r>
          </w:p>
        </w:tc>
        <w:tc>
          <w:tcPr>
            <w:tcW w:w="1559" w:type="dxa"/>
            <w:vMerge w:val="continue"/>
            <w:noWrap w:val="0"/>
            <w:vAlign w:val="center"/>
          </w:tcPr>
          <w:p w14:paraId="57031665">
            <w:pPr>
              <w:adjustRightInd w:val="0"/>
              <w:snapToGrid w:val="0"/>
              <w:jc w:val="center"/>
              <w:rPr>
                <w:color w:val="auto"/>
                <w:sz w:val="24"/>
                <w:szCs w:val="24"/>
                <w:highlight w:val="none"/>
              </w:rPr>
            </w:pPr>
          </w:p>
        </w:tc>
        <w:tc>
          <w:tcPr>
            <w:tcW w:w="2868" w:type="dxa"/>
            <w:vMerge w:val="continue"/>
            <w:noWrap w:val="0"/>
            <w:vAlign w:val="center"/>
          </w:tcPr>
          <w:p w14:paraId="5F9C2232">
            <w:pPr>
              <w:adjustRightInd w:val="0"/>
              <w:snapToGrid w:val="0"/>
              <w:jc w:val="center"/>
              <w:rPr>
                <w:color w:val="auto"/>
                <w:sz w:val="24"/>
                <w:szCs w:val="24"/>
                <w:highlight w:val="none"/>
              </w:rPr>
            </w:pPr>
          </w:p>
        </w:tc>
      </w:tr>
      <w:tr w14:paraId="2CD8D9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1232" w:type="dxa"/>
            <w:noWrap w:val="0"/>
            <w:vAlign w:val="center"/>
          </w:tcPr>
          <w:p w14:paraId="1F1A6493">
            <w:pPr>
              <w:adjustRightInd w:val="0"/>
              <w:snapToGrid w:val="0"/>
              <w:jc w:val="center"/>
              <w:rPr>
                <w:color w:val="auto"/>
                <w:sz w:val="24"/>
                <w:szCs w:val="24"/>
                <w:highlight w:val="none"/>
              </w:rPr>
            </w:pPr>
            <w:r>
              <w:rPr>
                <w:color w:val="auto"/>
                <w:sz w:val="24"/>
                <w:szCs w:val="24"/>
                <w:highlight w:val="none"/>
              </w:rPr>
              <w:t>声环境</w:t>
            </w:r>
          </w:p>
        </w:tc>
        <w:tc>
          <w:tcPr>
            <w:tcW w:w="1432" w:type="dxa"/>
            <w:noWrap w:val="0"/>
            <w:vAlign w:val="center"/>
          </w:tcPr>
          <w:p w14:paraId="6D1847ED">
            <w:pPr>
              <w:adjustRightInd w:val="0"/>
              <w:snapToGrid w:val="0"/>
              <w:jc w:val="center"/>
              <w:rPr>
                <w:color w:val="auto"/>
                <w:sz w:val="24"/>
                <w:szCs w:val="24"/>
                <w:highlight w:val="none"/>
              </w:rPr>
            </w:pPr>
            <w:r>
              <w:rPr>
                <w:color w:val="auto"/>
                <w:sz w:val="24"/>
                <w:szCs w:val="24"/>
                <w:highlight w:val="none"/>
              </w:rPr>
              <w:t>设备</w:t>
            </w:r>
          </w:p>
        </w:tc>
        <w:tc>
          <w:tcPr>
            <w:tcW w:w="1709" w:type="dxa"/>
            <w:gridSpan w:val="2"/>
            <w:noWrap w:val="0"/>
            <w:vAlign w:val="center"/>
          </w:tcPr>
          <w:p w14:paraId="42EEE9E2">
            <w:pPr>
              <w:adjustRightInd w:val="0"/>
              <w:snapToGrid w:val="0"/>
              <w:jc w:val="center"/>
              <w:rPr>
                <w:color w:val="auto"/>
                <w:sz w:val="24"/>
                <w:szCs w:val="24"/>
                <w:highlight w:val="none"/>
              </w:rPr>
            </w:pPr>
            <w:r>
              <w:rPr>
                <w:color w:val="auto"/>
                <w:sz w:val="24"/>
                <w:szCs w:val="24"/>
                <w:highlight w:val="none"/>
              </w:rPr>
              <w:t>噪声</w:t>
            </w:r>
          </w:p>
        </w:tc>
        <w:tc>
          <w:tcPr>
            <w:tcW w:w="1559" w:type="dxa"/>
            <w:noWrap w:val="0"/>
            <w:vAlign w:val="center"/>
          </w:tcPr>
          <w:p w14:paraId="5339CCB4">
            <w:pPr>
              <w:adjustRightInd w:val="0"/>
              <w:snapToGrid w:val="0"/>
              <w:jc w:val="center"/>
              <w:rPr>
                <w:color w:val="auto"/>
                <w:sz w:val="24"/>
                <w:szCs w:val="24"/>
                <w:highlight w:val="none"/>
              </w:rPr>
            </w:pPr>
            <w:r>
              <w:rPr>
                <w:color w:val="auto"/>
                <w:sz w:val="24"/>
                <w:szCs w:val="24"/>
                <w:highlight w:val="none"/>
              </w:rPr>
              <w:t>优先选择用低噪声设备，设备设置于室内，合理布局，距离衰减</w:t>
            </w:r>
          </w:p>
        </w:tc>
        <w:tc>
          <w:tcPr>
            <w:tcW w:w="2868" w:type="dxa"/>
            <w:noWrap w:val="0"/>
            <w:vAlign w:val="center"/>
          </w:tcPr>
          <w:p w14:paraId="2C886E3D">
            <w:pPr>
              <w:adjustRightInd w:val="0"/>
              <w:snapToGrid w:val="0"/>
              <w:jc w:val="center"/>
              <w:rPr>
                <w:color w:val="auto"/>
                <w:sz w:val="24"/>
                <w:szCs w:val="24"/>
                <w:highlight w:val="none"/>
              </w:rPr>
            </w:pPr>
            <w:r>
              <w:rPr>
                <w:color w:val="auto"/>
                <w:sz w:val="24"/>
                <w:szCs w:val="24"/>
                <w:highlight w:val="none"/>
              </w:rPr>
              <w:t>达《工业企业厂界环境噪声排放标准》（GB12348-2008）表1中3类标准</w:t>
            </w:r>
          </w:p>
        </w:tc>
      </w:tr>
      <w:tr w14:paraId="144B28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32" w:type="dxa"/>
            <w:noWrap w:val="0"/>
            <w:vAlign w:val="center"/>
          </w:tcPr>
          <w:p w14:paraId="7FFED907">
            <w:pPr>
              <w:adjustRightInd w:val="0"/>
              <w:snapToGrid w:val="0"/>
              <w:jc w:val="center"/>
              <w:rPr>
                <w:color w:val="auto"/>
                <w:sz w:val="24"/>
                <w:szCs w:val="24"/>
                <w:highlight w:val="none"/>
              </w:rPr>
            </w:pPr>
            <w:r>
              <w:rPr>
                <w:color w:val="auto"/>
                <w:sz w:val="24"/>
                <w:szCs w:val="24"/>
                <w:highlight w:val="none"/>
              </w:rPr>
              <w:t>电磁辐射</w:t>
            </w:r>
          </w:p>
        </w:tc>
        <w:tc>
          <w:tcPr>
            <w:tcW w:w="1432" w:type="dxa"/>
            <w:noWrap w:val="0"/>
            <w:vAlign w:val="center"/>
          </w:tcPr>
          <w:p w14:paraId="779D85FA">
            <w:pPr>
              <w:adjustRightInd w:val="0"/>
              <w:snapToGrid w:val="0"/>
              <w:jc w:val="center"/>
              <w:rPr>
                <w:color w:val="auto"/>
                <w:sz w:val="24"/>
                <w:szCs w:val="24"/>
                <w:highlight w:val="none"/>
              </w:rPr>
            </w:pPr>
            <w:r>
              <w:rPr>
                <w:color w:val="auto"/>
                <w:sz w:val="24"/>
                <w:szCs w:val="24"/>
                <w:highlight w:val="none"/>
              </w:rPr>
              <w:t>/</w:t>
            </w:r>
          </w:p>
        </w:tc>
        <w:tc>
          <w:tcPr>
            <w:tcW w:w="1709" w:type="dxa"/>
            <w:gridSpan w:val="2"/>
            <w:noWrap w:val="0"/>
            <w:vAlign w:val="center"/>
          </w:tcPr>
          <w:p w14:paraId="25A6A223">
            <w:pPr>
              <w:adjustRightInd w:val="0"/>
              <w:snapToGrid w:val="0"/>
              <w:jc w:val="center"/>
              <w:rPr>
                <w:color w:val="auto"/>
                <w:sz w:val="24"/>
                <w:szCs w:val="24"/>
                <w:highlight w:val="none"/>
              </w:rPr>
            </w:pPr>
            <w:r>
              <w:rPr>
                <w:color w:val="auto"/>
                <w:sz w:val="24"/>
                <w:szCs w:val="24"/>
                <w:highlight w:val="none"/>
              </w:rPr>
              <w:t>/</w:t>
            </w:r>
          </w:p>
        </w:tc>
        <w:tc>
          <w:tcPr>
            <w:tcW w:w="1559" w:type="dxa"/>
            <w:noWrap w:val="0"/>
            <w:vAlign w:val="center"/>
          </w:tcPr>
          <w:p w14:paraId="6280F482">
            <w:pPr>
              <w:adjustRightInd w:val="0"/>
              <w:snapToGrid w:val="0"/>
              <w:jc w:val="center"/>
              <w:rPr>
                <w:color w:val="auto"/>
                <w:sz w:val="24"/>
                <w:szCs w:val="24"/>
                <w:highlight w:val="none"/>
              </w:rPr>
            </w:pPr>
            <w:r>
              <w:rPr>
                <w:color w:val="auto"/>
                <w:sz w:val="24"/>
                <w:szCs w:val="24"/>
                <w:highlight w:val="none"/>
              </w:rPr>
              <w:t>/</w:t>
            </w:r>
          </w:p>
        </w:tc>
        <w:tc>
          <w:tcPr>
            <w:tcW w:w="2868" w:type="dxa"/>
            <w:noWrap w:val="0"/>
            <w:vAlign w:val="center"/>
          </w:tcPr>
          <w:p w14:paraId="0D891F7E">
            <w:pPr>
              <w:adjustRightInd w:val="0"/>
              <w:snapToGrid w:val="0"/>
              <w:jc w:val="center"/>
              <w:rPr>
                <w:color w:val="auto"/>
                <w:sz w:val="24"/>
                <w:szCs w:val="24"/>
                <w:highlight w:val="none"/>
              </w:rPr>
            </w:pPr>
            <w:r>
              <w:rPr>
                <w:color w:val="auto"/>
                <w:sz w:val="24"/>
                <w:szCs w:val="24"/>
                <w:highlight w:val="none"/>
              </w:rPr>
              <w:t>/</w:t>
            </w:r>
          </w:p>
        </w:tc>
      </w:tr>
      <w:tr w14:paraId="129921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1232" w:type="dxa"/>
            <w:noWrap w:val="0"/>
            <w:vAlign w:val="center"/>
          </w:tcPr>
          <w:p w14:paraId="1222EC19">
            <w:pPr>
              <w:adjustRightInd w:val="0"/>
              <w:snapToGrid w:val="0"/>
              <w:jc w:val="center"/>
              <w:rPr>
                <w:color w:val="auto"/>
                <w:sz w:val="24"/>
                <w:szCs w:val="24"/>
                <w:highlight w:val="none"/>
              </w:rPr>
            </w:pPr>
            <w:r>
              <w:rPr>
                <w:rFonts w:hint="default" w:ascii="Times New Roman" w:hAnsi="Times New Roman" w:cs="Times New Roman"/>
                <w:color w:val="auto"/>
                <w:sz w:val="24"/>
                <w:highlight w:val="none"/>
              </w:rPr>
              <w:t>固体废物</w:t>
            </w:r>
          </w:p>
        </w:tc>
        <w:tc>
          <w:tcPr>
            <w:tcW w:w="7568" w:type="dxa"/>
            <w:gridSpan w:val="5"/>
            <w:noWrap w:val="0"/>
            <w:vAlign w:val="center"/>
          </w:tcPr>
          <w:p w14:paraId="0CDD164A">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color w:val="auto"/>
                <w:sz w:val="24"/>
                <w:szCs w:val="24"/>
                <w:highlight w:val="none"/>
              </w:rPr>
            </w:pPr>
            <w:r>
              <w:rPr>
                <w:rFonts w:hint="eastAsia"/>
                <w:color w:val="auto"/>
                <w:sz w:val="24"/>
                <w:szCs w:val="24"/>
                <w:highlight w:val="none"/>
              </w:rPr>
              <w:t>厂区</w:t>
            </w:r>
            <w:r>
              <w:rPr>
                <w:rFonts w:hint="eastAsia"/>
                <w:color w:val="auto"/>
                <w:sz w:val="24"/>
                <w:szCs w:val="24"/>
                <w:highlight w:val="none"/>
                <w:lang w:eastAsia="zh-CN"/>
              </w:rPr>
              <w:t>建设</w:t>
            </w:r>
            <w:r>
              <w:rPr>
                <w:rFonts w:hint="eastAsia"/>
                <w:color w:val="auto"/>
                <w:sz w:val="24"/>
                <w:szCs w:val="24"/>
                <w:highlight w:val="none"/>
                <w:lang w:val="en-US" w:eastAsia="zh-CN"/>
              </w:rPr>
              <w:t>5</w:t>
            </w:r>
            <w:r>
              <w:rPr>
                <w:rFonts w:hint="eastAsia"/>
                <w:color w:val="auto"/>
                <w:sz w:val="24"/>
                <w:szCs w:val="24"/>
                <w:highlight w:val="none"/>
              </w:rPr>
              <w:t>m</w:t>
            </w:r>
            <w:r>
              <w:rPr>
                <w:rFonts w:hint="eastAsia"/>
                <w:color w:val="auto"/>
                <w:sz w:val="24"/>
                <w:szCs w:val="24"/>
                <w:highlight w:val="none"/>
                <w:vertAlign w:val="superscript"/>
              </w:rPr>
              <w:t>2</w:t>
            </w:r>
            <w:r>
              <w:rPr>
                <w:rFonts w:hint="eastAsia"/>
                <w:color w:val="auto"/>
                <w:sz w:val="24"/>
                <w:szCs w:val="24"/>
                <w:highlight w:val="none"/>
              </w:rPr>
              <w:t>一般固废仓库一处，厂区</w:t>
            </w:r>
            <w:r>
              <w:rPr>
                <w:rFonts w:hint="eastAsia"/>
                <w:color w:val="auto"/>
                <w:sz w:val="24"/>
                <w:szCs w:val="24"/>
                <w:highlight w:val="none"/>
                <w:lang w:eastAsia="zh-CN"/>
              </w:rPr>
              <w:t>建设</w:t>
            </w:r>
            <w:r>
              <w:rPr>
                <w:rFonts w:hint="eastAsia"/>
                <w:color w:val="auto"/>
                <w:sz w:val="24"/>
                <w:szCs w:val="24"/>
                <w:highlight w:val="none"/>
                <w:lang w:val="en-US" w:eastAsia="zh-CN"/>
              </w:rPr>
              <w:t>5</w:t>
            </w:r>
            <w:r>
              <w:rPr>
                <w:rFonts w:hint="eastAsia"/>
                <w:color w:val="auto"/>
                <w:sz w:val="24"/>
                <w:szCs w:val="24"/>
                <w:highlight w:val="none"/>
              </w:rPr>
              <w:t>m</w:t>
            </w:r>
            <w:r>
              <w:rPr>
                <w:rFonts w:hint="eastAsia"/>
                <w:color w:val="auto"/>
                <w:sz w:val="24"/>
                <w:szCs w:val="24"/>
                <w:highlight w:val="none"/>
                <w:vertAlign w:val="superscript"/>
              </w:rPr>
              <w:t>2</w:t>
            </w:r>
            <w:r>
              <w:rPr>
                <w:rFonts w:hint="eastAsia"/>
                <w:color w:val="auto"/>
                <w:sz w:val="24"/>
                <w:szCs w:val="24"/>
                <w:highlight w:val="none"/>
              </w:rPr>
              <w:t>危废仓库一处，危险废物贮存按照《危险废物贮存污染控制标准》(GB18597-20</w:t>
            </w:r>
            <w:r>
              <w:rPr>
                <w:rFonts w:hint="eastAsia"/>
                <w:color w:val="auto"/>
                <w:sz w:val="24"/>
                <w:szCs w:val="24"/>
                <w:highlight w:val="none"/>
                <w:lang w:val="en-US" w:eastAsia="zh-CN"/>
              </w:rPr>
              <w:t>23</w:t>
            </w:r>
            <w:r>
              <w:rPr>
                <w:rFonts w:hint="eastAsia"/>
                <w:color w:val="auto"/>
                <w:sz w:val="24"/>
                <w:szCs w:val="24"/>
                <w:highlight w:val="none"/>
              </w:rPr>
              <w:t>)要求、《</w:t>
            </w:r>
            <w:r>
              <w:rPr>
                <w:rFonts w:hint="eastAsia"/>
                <w:color w:val="auto"/>
                <w:sz w:val="24"/>
                <w:szCs w:val="24"/>
                <w:highlight w:val="none"/>
                <w:lang w:eastAsia="zh-CN"/>
              </w:rPr>
              <w:t>危险废物收集 贮存 运输技术规范</w:t>
            </w:r>
            <w:r>
              <w:rPr>
                <w:rFonts w:hint="eastAsia"/>
                <w:color w:val="auto"/>
                <w:sz w:val="24"/>
                <w:szCs w:val="24"/>
                <w:highlight w:val="none"/>
              </w:rPr>
              <w:t>》(HJ2025-2012)相关规定要求以及《省生态环境厅关于印发〈江苏省固体废物全过程环境监管工作意见〉的通知》（苏环办〔2024〕16号）等文件的要求，危废无害化。</w:t>
            </w:r>
          </w:p>
        </w:tc>
      </w:tr>
      <w:tr w14:paraId="7C0573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32" w:type="dxa"/>
            <w:noWrap w:val="0"/>
            <w:vAlign w:val="center"/>
          </w:tcPr>
          <w:p w14:paraId="6D2C8655">
            <w:pPr>
              <w:adjustRightInd w:val="0"/>
              <w:snapToGrid w:val="0"/>
              <w:jc w:val="center"/>
              <w:rPr>
                <w:color w:val="auto"/>
                <w:sz w:val="24"/>
                <w:szCs w:val="24"/>
                <w:highlight w:val="none"/>
              </w:rPr>
            </w:pPr>
            <w:r>
              <w:rPr>
                <w:rFonts w:hint="default" w:ascii="Times New Roman" w:hAnsi="Times New Roman" w:cs="Times New Roman"/>
                <w:color w:val="auto"/>
                <w:sz w:val="24"/>
                <w:highlight w:val="none"/>
              </w:rPr>
              <w:t>土壤及地下水污染防治措施</w:t>
            </w:r>
          </w:p>
        </w:tc>
        <w:tc>
          <w:tcPr>
            <w:tcW w:w="7568" w:type="dxa"/>
            <w:gridSpan w:val="5"/>
            <w:noWrap w:val="0"/>
            <w:vAlign w:val="center"/>
          </w:tcPr>
          <w:p w14:paraId="146A2AAF">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eastAsia="宋体"/>
                <w:color w:val="auto"/>
                <w:sz w:val="24"/>
                <w:szCs w:val="24"/>
                <w:highlight w:val="none"/>
                <w:lang w:eastAsia="zh-CN"/>
              </w:rPr>
            </w:pPr>
            <w:r>
              <w:rPr>
                <w:rFonts w:hint="default" w:ascii="Times New Roman" w:hAnsi="Times New Roman" w:cs="Times New Roman"/>
                <w:color w:val="auto"/>
                <w:sz w:val="24"/>
                <w:highlight w:val="none"/>
              </w:rPr>
              <w:t>对厂内污染区地面的防渗措施和泄漏、渗漏污染物收集措施，即在污染区地面进行防渗处理，防止洒落地面的污染物渗入地下，并把滞留在地面的污染物收集起来集中处理，从而避免对地下水的污染。结合项目各生产设备、贮存等因素，根据项目场地污染控制难易程度和污染物特性对全厂进行分区防控</w:t>
            </w:r>
            <w:r>
              <w:rPr>
                <w:rFonts w:hint="eastAsia" w:cs="Times New Roman"/>
                <w:color w:val="auto"/>
                <w:sz w:val="24"/>
                <w:highlight w:val="none"/>
                <w:lang w:eastAsia="zh-CN"/>
              </w:rPr>
              <w:t>。</w:t>
            </w:r>
          </w:p>
        </w:tc>
      </w:tr>
      <w:tr w14:paraId="5194BB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32" w:type="dxa"/>
            <w:noWrap w:val="0"/>
            <w:vAlign w:val="center"/>
          </w:tcPr>
          <w:p w14:paraId="41F2A747">
            <w:pPr>
              <w:adjustRightInd w:val="0"/>
              <w:snapToGrid w:val="0"/>
              <w:jc w:val="center"/>
              <w:rPr>
                <w:color w:val="auto"/>
                <w:sz w:val="24"/>
                <w:szCs w:val="24"/>
                <w:highlight w:val="none"/>
              </w:rPr>
            </w:pPr>
            <w:r>
              <w:rPr>
                <w:rFonts w:hint="default" w:ascii="Times New Roman" w:hAnsi="Times New Roman" w:cs="Times New Roman"/>
                <w:color w:val="auto"/>
                <w:sz w:val="24"/>
                <w:highlight w:val="none"/>
              </w:rPr>
              <w:t>生态保护措施</w:t>
            </w:r>
          </w:p>
        </w:tc>
        <w:tc>
          <w:tcPr>
            <w:tcW w:w="7568" w:type="dxa"/>
            <w:gridSpan w:val="5"/>
            <w:noWrap w:val="0"/>
            <w:vAlign w:val="center"/>
          </w:tcPr>
          <w:p w14:paraId="584C9488">
            <w:pPr>
              <w:adjustRightInd w:val="0"/>
              <w:snapToGrid w:val="0"/>
              <w:jc w:val="center"/>
              <w:rPr>
                <w:color w:val="auto"/>
                <w:sz w:val="24"/>
                <w:szCs w:val="24"/>
                <w:highlight w:val="none"/>
              </w:rPr>
            </w:pPr>
            <w:r>
              <w:rPr>
                <w:rFonts w:hint="default" w:ascii="Times New Roman" w:hAnsi="Times New Roman" w:cs="Times New Roman"/>
                <w:color w:val="auto"/>
                <w:sz w:val="24"/>
                <w:highlight w:val="none"/>
              </w:rPr>
              <w:t>/</w:t>
            </w:r>
          </w:p>
        </w:tc>
      </w:tr>
      <w:tr w14:paraId="7DCCF4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32" w:type="dxa"/>
            <w:noWrap w:val="0"/>
            <w:vAlign w:val="center"/>
          </w:tcPr>
          <w:p w14:paraId="15B6358A">
            <w:pPr>
              <w:adjustRightInd w:val="0"/>
              <w:snapToGrid w:val="0"/>
              <w:jc w:val="center"/>
              <w:rPr>
                <w:rFonts w:hint="default" w:ascii="Times New Roman" w:hAnsi="Times New Roman" w:cs="Times New Roman"/>
                <w:color w:val="auto"/>
                <w:spacing w:val="-8"/>
                <w:sz w:val="24"/>
                <w:highlight w:val="none"/>
              </w:rPr>
            </w:pPr>
            <w:r>
              <w:rPr>
                <w:rFonts w:hint="default" w:ascii="Times New Roman" w:hAnsi="Times New Roman" w:cs="Times New Roman"/>
                <w:color w:val="auto"/>
                <w:spacing w:val="-8"/>
                <w:sz w:val="24"/>
                <w:highlight w:val="none"/>
              </w:rPr>
              <w:t>环境风险</w:t>
            </w:r>
          </w:p>
          <w:p w14:paraId="4B62F09A">
            <w:pPr>
              <w:adjustRightInd w:val="0"/>
              <w:snapToGrid w:val="0"/>
              <w:jc w:val="center"/>
              <w:rPr>
                <w:color w:val="auto"/>
                <w:sz w:val="24"/>
                <w:szCs w:val="24"/>
                <w:highlight w:val="none"/>
              </w:rPr>
            </w:pPr>
            <w:r>
              <w:rPr>
                <w:rFonts w:hint="default" w:ascii="Times New Roman" w:hAnsi="Times New Roman" w:cs="Times New Roman"/>
                <w:color w:val="auto"/>
                <w:spacing w:val="-8"/>
                <w:sz w:val="24"/>
                <w:highlight w:val="none"/>
              </w:rPr>
              <w:t>防范措施</w:t>
            </w:r>
          </w:p>
        </w:tc>
        <w:tc>
          <w:tcPr>
            <w:tcW w:w="7568" w:type="dxa"/>
            <w:gridSpan w:val="5"/>
            <w:noWrap w:val="0"/>
            <w:vAlign w:val="center"/>
          </w:tcPr>
          <w:p w14:paraId="1CB6E1F9">
            <w:pPr>
              <w:adjustRightInd w:val="0"/>
              <w:snapToGrid w:val="0"/>
              <w:spacing w:line="360" w:lineRule="auto"/>
              <w:ind w:firstLine="480" w:firstLineChars="200"/>
              <w:rPr>
                <w:rFonts w:hint="eastAsia"/>
                <w:color w:val="auto"/>
                <w:sz w:val="24"/>
                <w:szCs w:val="24"/>
                <w:highlight w:val="none"/>
              </w:rPr>
            </w:pPr>
            <w:r>
              <w:rPr>
                <w:rFonts w:hint="eastAsia"/>
                <w:color w:val="auto"/>
                <w:sz w:val="24"/>
                <w:szCs w:val="24"/>
                <w:highlight w:val="none"/>
              </w:rPr>
              <w:t>1.车间严禁明火。生产车间、仓库等场所配置足量的泡沫、干粉等灭火器，并保持完好状态。</w:t>
            </w:r>
          </w:p>
          <w:p w14:paraId="349D5A4A">
            <w:pPr>
              <w:adjustRightInd w:val="0"/>
              <w:snapToGrid w:val="0"/>
              <w:spacing w:line="360" w:lineRule="auto"/>
              <w:ind w:firstLine="480" w:firstLineChars="200"/>
              <w:rPr>
                <w:rFonts w:hint="eastAsia"/>
                <w:color w:val="auto"/>
                <w:sz w:val="24"/>
                <w:szCs w:val="24"/>
                <w:highlight w:val="none"/>
              </w:rPr>
            </w:pPr>
            <w:r>
              <w:rPr>
                <w:rFonts w:hint="eastAsia"/>
                <w:color w:val="auto"/>
                <w:sz w:val="24"/>
                <w:szCs w:val="24"/>
                <w:highlight w:val="none"/>
              </w:rPr>
              <w:t>2.厂区留有足够的消防通道。生产车间、仓库设置消防给水管道和消防栓。厂部要组织义务消防员，并进行定期的培训和训练。对有火灾危险的场所设置自动报警系统，一旦发生火灾，立即做出应急反应。</w:t>
            </w:r>
          </w:p>
          <w:p w14:paraId="6434FF32">
            <w:pPr>
              <w:adjustRightInd w:val="0"/>
              <w:snapToGrid w:val="0"/>
              <w:spacing w:line="360" w:lineRule="auto"/>
              <w:ind w:firstLine="480" w:firstLineChars="200"/>
              <w:rPr>
                <w:rFonts w:hint="eastAsia"/>
                <w:color w:val="auto"/>
                <w:sz w:val="24"/>
                <w:szCs w:val="24"/>
                <w:highlight w:val="none"/>
              </w:rPr>
            </w:pPr>
            <w:r>
              <w:rPr>
                <w:rFonts w:hint="eastAsia"/>
                <w:color w:val="auto"/>
                <w:sz w:val="24"/>
                <w:szCs w:val="24"/>
                <w:highlight w:val="none"/>
              </w:rPr>
              <w:t>3、对于危废仓库，建设单位拟设置监控系统，主要在仓库出入口、仓库内、厂门口等关键位置安装视频监控设施，进行实时监控，并与中控室联网。</w:t>
            </w:r>
          </w:p>
          <w:p w14:paraId="7C9DA7AF">
            <w:pPr>
              <w:adjustRightInd w:val="0"/>
              <w:snapToGrid w:val="0"/>
              <w:spacing w:line="360" w:lineRule="auto"/>
              <w:ind w:firstLine="480" w:firstLineChars="200"/>
              <w:rPr>
                <w:rFonts w:hint="eastAsia"/>
                <w:color w:val="auto"/>
                <w:sz w:val="24"/>
                <w:szCs w:val="24"/>
                <w:highlight w:val="none"/>
              </w:rPr>
            </w:pPr>
            <w:r>
              <w:rPr>
                <w:rFonts w:hint="eastAsia"/>
                <w:color w:val="auto"/>
                <w:sz w:val="24"/>
                <w:szCs w:val="24"/>
                <w:highlight w:val="none"/>
              </w:rPr>
              <w:t>贮存过程拟在液态危险废物贮存容器下方设置不锈钢托盘，或在危废暂存场所设置地沟等，发生少量泄漏立即将容器内剩余溶液转移，并收集托盘、地沟内泄漏液体，防止泄漏物料挥发到大气中。</w:t>
            </w:r>
          </w:p>
          <w:p w14:paraId="5E2DD1E1">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4、厂区内的雨水管道、事故沟收集系统严格分开，设置切换阀</w:t>
            </w:r>
          </w:p>
        </w:tc>
      </w:tr>
      <w:tr w14:paraId="163459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32" w:type="dxa"/>
            <w:noWrap w:val="0"/>
            <w:vAlign w:val="center"/>
          </w:tcPr>
          <w:p w14:paraId="06839E3B">
            <w:pPr>
              <w:adjustRightInd w:val="0"/>
              <w:snapToGrid w:val="0"/>
              <w:jc w:val="center"/>
              <w:rPr>
                <w:rFonts w:hint="default" w:ascii="Times New Roman" w:hAnsi="Times New Roman" w:cs="Times New Roman"/>
                <w:color w:val="auto"/>
                <w:spacing w:val="-8"/>
                <w:sz w:val="24"/>
                <w:highlight w:val="none"/>
              </w:rPr>
            </w:pPr>
            <w:r>
              <w:rPr>
                <w:rFonts w:hint="default" w:ascii="Times New Roman" w:hAnsi="Times New Roman" w:cs="Times New Roman"/>
                <w:color w:val="auto"/>
                <w:spacing w:val="-8"/>
                <w:sz w:val="24"/>
                <w:highlight w:val="none"/>
              </w:rPr>
              <w:t>其他环境</w:t>
            </w:r>
          </w:p>
          <w:p w14:paraId="66177F45">
            <w:pPr>
              <w:adjustRightInd w:val="0"/>
              <w:snapToGrid w:val="0"/>
              <w:jc w:val="center"/>
              <w:rPr>
                <w:color w:val="auto"/>
                <w:sz w:val="24"/>
                <w:szCs w:val="24"/>
                <w:highlight w:val="none"/>
              </w:rPr>
            </w:pPr>
            <w:r>
              <w:rPr>
                <w:rFonts w:hint="default" w:ascii="Times New Roman" w:hAnsi="Times New Roman" w:cs="Times New Roman"/>
                <w:color w:val="auto"/>
                <w:spacing w:val="-8"/>
                <w:sz w:val="24"/>
                <w:highlight w:val="none"/>
              </w:rPr>
              <w:t>管理要求</w:t>
            </w:r>
          </w:p>
        </w:tc>
        <w:tc>
          <w:tcPr>
            <w:tcW w:w="7568" w:type="dxa"/>
            <w:gridSpan w:val="5"/>
            <w:noWrap w:val="0"/>
            <w:vAlign w:val="center"/>
          </w:tcPr>
          <w:p w14:paraId="23574B5A">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（一）环境管理</w:t>
            </w:r>
          </w:p>
          <w:p w14:paraId="25EAA473">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1、环境管理机构设置</w:t>
            </w:r>
          </w:p>
          <w:p w14:paraId="525E460C">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为了本项目在运营期能更好地执行和遵守国家、省及地方的有关环境保护法律、法规、政策及标准，接受地方生态环境主管部门的环境监督，调整和制订环境规划和目标，进行一切与改善环境有关的管理活动，同时对本项目运营期产生的污染物进行监测、分析，了解本项目对环境的影响状况，企业设置专职的环境管理人员，进行环境保护管理工作，负责产生污染防治设施运行管理。</w:t>
            </w:r>
          </w:p>
          <w:p w14:paraId="4E3AD7A6">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2、环境管理制度</w:t>
            </w:r>
          </w:p>
          <w:p w14:paraId="5814E31B">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（1）贯彻执行“三同时”制度：设计单位必须将环境保护设施与主体工程同时设计，工程建设单位必须保证污染防治污染及其它公用的设施与主体工程项目同时施工、同时投入运行。</w:t>
            </w:r>
          </w:p>
          <w:p w14:paraId="30870BE6">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w:t>
            </w:r>
            <w:r>
              <w:rPr>
                <w:color w:val="auto"/>
                <w:sz w:val="24"/>
                <w:szCs w:val="24"/>
                <w:highlight w:val="none"/>
              </w:rPr>
              <w:t>2</w:t>
            </w:r>
            <w:r>
              <w:rPr>
                <w:rFonts w:hint="eastAsia"/>
                <w:color w:val="auto"/>
                <w:sz w:val="24"/>
                <w:szCs w:val="24"/>
                <w:highlight w:val="none"/>
              </w:rPr>
              <w:t>）环保设施运行管理制度：建立环保设施定期检查制度和污染治理措施岗位责任制，实行污染治理岗位运行记录制度，以确保污染治理设施稳定高效运行。</w:t>
            </w:r>
          </w:p>
          <w:p w14:paraId="2CF13D00">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当污染治理设施发生故障时，及时组织抢修，并根据实际情况采取相应措施，防止污染事故的发生。</w:t>
            </w:r>
          </w:p>
          <w:p w14:paraId="14FF7314">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w:t>
            </w:r>
            <w:r>
              <w:rPr>
                <w:color w:val="auto"/>
                <w:sz w:val="24"/>
                <w:szCs w:val="24"/>
                <w:highlight w:val="none"/>
              </w:rPr>
              <w:t>3</w:t>
            </w:r>
            <w:r>
              <w:rPr>
                <w:rFonts w:hint="eastAsia"/>
                <w:color w:val="auto"/>
                <w:sz w:val="24"/>
                <w:szCs w:val="24"/>
                <w:highlight w:val="none"/>
              </w:rPr>
              <w:t>）建立企业环保档案：企业建立污染源档案，发现污染物非正常排放，分析原因并及时采取相应措施，以控制污染影响的范围和程度。</w:t>
            </w:r>
          </w:p>
          <w:p w14:paraId="612DAB1F">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w:t>
            </w:r>
            <w:r>
              <w:rPr>
                <w:color w:val="auto"/>
                <w:sz w:val="24"/>
                <w:szCs w:val="24"/>
                <w:highlight w:val="none"/>
              </w:rPr>
              <w:t>4</w:t>
            </w:r>
            <w:r>
              <w:rPr>
                <w:rFonts w:hint="eastAsia"/>
                <w:color w:val="auto"/>
                <w:sz w:val="24"/>
                <w:szCs w:val="24"/>
                <w:highlight w:val="none"/>
              </w:rPr>
              <w:t>）风险管理：由于风险情况下发生大气或水环境污染时，对环境空气及地表水影响较大，特别是厂区周围存在居民点。因此环境管理的重点是建立风险防范及应急措施，并确保在风险发生时能迅速启动应急预案。</w:t>
            </w:r>
          </w:p>
          <w:p w14:paraId="43C61898">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（二）排污口规范化整治</w:t>
            </w:r>
          </w:p>
          <w:p w14:paraId="52A006D9">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根据《关于印发&lt;江苏省排污口设置及规范化整治管理办法&gt;的通知》（苏环控〔1997〕122号），废气排气筒、废水排污口、噪声污染源和固体废物贮存（处置）场所须规范化设置，企业需做到：</w:t>
            </w:r>
          </w:p>
          <w:p w14:paraId="64B56A77">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①完善排污口档案</w:t>
            </w:r>
          </w:p>
          <w:p w14:paraId="2A92E31D">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内容包括排污单位名称、排污口编号、适用的计量方式、排污口位置；所排污染物来源、种类、浓度及计量</w:t>
            </w:r>
            <w:r>
              <w:rPr>
                <w:rFonts w:hint="eastAsia"/>
                <w:color w:val="auto"/>
                <w:sz w:val="24"/>
                <w:szCs w:val="24"/>
                <w:highlight w:val="none"/>
                <w:lang w:val="en-US" w:eastAsia="zh-CN"/>
              </w:rPr>
              <w:t>记录</w:t>
            </w:r>
            <w:r>
              <w:rPr>
                <w:rFonts w:hint="eastAsia"/>
                <w:color w:val="auto"/>
                <w:sz w:val="24"/>
                <w:szCs w:val="24"/>
                <w:highlight w:val="none"/>
              </w:rPr>
              <w:t>；排放去向、维护和更新</w:t>
            </w:r>
            <w:r>
              <w:rPr>
                <w:rFonts w:hint="eastAsia"/>
                <w:color w:val="auto"/>
                <w:sz w:val="24"/>
                <w:szCs w:val="24"/>
                <w:highlight w:val="none"/>
                <w:lang w:val="en-US" w:eastAsia="zh-CN"/>
              </w:rPr>
              <w:t>记录</w:t>
            </w:r>
            <w:r>
              <w:rPr>
                <w:rFonts w:hint="eastAsia"/>
                <w:color w:val="auto"/>
                <w:sz w:val="24"/>
                <w:szCs w:val="24"/>
                <w:highlight w:val="none"/>
              </w:rPr>
              <w:t>。</w:t>
            </w:r>
          </w:p>
          <w:p w14:paraId="258C9130">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②废气排气筒</w:t>
            </w:r>
          </w:p>
          <w:p w14:paraId="7E5ED29C">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企业需设计、建设、维护永久性采样口和排污口标志。有净化设施的，在其进出口分别设置采样口。采样孔、点数目和位置按《固定污染源排气中颗粒物测定与气态污染物采样方法》（GB/T 16157-1996）和《污染源统一监测分析方法（废气部分）》（〔82〕城环监字第66号）的规定设置。环境保护图形标志牌设在排气筒附近地面醒目处。</w:t>
            </w:r>
          </w:p>
          <w:p w14:paraId="408F6463">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③厂区车间、厂区总排口、贮存场所均分别统一编号，设立标志牌，标志牌按照《环境保护图形标志》固体废物（GB15562.1及GB15562.2）《危险废物识别标志设置技术规范》（HJ 1276—2022）的规定统一定点监制。</w:t>
            </w:r>
          </w:p>
          <w:p w14:paraId="3B8AE245">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eastAsia="zh-CN"/>
              </w:rPr>
              <w:t>三</w:t>
            </w:r>
            <w:r>
              <w:rPr>
                <w:rFonts w:hint="eastAsia"/>
                <w:color w:val="auto"/>
                <w:sz w:val="24"/>
                <w:szCs w:val="24"/>
                <w:highlight w:val="none"/>
              </w:rPr>
              <w:t>）竣工验收</w:t>
            </w:r>
          </w:p>
          <w:p w14:paraId="3613714D">
            <w:pPr>
              <w:adjustRightInd w:val="0"/>
              <w:snapToGrid w:val="0"/>
              <w:spacing w:line="360" w:lineRule="auto"/>
              <w:rPr>
                <w:rFonts w:hint="eastAsia"/>
                <w:color w:val="auto"/>
                <w:kern w:val="2"/>
                <w:sz w:val="24"/>
                <w:szCs w:val="24"/>
                <w:highlight w:val="none"/>
              </w:rPr>
            </w:pPr>
            <w:r>
              <w:rPr>
                <w:rFonts w:hint="eastAsia"/>
                <w:color w:val="auto"/>
                <w:kern w:val="2"/>
                <w:sz w:val="24"/>
                <w:szCs w:val="24"/>
                <w:highlight w:val="none"/>
              </w:rPr>
              <w:t>根据《建设项目环境保护管理条例》（2017修订）和《关于发布&lt;建设项目竣工环境保护验收暂行办法&gt;的公告》（国环规环评（2017）4号），本项目建设单位应依据建设项目竣工环境保护验收技术规范、环评文件及其批复的要求，自主开展环境保护竣工验收相关工作。建设项目配套建设的环境保护设施经验收合格，方可投入生产或者使用，未经验收或者验收不合格的，不得投入生产或者使用。</w:t>
            </w:r>
          </w:p>
          <w:p w14:paraId="476D3EA7">
            <w:pPr>
              <w:adjustRightInd w:val="0"/>
              <w:snapToGrid w:val="0"/>
              <w:spacing w:line="360" w:lineRule="auto"/>
              <w:ind w:firstLine="480" w:firstLineChars="200"/>
              <w:rPr>
                <w:rFonts w:hint="eastAsia" w:eastAsia="宋体"/>
                <w:b/>
                <w:bCs/>
                <w:color w:val="auto"/>
                <w:sz w:val="24"/>
                <w:szCs w:val="24"/>
                <w:highlight w:val="none"/>
                <w:lang w:eastAsia="zh-CN"/>
              </w:rPr>
            </w:pPr>
            <w:r>
              <w:rPr>
                <w:rFonts w:hint="eastAsia"/>
                <w:color w:val="auto"/>
                <w:kern w:val="2"/>
                <w:sz w:val="24"/>
                <w:szCs w:val="24"/>
                <w:highlight w:val="none"/>
                <w:lang w:eastAsia="zh-CN"/>
              </w:rPr>
              <w:t>（</w:t>
            </w:r>
            <w:r>
              <w:rPr>
                <w:rFonts w:hint="eastAsia"/>
                <w:color w:val="auto"/>
                <w:kern w:val="2"/>
                <w:sz w:val="24"/>
                <w:szCs w:val="24"/>
                <w:highlight w:val="none"/>
                <w:lang w:val="en-US" w:eastAsia="zh-CN"/>
              </w:rPr>
              <w:t>四</w:t>
            </w:r>
            <w:r>
              <w:rPr>
                <w:rFonts w:hint="eastAsia"/>
                <w:color w:val="auto"/>
                <w:kern w:val="2"/>
                <w:sz w:val="24"/>
                <w:szCs w:val="24"/>
                <w:highlight w:val="none"/>
                <w:lang w:eastAsia="zh-CN"/>
              </w:rPr>
              <w:t>）</w:t>
            </w:r>
            <w:r>
              <w:rPr>
                <w:rFonts w:hint="eastAsia"/>
                <w:b w:val="0"/>
                <w:bCs w:val="0"/>
                <w:color w:val="auto"/>
                <w:sz w:val="24"/>
                <w:szCs w:val="24"/>
                <w:highlight w:val="none"/>
                <w:lang w:eastAsia="zh-CN"/>
              </w:rPr>
              <w:t>排污许可</w:t>
            </w:r>
          </w:p>
          <w:p w14:paraId="108A69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auto"/>
                <w:sz w:val="24"/>
                <w:szCs w:val="24"/>
                <w:highlight w:val="none"/>
              </w:rPr>
            </w:pPr>
            <w:r>
              <w:rPr>
                <w:rFonts w:hint="eastAsia"/>
                <w:color w:val="auto"/>
                <w:sz w:val="24"/>
                <w:szCs w:val="24"/>
                <w:highlight w:val="none"/>
                <w:lang w:val="en-US" w:eastAsia="zh-CN"/>
              </w:rPr>
              <w:t>本</w:t>
            </w:r>
            <w:r>
              <w:rPr>
                <w:rFonts w:hint="eastAsia"/>
                <w:color w:val="auto"/>
                <w:sz w:val="24"/>
                <w:szCs w:val="24"/>
                <w:highlight w:val="none"/>
              </w:rPr>
              <w:t>项目</w:t>
            </w:r>
            <w:r>
              <w:rPr>
                <w:rFonts w:hint="eastAsia"/>
                <w:color w:val="auto"/>
                <w:sz w:val="24"/>
                <w:szCs w:val="24"/>
                <w:highlight w:val="none"/>
                <w:lang w:eastAsia="zh-CN"/>
              </w:rPr>
              <w:t>为年产100万件光学玻璃项目，</w:t>
            </w:r>
            <w:r>
              <w:rPr>
                <w:rFonts w:hint="eastAsia"/>
                <w:color w:val="auto"/>
                <w:sz w:val="24"/>
                <w:szCs w:val="24"/>
                <w:highlight w:val="none"/>
              </w:rPr>
              <w:t>对照《固定污染源排污许可分类管理名录》（2019 年版）</w:t>
            </w:r>
            <w:r>
              <w:rPr>
                <w:rFonts w:hint="eastAsia"/>
                <w:color w:val="auto"/>
                <w:sz w:val="24"/>
                <w:szCs w:val="24"/>
                <w:highlight w:val="none"/>
                <w:lang w:eastAsia="zh-CN"/>
              </w:rPr>
              <w:t>，</w:t>
            </w:r>
            <w:r>
              <w:rPr>
                <w:rFonts w:hint="eastAsia"/>
                <w:color w:val="auto"/>
                <w:sz w:val="24"/>
                <w:szCs w:val="24"/>
                <w:highlight w:val="none"/>
              </w:rPr>
              <w:t>属于</w:t>
            </w:r>
            <w:r>
              <w:rPr>
                <w:rFonts w:hint="eastAsia"/>
                <w:color w:val="auto"/>
                <w:sz w:val="24"/>
                <w:szCs w:val="24"/>
                <w:highlight w:val="none"/>
                <w:lang w:eastAsia="zh-CN"/>
              </w:rPr>
              <w:t>二十五</w:t>
            </w:r>
            <w:r>
              <w:rPr>
                <w:rFonts w:hint="eastAsia"/>
                <w:color w:val="auto"/>
                <w:sz w:val="24"/>
                <w:szCs w:val="24"/>
                <w:highlight w:val="none"/>
              </w:rPr>
              <w:t>、</w:t>
            </w:r>
            <w:r>
              <w:rPr>
                <w:rFonts w:hint="eastAsia"/>
                <w:color w:val="auto"/>
                <w:sz w:val="24"/>
                <w:szCs w:val="24"/>
                <w:highlight w:val="none"/>
                <w:lang w:eastAsia="zh-CN"/>
              </w:rPr>
              <w:t>非金属矿物业</w:t>
            </w:r>
            <w:r>
              <w:rPr>
                <w:rFonts w:hint="eastAsia"/>
                <w:color w:val="auto"/>
                <w:sz w:val="24"/>
                <w:szCs w:val="24"/>
                <w:highlight w:val="none"/>
                <w:lang w:val="en-US" w:eastAsia="zh-CN"/>
              </w:rPr>
              <w:t>30</w:t>
            </w:r>
            <w:r>
              <w:rPr>
                <w:rFonts w:hint="eastAsia"/>
                <w:color w:val="auto"/>
                <w:sz w:val="24"/>
                <w:szCs w:val="24"/>
                <w:highlight w:val="none"/>
              </w:rPr>
              <w:t>—</w:t>
            </w:r>
            <w:r>
              <w:rPr>
                <w:rFonts w:hint="eastAsia"/>
                <w:color w:val="auto"/>
                <w:sz w:val="24"/>
                <w:szCs w:val="24"/>
                <w:highlight w:val="none"/>
                <w:lang w:val="en-US" w:eastAsia="zh-CN"/>
              </w:rPr>
              <w:t>66</w:t>
            </w:r>
            <w:r>
              <w:rPr>
                <w:rFonts w:hint="eastAsia"/>
                <w:color w:val="auto"/>
                <w:sz w:val="24"/>
                <w:szCs w:val="24"/>
                <w:highlight w:val="none"/>
              </w:rPr>
              <w:t>、</w:t>
            </w:r>
            <w:r>
              <w:rPr>
                <w:rFonts w:hint="eastAsia"/>
                <w:color w:val="auto"/>
                <w:sz w:val="24"/>
                <w:szCs w:val="24"/>
                <w:highlight w:val="none"/>
                <w:lang w:eastAsia="zh-CN"/>
              </w:rPr>
              <w:t>玻璃制品制造</w:t>
            </w:r>
            <w:r>
              <w:rPr>
                <w:rFonts w:hint="eastAsia"/>
                <w:color w:val="auto"/>
                <w:sz w:val="24"/>
                <w:szCs w:val="24"/>
                <w:highlight w:val="none"/>
              </w:rPr>
              <w:t>—其他</w:t>
            </w:r>
            <w:r>
              <w:rPr>
                <w:rFonts w:hint="eastAsia"/>
                <w:color w:val="auto"/>
                <w:sz w:val="24"/>
                <w:szCs w:val="24"/>
                <w:highlight w:val="none"/>
                <w:lang w:eastAsia="zh-CN"/>
              </w:rPr>
              <w:t>，属于登记管理，待项目建设完成后，企业应及时</w:t>
            </w:r>
            <w:r>
              <w:rPr>
                <w:rFonts w:hint="eastAsia"/>
                <w:color w:val="auto"/>
                <w:sz w:val="24"/>
                <w:szCs w:val="24"/>
                <w:highlight w:val="none"/>
                <w:lang w:val="en-US" w:eastAsia="zh-CN"/>
              </w:rPr>
              <w:t>填报</w:t>
            </w:r>
            <w:r>
              <w:rPr>
                <w:rFonts w:hint="eastAsia"/>
                <w:color w:val="auto"/>
                <w:sz w:val="24"/>
                <w:szCs w:val="24"/>
                <w:highlight w:val="none"/>
                <w:lang w:eastAsia="zh-CN"/>
              </w:rPr>
              <w:t>排污许可登记，并规范排污口设置，强化环境管理，按照环保要求落实各项环保措施，确保污染物稳定达标排放和妥善处置。</w:t>
            </w:r>
          </w:p>
        </w:tc>
      </w:tr>
    </w:tbl>
    <w:p w14:paraId="24826E6D">
      <w:pPr>
        <w:pStyle w:val="33"/>
        <w:spacing w:before="0" w:beforeAutospacing="0" w:after="0" w:afterAutospacing="0"/>
        <w:jc w:val="center"/>
        <w:outlineLvl w:val="0"/>
        <w:rPr>
          <w:rFonts w:ascii="Times New Roman" w:hAnsi="Times New Roman" w:eastAsiaTheme="minorEastAsia"/>
          <w:snapToGrid w:val="0"/>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34AC95A">
      <w:pPr>
        <w:pStyle w:val="33"/>
        <w:spacing w:before="0" w:beforeAutospacing="0" w:after="0" w:afterAutospacing="0"/>
        <w:jc w:val="center"/>
        <w:outlineLvl w:val="0"/>
        <w:rPr>
          <w:rFonts w:ascii="Times New Roman" w:hAnsi="Times New Roman" w:eastAsiaTheme="minorEastAsia"/>
          <w:snapToGrid w:val="0"/>
          <w:color w:val="auto"/>
          <w:sz w:val="30"/>
          <w:szCs w:val="30"/>
          <w:highlight w:val="none"/>
        </w:rPr>
      </w:pPr>
      <w:bookmarkStart w:id="22" w:name="_Toc28755"/>
      <w:r>
        <w:rPr>
          <w:rFonts w:ascii="Times New Roman" w:hAnsi="Times New Roman" w:eastAsiaTheme="minorEastAsia"/>
          <w:b/>
          <w:snapToGrid w:val="0"/>
          <w:color w:val="auto"/>
          <w:sz w:val="30"/>
          <w:szCs w:val="30"/>
          <w:highlight w:val="none"/>
        </w:rPr>
        <w:t>六、结论</w:t>
      </w:r>
      <w:bookmarkEnd w:id="22"/>
    </w:p>
    <w:tbl>
      <w:tblPr>
        <w:tblStyle w:val="37"/>
        <w:tblW w:w="0" w:type="auto"/>
        <w:jc w:val="center"/>
        <w:tblBorders>
          <w:top w:val="single" w:color="auto" w:sz="4"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865"/>
      </w:tblGrid>
      <w:tr w14:paraId="60B2107A">
        <w:tblPrEx>
          <w:tblBorders>
            <w:top w:val="single" w:color="auto" w:sz="4"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1991" w:hRule="atLeast"/>
          <w:jc w:val="center"/>
        </w:trPr>
        <w:tc>
          <w:tcPr>
            <w:tcW w:w="8865" w:type="dxa"/>
          </w:tcPr>
          <w:p w14:paraId="68672154">
            <w:pPr>
              <w:adjustRightInd w:val="0"/>
              <w:snapToGrid w:val="0"/>
              <w:spacing w:line="360" w:lineRule="auto"/>
              <w:ind w:firstLine="480" w:firstLineChars="200"/>
              <w:rPr>
                <w:rFonts w:eastAsiaTheme="minorEastAsia"/>
                <w:b/>
                <w:color w:val="auto"/>
                <w:sz w:val="24"/>
                <w:highlight w:val="none"/>
              </w:rPr>
            </w:pPr>
            <w:r>
              <w:rPr>
                <w:rFonts w:hint="eastAsia"/>
                <w:color w:val="auto"/>
                <w:sz w:val="24"/>
                <w:highlight w:val="none"/>
                <w:lang w:val="en-US" w:eastAsia="zh-CN"/>
              </w:rPr>
              <w:t>本项目符合国家及地方产业政策，地址选择符合用地规划要求；项目生产过程中产生的污染在采取有效的治理措施之后，对周围环境影响较小，不会改变当地环境质量现状；同时本项目对周边环境产生的影响较小，事故风险水平可被接受。因此，从环保的角度出发，该项目在坚持“三同时”原则并按照本报告中提出的各项环保措施治理后环境影响是可行的。</w:t>
            </w:r>
          </w:p>
          <w:p w14:paraId="502BA39A">
            <w:pPr>
              <w:adjustRightInd w:val="0"/>
              <w:snapToGrid w:val="0"/>
              <w:spacing w:line="360" w:lineRule="auto"/>
              <w:ind w:firstLine="482" w:firstLineChars="200"/>
              <w:rPr>
                <w:rFonts w:eastAsiaTheme="minorEastAsia"/>
                <w:b/>
                <w:color w:val="auto"/>
                <w:sz w:val="24"/>
                <w:highlight w:val="none"/>
              </w:rPr>
            </w:pPr>
          </w:p>
          <w:p w14:paraId="2FF69BB8">
            <w:pPr>
              <w:adjustRightInd w:val="0"/>
              <w:snapToGrid w:val="0"/>
              <w:spacing w:line="360" w:lineRule="auto"/>
              <w:ind w:firstLine="482" w:firstLineChars="200"/>
              <w:rPr>
                <w:rFonts w:eastAsiaTheme="minorEastAsia"/>
                <w:b/>
                <w:color w:val="auto"/>
                <w:sz w:val="24"/>
                <w:highlight w:val="none"/>
              </w:rPr>
            </w:pPr>
          </w:p>
          <w:p w14:paraId="09B4BBBC">
            <w:pPr>
              <w:adjustRightInd w:val="0"/>
              <w:snapToGrid w:val="0"/>
              <w:spacing w:line="360" w:lineRule="auto"/>
              <w:ind w:firstLine="482" w:firstLineChars="200"/>
              <w:rPr>
                <w:rFonts w:eastAsiaTheme="minorEastAsia"/>
                <w:b/>
                <w:color w:val="auto"/>
                <w:sz w:val="24"/>
                <w:highlight w:val="none"/>
              </w:rPr>
            </w:pPr>
          </w:p>
          <w:p w14:paraId="4593F89C">
            <w:pPr>
              <w:adjustRightInd w:val="0"/>
              <w:snapToGrid w:val="0"/>
              <w:spacing w:line="360" w:lineRule="auto"/>
              <w:ind w:firstLine="482" w:firstLineChars="200"/>
              <w:rPr>
                <w:rFonts w:eastAsiaTheme="minorEastAsia"/>
                <w:b/>
                <w:color w:val="auto"/>
                <w:sz w:val="24"/>
                <w:highlight w:val="none"/>
              </w:rPr>
            </w:pPr>
          </w:p>
          <w:p w14:paraId="45F37B55">
            <w:pPr>
              <w:adjustRightInd w:val="0"/>
              <w:snapToGrid w:val="0"/>
              <w:spacing w:line="360" w:lineRule="auto"/>
              <w:ind w:firstLine="482" w:firstLineChars="200"/>
              <w:rPr>
                <w:rFonts w:eastAsiaTheme="minorEastAsia"/>
                <w:b/>
                <w:color w:val="auto"/>
                <w:sz w:val="24"/>
                <w:highlight w:val="none"/>
              </w:rPr>
            </w:pPr>
          </w:p>
          <w:p w14:paraId="6D9723C5">
            <w:pPr>
              <w:adjustRightInd w:val="0"/>
              <w:snapToGrid w:val="0"/>
              <w:spacing w:line="360" w:lineRule="auto"/>
              <w:ind w:firstLine="482" w:firstLineChars="200"/>
              <w:rPr>
                <w:rFonts w:eastAsiaTheme="minorEastAsia"/>
                <w:b/>
                <w:color w:val="auto"/>
                <w:sz w:val="24"/>
                <w:highlight w:val="none"/>
              </w:rPr>
            </w:pPr>
          </w:p>
          <w:p w14:paraId="339E486E">
            <w:pPr>
              <w:adjustRightInd w:val="0"/>
              <w:snapToGrid w:val="0"/>
              <w:spacing w:line="360" w:lineRule="auto"/>
              <w:ind w:firstLine="482" w:firstLineChars="200"/>
              <w:rPr>
                <w:rFonts w:eastAsiaTheme="minorEastAsia"/>
                <w:b/>
                <w:color w:val="auto"/>
                <w:sz w:val="24"/>
                <w:highlight w:val="none"/>
              </w:rPr>
            </w:pPr>
          </w:p>
          <w:p w14:paraId="00FA2CA8">
            <w:pPr>
              <w:adjustRightInd w:val="0"/>
              <w:snapToGrid w:val="0"/>
              <w:spacing w:line="360" w:lineRule="auto"/>
              <w:ind w:firstLine="482" w:firstLineChars="200"/>
              <w:rPr>
                <w:rFonts w:eastAsiaTheme="minorEastAsia"/>
                <w:b/>
                <w:color w:val="auto"/>
                <w:sz w:val="24"/>
                <w:highlight w:val="none"/>
              </w:rPr>
            </w:pPr>
          </w:p>
          <w:p w14:paraId="4C604ED8">
            <w:pPr>
              <w:adjustRightInd w:val="0"/>
              <w:snapToGrid w:val="0"/>
              <w:spacing w:line="360" w:lineRule="auto"/>
              <w:ind w:firstLine="482" w:firstLineChars="200"/>
              <w:rPr>
                <w:rFonts w:eastAsiaTheme="minorEastAsia"/>
                <w:b/>
                <w:color w:val="auto"/>
                <w:sz w:val="24"/>
                <w:highlight w:val="none"/>
              </w:rPr>
            </w:pPr>
          </w:p>
          <w:p w14:paraId="05AAEC76">
            <w:pPr>
              <w:adjustRightInd w:val="0"/>
              <w:snapToGrid w:val="0"/>
              <w:spacing w:line="360" w:lineRule="auto"/>
              <w:ind w:firstLine="482" w:firstLineChars="200"/>
              <w:rPr>
                <w:rFonts w:eastAsiaTheme="minorEastAsia"/>
                <w:b/>
                <w:color w:val="auto"/>
                <w:sz w:val="24"/>
                <w:highlight w:val="none"/>
              </w:rPr>
            </w:pPr>
          </w:p>
          <w:p w14:paraId="5BBCF22C">
            <w:pPr>
              <w:adjustRightInd w:val="0"/>
              <w:snapToGrid w:val="0"/>
              <w:spacing w:line="360" w:lineRule="auto"/>
              <w:ind w:firstLine="482" w:firstLineChars="200"/>
              <w:rPr>
                <w:rFonts w:eastAsiaTheme="minorEastAsia"/>
                <w:b/>
                <w:color w:val="auto"/>
                <w:sz w:val="24"/>
                <w:highlight w:val="none"/>
              </w:rPr>
            </w:pPr>
          </w:p>
          <w:p w14:paraId="4CDF4215">
            <w:pPr>
              <w:adjustRightInd w:val="0"/>
              <w:snapToGrid w:val="0"/>
              <w:spacing w:line="360" w:lineRule="auto"/>
              <w:ind w:firstLine="482" w:firstLineChars="200"/>
              <w:rPr>
                <w:rFonts w:eastAsiaTheme="minorEastAsia"/>
                <w:b/>
                <w:color w:val="auto"/>
                <w:sz w:val="24"/>
                <w:highlight w:val="none"/>
              </w:rPr>
            </w:pPr>
          </w:p>
          <w:p w14:paraId="667037BA">
            <w:pPr>
              <w:adjustRightInd w:val="0"/>
              <w:snapToGrid w:val="0"/>
              <w:spacing w:line="360" w:lineRule="auto"/>
              <w:ind w:firstLine="480" w:firstLineChars="200"/>
              <w:rPr>
                <w:rFonts w:eastAsiaTheme="minorEastAsia"/>
                <w:color w:val="auto"/>
                <w:sz w:val="24"/>
                <w:highlight w:val="none"/>
              </w:rPr>
            </w:pPr>
          </w:p>
        </w:tc>
      </w:tr>
    </w:tbl>
    <w:p w14:paraId="79F4A338">
      <w:pPr>
        <w:rPr>
          <w:rFonts w:eastAsiaTheme="minorEastAsia"/>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F51E2FB">
      <w:pPr>
        <w:pStyle w:val="33"/>
        <w:adjustRightInd w:val="0"/>
        <w:snapToGrid w:val="0"/>
        <w:spacing w:before="0" w:beforeAutospacing="0" w:after="0" w:afterAutospacing="0"/>
        <w:outlineLvl w:val="0"/>
        <w:rPr>
          <w:rFonts w:ascii="Times New Roman" w:hAnsi="Times New Roman" w:eastAsiaTheme="minorEastAsia"/>
          <w:snapToGrid w:val="0"/>
          <w:color w:val="auto"/>
          <w:sz w:val="32"/>
          <w:szCs w:val="32"/>
          <w:highlight w:val="none"/>
        </w:rPr>
      </w:pPr>
      <w:bookmarkStart w:id="23" w:name="_Toc27882"/>
      <w:r>
        <w:rPr>
          <w:rFonts w:ascii="Times New Roman" w:hAnsi="Times New Roman" w:eastAsiaTheme="minorEastAsia"/>
          <w:snapToGrid w:val="0"/>
          <w:color w:val="auto"/>
          <w:sz w:val="32"/>
          <w:szCs w:val="32"/>
          <w:highlight w:val="none"/>
        </w:rPr>
        <w:t>附表</w:t>
      </w:r>
      <w:bookmarkEnd w:id="23"/>
    </w:p>
    <w:p w14:paraId="02F9C4A3">
      <w:pPr>
        <w:pStyle w:val="33"/>
        <w:spacing w:before="0" w:beforeAutospacing="0" w:after="0" w:afterAutospacing="0"/>
        <w:jc w:val="center"/>
        <w:outlineLvl w:val="0"/>
        <w:rPr>
          <w:rFonts w:ascii="Times New Roman" w:hAnsi="Times New Roman"/>
          <w:b/>
          <w:snapToGrid w:val="0"/>
          <w:color w:val="auto"/>
          <w:sz w:val="44"/>
          <w:szCs w:val="44"/>
          <w:highlight w:val="none"/>
        </w:rPr>
      </w:pPr>
      <w:bookmarkStart w:id="24" w:name="_Toc16471"/>
      <w:r>
        <w:rPr>
          <w:rFonts w:ascii="Times New Roman" w:hAnsi="Times New Roman" w:eastAsiaTheme="minorEastAsia"/>
          <w:b/>
          <w:snapToGrid w:val="0"/>
          <w:color w:val="auto"/>
          <w:sz w:val="44"/>
          <w:szCs w:val="44"/>
          <w:highlight w:val="none"/>
        </w:rPr>
        <w:t>建设项目污染物排放量汇总表</w:t>
      </w:r>
      <w:bookmarkEnd w:id="24"/>
      <w:r>
        <w:rPr>
          <w:rStyle w:val="42"/>
          <w:rFonts w:hint="eastAsia" w:ascii="Times New Roman" w:hAnsi="Times New Roman"/>
          <w:color w:val="auto"/>
          <w:highlight w:val="none"/>
        </w:rPr>
        <w:t xml:space="preserve">  </w:t>
      </w:r>
      <w:r>
        <w:rPr>
          <w:rFonts w:ascii="Times New Roman" w:hAnsi="Times New Roman"/>
          <w:b/>
          <w:bCs/>
          <w:snapToGrid w:val="0"/>
          <w:color w:val="auto"/>
          <w:sz w:val="38"/>
          <w:szCs w:val="38"/>
          <w:highlight w:val="none"/>
        </w:rPr>
        <w:t>（单位：t/a）</w:t>
      </w:r>
    </w:p>
    <w:tbl>
      <w:tblPr>
        <w:tblStyle w:val="37"/>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272"/>
        <w:gridCol w:w="826"/>
        <w:gridCol w:w="834"/>
        <w:gridCol w:w="1666"/>
        <w:gridCol w:w="1245"/>
        <w:gridCol w:w="1666"/>
        <w:gridCol w:w="1526"/>
        <w:gridCol w:w="1723"/>
        <w:gridCol w:w="1747"/>
        <w:gridCol w:w="987"/>
      </w:tblGrid>
      <w:tr w14:paraId="5C8251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71" w:type="pct"/>
            <w:tcBorders>
              <w:tl2br w:val="single" w:color="auto" w:sz="4" w:space="0"/>
            </w:tcBorders>
            <w:tcMar>
              <w:left w:w="28" w:type="dxa"/>
              <w:right w:w="28" w:type="dxa"/>
            </w:tcMar>
            <w:vAlign w:val="center"/>
          </w:tcPr>
          <w:p w14:paraId="0247DD6C">
            <w:pPr>
              <w:pStyle w:val="62"/>
              <w:keepNext w:val="0"/>
              <w:keepLines w:val="0"/>
              <w:pageBreakBefore w:val="0"/>
              <w:kinsoku/>
              <w:wordWrap/>
              <w:overflowPunct/>
              <w:topLinePunct w:val="0"/>
              <w:autoSpaceDE/>
              <w:autoSpaceDN/>
              <w:bidi w:val="0"/>
              <w:adjustRightInd/>
              <w:snapToGrid/>
              <w:spacing w:before="0" w:beforeLines="0" w:afterLines="0" w:line="240" w:lineRule="auto"/>
              <w:jc w:val="right"/>
              <w:textAlignment w:val="auto"/>
              <w:rPr>
                <w:rFonts w:ascii="Times New Roman" w:eastAsiaTheme="minorEastAsia"/>
                <w:snapToGrid w:val="0"/>
                <w:color w:val="auto"/>
                <w:spacing w:val="-6"/>
                <w:kern w:val="21"/>
                <w:szCs w:val="21"/>
                <w:highlight w:val="none"/>
              </w:rPr>
            </w:pPr>
            <w:r>
              <w:rPr>
                <w:rFonts w:ascii="Times New Roman" w:eastAsiaTheme="minorEastAsia"/>
                <w:snapToGrid w:val="0"/>
                <w:color w:val="auto"/>
                <w:spacing w:val="-6"/>
                <w:kern w:val="21"/>
                <w:szCs w:val="21"/>
                <w:highlight w:val="none"/>
              </w:rPr>
              <w:t>项目</w:t>
            </w:r>
          </w:p>
          <w:p w14:paraId="3BF93A74">
            <w:pPr>
              <w:pStyle w:val="62"/>
              <w:keepNext w:val="0"/>
              <w:keepLines w:val="0"/>
              <w:pageBreakBefore w:val="0"/>
              <w:kinsoku/>
              <w:wordWrap/>
              <w:overflowPunct/>
              <w:topLinePunct w:val="0"/>
              <w:autoSpaceDE/>
              <w:autoSpaceDN/>
              <w:bidi w:val="0"/>
              <w:adjustRightInd/>
              <w:snapToGrid/>
              <w:spacing w:before="0" w:beforeLines="0" w:afterLines="0" w:line="240" w:lineRule="auto"/>
              <w:jc w:val="left"/>
              <w:textAlignment w:val="auto"/>
              <w:rPr>
                <w:rFonts w:ascii="Times New Roman" w:eastAsiaTheme="minorEastAsia"/>
                <w:snapToGrid w:val="0"/>
                <w:color w:val="auto"/>
                <w:spacing w:val="-6"/>
                <w:kern w:val="21"/>
                <w:szCs w:val="21"/>
                <w:highlight w:val="none"/>
              </w:rPr>
            </w:pPr>
            <w:r>
              <w:rPr>
                <w:rFonts w:ascii="Times New Roman" w:eastAsiaTheme="minorEastAsia"/>
                <w:snapToGrid w:val="0"/>
                <w:color w:val="auto"/>
                <w:spacing w:val="-6"/>
                <w:kern w:val="21"/>
                <w:szCs w:val="21"/>
                <w:highlight w:val="none"/>
              </w:rPr>
              <w:t>分类</w:t>
            </w:r>
          </w:p>
        </w:tc>
        <w:tc>
          <w:tcPr>
            <w:tcW w:w="615" w:type="pct"/>
            <w:gridSpan w:val="2"/>
            <w:tcMar>
              <w:left w:w="28" w:type="dxa"/>
              <w:right w:w="28" w:type="dxa"/>
            </w:tcMar>
            <w:vAlign w:val="center"/>
          </w:tcPr>
          <w:p w14:paraId="61690A6C">
            <w:pPr>
              <w:pStyle w:val="62"/>
              <w:keepNext w:val="0"/>
              <w:keepLines w:val="0"/>
              <w:pageBreakBefore w:val="0"/>
              <w:widowControl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spacing w:val="-6"/>
                <w:kern w:val="21"/>
                <w:szCs w:val="21"/>
                <w:highlight w:val="none"/>
              </w:rPr>
            </w:pPr>
            <w:r>
              <w:rPr>
                <w:rFonts w:ascii="Times New Roman" w:eastAsiaTheme="minorEastAsia"/>
                <w:snapToGrid w:val="0"/>
                <w:color w:val="auto"/>
                <w:spacing w:val="-6"/>
                <w:kern w:val="21"/>
                <w:szCs w:val="21"/>
                <w:highlight w:val="none"/>
              </w:rPr>
              <w:t>污染物名称</w:t>
            </w:r>
          </w:p>
        </w:tc>
        <w:tc>
          <w:tcPr>
            <w:tcW w:w="617" w:type="pct"/>
            <w:tcMar>
              <w:left w:w="28" w:type="dxa"/>
              <w:right w:w="28" w:type="dxa"/>
            </w:tcMar>
            <w:vAlign w:val="center"/>
          </w:tcPr>
          <w:p w14:paraId="343A8442">
            <w:pPr>
              <w:pStyle w:val="62"/>
              <w:keepNext w:val="0"/>
              <w:keepLines w:val="0"/>
              <w:pageBreakBefore w:val="0"/>
              <w:widowControl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spacing w:val="-6"/>
                <w:kern w:val="21"/>
                <w:szCs w:val="21"/>
                <w:highlight w:val="none"/>
              </w:rPr>
            </w:pPr>
            <w:r>
              <w:rPr>
                <w:rFonts w:ascii="Times New Roman" w:eastAsiaTheme="minorEastAsia"/>
                <w:snapToGrid w:val="0"/>
                <w:color w:val="auto"/>
                <w:spacing w:val="-6"/>
                <w:kern w:val="21"/>
                <w:szCs w:val="21"/>
                <w:highlight w:val="none"/>
              </w:rPr>
              <w:t>现有工程</w:t>
            </w:r>
          </w:p>
          <w:p w14:paraId="52CE837E">
            <w:pPr>
              <w:pStyle w:val="62"/>
              <w:keepNext w:val="0"/>
              <w:keepLines w:val="0"/>
              <w:pageBreakBefore w:val="0"/>
              <w:widowControl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spacing w:val="-6"/>
                <w:kern w:val="21"/>
                <w:szCs w:val="21"/>
                <w:highlight w:val="none"/>
              </w:rPr>
            </w:pPr>
            <w:r>
              <w:rPr>
                <w:rFonts w:ascii="Times New Roman" w:eastAsiaTheme="minorEastAsia"/>
                <w:snapToGrid w:val="0"/>
                <w:color w:val="auto"/>
                <w:spacing w:val="-6"/>
                <w:kern w:val="21"/>
                <w:szCs w:val="21"/>
                <w:highlight w:val="none"/>
              </w:rPr>
              <w:t>排放量（固体废物产生量）</w:t>
            </w:r>
            <w:r>
              <w:rPr>
                <w:rFonts w:ascii="Times New Roman" w:eastAsiaTheme="minorEastAsia"/>
                <w:snapToGrid w:val="0"/>
                <w:color w:val="auto"/>
                <w:spacing w:val="-6"/>
                <w:kern w:val="21"/>
                <w:szCs w:val="21"/>
                <w:highlight w:val="none"/>
              </w:rPr>
              <w:fldChar w:fldCharType="begin"/>
            </w:r>
            <w:r>
              <w:rPr>
                <w:rFonts w:ascii="Times New Roman" w:eastAsiaTheme="minorEastAsia"/>
                <w:snapToGrid w:val="0"/>
                <w:color w:val="auto"/>
                <w:spacing w:val="-6"/>
                <w:kern w:val="21"/>
                <w:szCs w:val="21"/>
                <w:highlight w:val="none"/>
              </w:rPr>
              <w:instrText xml:space="preserve"> = 1 \* GB3 \* MERGEFORMAT </w:instrText>
            </w:r>
            <w:r>
              <w:rPr>
                <w:rFonts w:ascii="Times New Roman" w:eastAsiaTheme="minorEastAsia"/>
                <w:snapToGrid w:val="0"/>
                <w:color w:val="auto"/>
                <w:spacing w:val="-6"/>
                <w:kern w:val="21"/>
                <w:szCs w:val="21"/>
                <w:highlight w:val="none"/>
              </w:rPr>
              <w:fldChar w:fldCharType="separate"/>
            </w:r>
            <w:r>
              <w:rPr>
                <w:rFonts w:ascii="Times New Roman" w:eastAsiaTheme="minorEastAsia"/>
                <w:color w:val="auto"/>
                <w:kern w:val="2"/>
                <w:szCs w:val="21"/>
                <w:highlight w:val="none"/>
              </w:rPr>
              <w:t>①</w:t>
            </w:r>
            <w:r>
              <w:rPr>
                <w:rFonts w:ascii="Times New Roman" w:eastAsiaTheme="minorEastAsia"/>
                <w:snapToGrid w:val="0"/>
                <w:color w:val="auto"/>
                <w:spacing w:val="-6"/>
                <w:kern w:val="21"/>
                <w:szCs w:val="21"/>
                <w:highlight w:val="none"/>
              </w:rPr>
              <w:fldChar w:fldCharType="end"/>
            </w:r>
          </w:p>
        </w:tc>
        <w:tc>
          <w:tcPr>
            <w:tcW w:w="461" w:type="pct"/>
            <w:tcMar>
              <w:left w:w="28" w:type="dxa"/>
              <w:right w:w="28" w:type="dxa"/>
            </w:tcMar>
            <w:vAlign w:val="center"/>
          </w:tcPr>
          <w:p w14:paraId="37BC828D">
            <w:pPr>
              <w:pStyle w:val="62"/>
              <w:keepNext w:val="0"/>
              <w:keepLines w:val="0"/>
              <w:pageBreakBefore w:val="0"/>
              <w:widowControl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spacing w:val="-6"/>
                <w:kern w:val="21"/>
                <w:szCs w:val="21"/>
                <w:highlight w:val="none"/>
              </w:rPr>
            </w:pPr>
            <w:r>
              <w:rPr>
                <w:rFonts w:ascii="Times New Roman" w:eastAsiaTheme="minorEastAsia"/>
                <w:snapToGrid w:val="0"/>
                <w:color w:val="auto"/>
                <w:spacing w:val="-6"/>
                <w:kern w:val="21"/>
                <w:szCs w:val="21"/>
                <w:highlight w:val="none"/>
              </w:rPr>
              <w:t>现有工程</w:t>
            </w:r>
          </w:p>
          <w:p w14:paraId="378C013E">
            <w:pPr>
              <w:pStyle w:val="62"/>
              <w:keepNext w:val="0"/>
              <w:keepLines w:val="0"/>
              <w:pageBreakBefore w:val="0"/>
              <w:widowControl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spacing w:val="-6"/>
                <w:kern w:val="21"/>
                <w:szCs w:val="21"/>
                <w:highlight w:val="none"/>
              </w:rPr>
            </w:pPr>
            <w:r>
              <w:rPr>
                <w:rFonts w:ascii="Times New Roman" w:eastAsiaTheme="minorEastAsia"/>
                <w:snapToGrid w:val="0"/>
                <w:color w:val="auto"/>
                <w:spacing w:val="-6"/>
                <w:kern w:val="21"/>
                <w:szCs w:val="21"/>
                <w:highlight w:val="none"/>
              </w:rPr>
              <w:t>许可排放量</w:t>
            </w:r>
          </w:p>
          <w:p w14:paraId="7F878C0C">
            <w:pPr>
              <w:pStyle w:val="62"/>
              <w:keepNext w:val="0"/>
              <w:keepLines w:val="0"/>
              <w:pageBreakBefore w:val="0"/>
              <w:widowControl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spacing w:val="-6"/>
                <w:kern w:val="21"/>
                <w:szCs w:val="21"/>
                <w:highlight w:val="none"/>
              </w:rPr>
            </w:pPr>
            <w:r>
              <w:rPr>
                <w:rFonts w:ascii="Times New Roman" w:eastAsiaTheme="minorEastAsia"/>
                <w:snapToGrid w:val="0"/>
                <w:color w:val="auto"/>
                <w:spacing w:val="-6"/>
                <w:kern w:val="21"/>
                <w:szCs w:val="21"/>
                <w:highlight w:val="none"/>
              </w:rPr>
              <w:fldChar w:fldCharType="begin"/>
            </w:r>
            <w:r>
              <w:rPr>
                <w:rFonts w:ascii="Times New Roman" w:eastAsiaTheme="minorEastAsia"/>
                <w:snapToGrid w:val="0"/>
                <w:color w:val="auto"/>
                <w:spacing w:val="-6"/>
                <w:kern w:val="21"/>
                <w:szCs w:val="21"/>
                <w:highlight w:val="none"/>
              </w:rPr>
              <w:instrText xml:space="preserve"> = 2 \* GB3 \* MERGEFORMAT </w:instrText>
            </w:r>
            <w:r>
              <w:rPr>
                <w:rFonts w:ascii="Times New Roman" w:eastAsiaTheme="minorEastAsia"/>
                <w:snapToGrid w:val="0"/>
                <w:color w:val="auto"/>
                <w:spacing w:val="-6"/>
                <w:kern w:val="21"/>
                <w:szCs w:val="21"/>
                <w:highlight w:val="none"/>
              </w:rPr>
              <w:fldChar w:fldCharType="separate"/>
            </w:r>
            <w:r>
              <w:rPr>
                <w:rFonts w:ascii="Times New Roman" w:eastAsiaTheme="minorEastAsia"/>
                <w:snapToGrid w:val="0"/>
                <w:color w:val="auto"/>
                <w:spacing w:val="-6"/>
                <w:kern w:val="21"/>
                <w:szCs w:val="21"/>
                <w:highlight w:val="none"/>
              </w:rPr>
              <w:t>②</w:t>
            </w:r>
            <w:r>
              <w:rPr>
                <w:rFonts w:ascii="Times New Roman" w:eastAsiaTheme="minorEastAsia"/>
                <w:snapToGrid w:val="0"/>
                <w:color w:val="auto"/>
                <w:spacing w:val="-6"/>
                <w:kern w:val="21"/>
                <w:szCs w:val="21"/>
                <w:highlight w:val="none"/>
              </w:rPr>
              <w:fldChar w:fldCharType="end"/>
            </w:r>
          </w:p>
        </w:tc>
        <w:tc>
          <w:tcPr>
            <w:tcW w:w="617" w:type="pct"/>
            <w:tcMar>
              <w:left w:w="28" w:type="dxa"/>
              <w:right w:w="28" w:type="dxa"/>
            </w:tcMar>
            <w:vAlign w:val="center"/>
          </w:tcPr>
          <w:p w14:paraId="4368A2DE">
            <w:pPr>
              <w:pStyle w:val="62"/>
              <w:keepNext w:val="0"/>
              <w:keepLines w:val="0"/>
              <w:pageBreakBefore w:val="0"/>
              <w:widowControl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spacing w:val="-6"/>
                <w:kern w:val="21"/>
                <w:szCs w:val="21"/>
                <w:highlight w:val="none"/>
              </w:rPr>
            </w:pPr>
            <w:r>
              <w:rPr>
                <w:rFonts w:ascii="Times New Roman" w:eastAsiaTheme="minorEastAsia"/>
                <w:snapToGrid w:val="0"/>
                <w:color w:val="auto"/>
                <w:spacing w:val="-6"/>
                <w:kern w:val="21"/>
                <w:szCs w:val="21"/>
                <w:highlight w:val="none"/>
              </w:rPr>
              <w:t>在建工程</w:t>
            </w:r>
          </w:p>
          <w:p w14:paraId="6726AAFE">
            <w:pPr>
              <w:pStyle w:val="62"/>
              <w:keepNext w:val="0"/>
              <w:keepLines w:val="0"/>
              <w:pageBreakBefore w:val="0"/>
              <w:widowControl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spacing w:val="-6"/>
                <w:kern w:val="21"/>
                <w:szCs w:val="21"/>
                <w:highlight w:val="none"/>
              </w:rPr>
            </w:pPr>
            <w:r>
              <w:rPr>
                <w:rFonts w:ascii="Times New Roman" w:eastAsiaTheme="minorEastAsia"/>
                <w:snapToGrid w:val="0"/>
                <w:color w:val="auto"/>
                <w:spacing w:val="-6"/>
                <w:kern w:val="21"/>
                <w:szCs w:val="21"/>
                <w:highlight w:val="none"/>
              </w:rPr>
              <w:t>排放量（固体废物产生量）</w:t>
            </w:r>
            <w:r>
              <w:rPr>
                <w:rFonts w:ascii="Times New Roman" w:eastAsiaTheme="minorEastAsia"/>
                <w:snapToGrid w:val="0"/>
                <w:color w:val="auto"/>
                <w:spacing w:val="-6"/>
                <w:kern w:val="21"/>
                <w:szCs w:val="21"/>
                <w:highlight w:val="none"/>
              </w:rPr>
              <w:fldChar w:fldCharType="begin"/>
            </w:r>
            <w:r>
              <w:rPr>
                <w:rFonts w:ascii="Times New Roman" w:eastAsiaTheme="minorEastAsia"/>
                <w:snapToGrid w:val="0"/>
                <w:color w:val="auto"/>
                <w:spacing w:val="-6"/>
                <w:kern w:val="21"/>
                <w:szCs w:val="21"/>
                <w:highlight w:val="none"/>
              </w:rPr>
              <w:instrText xml:space="preserve"> = 3 \* GB3 \* MERGEFORMAT </w:instrText>
            </w:r>
            <w:r>
              <w:rPr>
                <w:rFonts w:ascii="Times New Roman" w:eastAsiaTheme="minorEastAsia"/>
                <w:snapToGrid w:val="0"/>
                <w:color w:val="auto"/>
                <w:spacing w:val="-6"/>
                <w:kern w:val="21"/>
                <w:szCs w:val="21"/>
                <w:highlight w:val="none"/>
              </w:rPr>
              <w:fldChar w:fldCharType="separate"/>
            </w:r>
            <w:r>
              <w:rPr>
                <w:rFonts w:ascii="Times New Roman" w:eastAsiaTheme="minorEastAsia"/>
                <w:color w:val="auto"/>
                <w:kern w:val="2"/>
                <w:szCs w:val="21"/>
                <w:highlight w:val="none"/>
              </w:rPr>
              <w:t>③</w:t>
            </w:r>
            <w:r>
              <w:rPr>
                <w:rFonts w:ascii="Times New Roman" w:eastAsiaTheme="minorEastAsia"/>
                <w:snapToGrid w:val="0"/>
                <w:color w:val="auto"/>
                <w:spacing w:val="-6"/>
                <w:kern w:val="21"/>
                <w:szCs w:val="21"/>
                <w:highlight w:val="none"/>
              </w:rPr>
              <w:fldChar w:fldCharType="end"/>
            </w:r>
          </w:p>
        </w:tc>
        <w:tc>
          <w:tcPr>
            <w:tcW w:w="565" w:type="pct"/>
            <w:tcMar>
              <w:left w:w="28" w:type="dxa"/>
              <w:right w:w="28" w:type="dxa"/>
            </w:tcMar>
            <w:vAlign w:val="center"/>
          </w:tcPr>
          <w:p w14:paraId="57E35A90">
            <w:pPr>
              <w:pStyle w:val="62"/>
              <w:keepNext w:val="0"/>
              <w:keepLines w:val="0"/>
              <w:pageBreakBefore w:val="0"/>
              <w:widowControl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spacing w:val="-6"/>
                <w:kern w:val="21"/>
                <w:szCs w:val="21"/>
                <w:highlight w:val="none"/>
              </w:rPr>
            </w:pPr>
            <w:r>
              <w:rPr>
                <w:rFonts w:ascii="Times New Roman" w:eastAsiaTheme="minorEastAsia"/>
                <w:snapToGrid w:val="0"/>
                <w:color w:val="auto"/>
                <w:spacing w:val="-6"/>
                <w:kern w:val="21"/>
                <w:szCs w:val="21"/>
                <w:highlight w:val="none"/>
              </w:rPr>
              <w:t>本项目</w:t>
            </w:r>
          </w:p>
          <w:p w14:paraId="758C35AF">
            <w:pPr>
              <w:pStyle w:val="62"/>
              <w:keepNext w:val="0"/>
              <w:keepLines w:val="0"/>
              <w:pageBreakBefore w:val="0"/>
              <w:widowControl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spacing w:val="-6"/>
                <w:kern w:val="21"/>
                <w:szCs w:val="21"/>
                <w:highlight w:val="none"/>
              </w:rPr>
            </w:pPr>
            <w:r>
              <w:rPr>
                <w:rFonts w:ascii="Times New Roman" w:eastAsiaTheme="minorEastAsia"/>
                <w:snapToGrid w:val="0"/>
                <w:color w:val="auto"/>
                <w:spacing w:val="-6"/>
                <w:kern w:val="21"/>
                <w:szCs w:val="21"/>
                <w:highlight w:val="none"/>
              </w:rPr>
              <w:t>排放量（固体废物产生量）</w:t>
            </w:r>
            <w:r>
              <w:rPr>
                <w:rFonts w:ascii="Times New Roman" w:eastAsiaTheme="minorEastAsia"/>
                <w:snapToGrid w:val="0"/>
                <w:color w:val="auto"/>
                <w:spacing w:val="-6"/>
                <w:kern w:val="21"/>
                <w:szCs w:val="21"/>
                <w:highlight w:val="none"/>
              </w:rPr>
              <w:fldChar w:fldCharType="begin"/>
            </w:r>
            <w:r>
              <w:rPr>
                <w:rFonts w:ascii="Times New Roman" w:eastAsiaTheme="minorEastAsia"/>
                <w:snapToGrid w:val="0"/>
                <w:color w:val="auto"/>
                <w:spacing w:val="-6"/>
                <w:kern w:val="21"/>
                <w:szCs w:val="21"/>
                <w:highlight w:val="none"/>
              </w:rPr>
              <w:instrText xml:space="preserve"> = 4 \* GB3 \* MERGEFORMAT </w:instrText>
            </w:r>
            <w:r>
              <w:rPr>
                <w:rFonts w:ascii="Times New Roman" w:eastAsiaTheme="minorEastAsia"/>
                <w:snapToGrid w:val="0"/>
                <w:color w:val="auto"/>
                <w:spacing w:val="-6"/>
                <w:kern w:val="21"/>
                <w:szCs w:val="21"/>
                <w:highlight w:val="none"/>
              </w:rPr>
              <w:fldChar w:fldCharType="separate"/>
            </w:r>
            <w:r>
              <w:rPr>
                <w:rFonts w:ascii="Times New Roman" w:eastAsiaTheme="minorEastAsia"/>
                <w:color w:val="auto"/>
                <w:kern w:val="2"/>
                <w:szCs w:val="21"/>
                <w:highlight w:val="none"/>
              </w:rPr>
              <w:t>④</w:t>
            </w:r>
            <w:r>
              <w:rPr>
                <w:rFonts w:ascii="Times New Roman" w:eastAsiaTheme="minorEastAsia"/>
                <w:snapToGrid w:val="0"/>
                <w:color w:val="auto"/>
                <w:spacing w:val="-6"/>
                <w:kern w:val="21"/>
                <w:szCs w:val="21"/>
                <w:highlight w:val="none"/>
              </w:rPr>
              <w:fldChar w:fldCharType="end"/>
            </w:r>
          </w:p>
        </w:tc>
        <w:tc>
          <w:tcPr>
            <w:tcW w:w="638" w:type="pct"/>
            <w:tcMar>
              <w:left w:w="28" w:type="dxa"/>
              <w:right w:w="28" w:type="dxa"/>
            </w:tcMar>
            <w:vAlign w:val="center"/>
          </w:tcPr>
          <w:p w14:paraId="6E46AF8B">
            <w:pPr>
              <w:pStyle w:val="62"/>
              <w:keepNext w:val="0"/>
              <w:keepLines w:val="0"/>
              <w:pageBreakBefore w:val="0"/>
              <w:widowControl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spacing w:val="-16"/>
                <w:kern w:val="21"/>
                <w:szCs w:val="21"/>
                <w:highlight w:val="none"/>
              </w:rPr>
            </w:pPr>
            <w:r>
              <w:rPr>
                <w:rFonts w:ascii="Times New Roman" w:eastAsiaTheme="minorEastAsia"/>
                <w:snapToGrid w:val="0"/>
                <w:color w:val="auto"/>
                <w:spacing w:val="-16"/>
                <w:kern w:val="21"/>
                <w:szCs w:val="21"/>
                <w:highlight w:val="none"/>
              </w:rPr>
              <w:t>以新带老削减量</w:t>
            </w:r>
          </w:p>
          <w:p w14:paraId="0BD60210">
            <w:pPr>
              <w:pStyle w:val="62"/>
              <w:keepNext w:val="0"/>
              <w:keepLines w:val="0"/>
              <w:pageBreakBefore w:val="0"/>
              <w:widowControl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spacing w:val="-16"/>
                <w:kern w:val="21"/>
                <w:szCs w:val="21"/>
                <w:highlight w:val="none"/>
              </w:rPr>
            </w:pPr>
            <w:r>
              <w:rPr>
                <w:rFonts w:ascii="Times New Roman" w:eastAsiaTheme="minorEastAsia"/>
                <w:snapToGrid w:val="0"/>
                <w:color w:val="auto"/>
                <w:spacing w:val="-16"/>
                <w:kern w:val="21"/>
                <w:szCs w:val="21"/>
                <w:highlight w:val="none"/>
              </w:rPr>
              <w:t>（新建项目不填）</w:t>
            </w:r>
            <w:r>
              <w:rPr>
                <w:rFonts w:ascii="Times New Roman" w:eastAsiaTheme="minorEastAsia"/>
                <w:snapToGrid w:val="0"/>
                <w:color w:val="auto"/>
                <w:spacing w:val="-16"/>
                <w:kern w:val="21"/>
                <w:szCs w:val="21"/>
                <w:highlight w:val="none"/>
              </w:rPr>
              <w:fldChar w:fldCharType="begin"/>
            </w:r>
            <w:r>
              <w:rPr>
                <w:rFonts w:ascii="Times New Roman" w:eastAsiaTheme="minorEastAsia"/>
                <w:snapToGrid w:val="0"/>
                <w:color w:val="auto"/>
                <w:spacing w:val="-16"/>
                <w:kern w:val="21"/>
                <w:szCs w:val="21"/>
                <w:highlight w:val="none"/>
              </w:rPr>
              <w:instrText xml:space="preserve"> = 5 \* GB3 \* MERGEFORMAT </w:instrText>
            </w:r>
            <w:r>
              <w:rPr>
                <w:rFonts w:ascii="Times New Roman" w:eastAsiaTheme="minorEastAsia"/>
                <w:snapToGrid w:val="0"/>
                <w:color w:val="auto"/>
                <w:spacing w:val="-16"/>
                <w:kern w:val="21"/>
                <w:szCs w:val="21"/>
                <w:highlight w:val="none"/>
              </w:rPr>
              <w:fldChar w:fldCharType="separate"/>
            </w:r>
            <w:r>
              <w:rPr>
                <w:rFonts w:ascii="Times New Roman" w:eastAsiaTheme="minorEastAsia"/>
                <w:color w:val="auto"/>
                <w:kern w:val="2"/>
                <w:szCs w:val="21"/>
                <w:highlight w:val="none"/>
              </w:rPr>
              <w:t>⑤</w:t>
            </w:r>
            <w:r>
              <w:rPr>
                <w:rFonts w:ascii="Times New Roman" w:eastAsiaTheme="minorEastAsia"/>
                <w:snapToGrid w:val="0"/>
                <w:color w:val="auto"/>
                <w:spacing w:val="-16"/>
                <w:kern w:val="21"/>
                <w:szCs w:val="21"/>
                <w:highlight w:val="none"/>
              </w:rPr>
              <w:fldChar w:fldCharType="end"/>
            </w:r>
          </w:p>
        </w:tc>
        <w:tc>
          <w:tcPr>
            <w:tcW w:w="647" w:type="pct"/>
            <w:tcMar>
              <w:left w:w="28" w:type="dxa"/>
              <w:right w:w="28" w:type="dxa"/>
            </w:tcMar>
            <w:vAlign w:val="center"/>
          </w:tcPr>
          <w:p w14:paraId="6229BF2E">
            <w:pPr>
              <w:pStyle w:val="62"/>
              <w:keepNext w:val="0"/>
              <w:keepLines w:val="0"/>
              <w:pageBreakBefore w:val="0"/>
              <w:widowControl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spacing w:val="-16"/>
                <w:kern w:val="21"/>
                <w:szCs w:val="21"/>
                <w:highlight w:val="none"/>
              </w:rPr>
            </w:pPr>
            <w:r>
              <w:rPr>
                <w:rFonts w:ascii="Times New Roman" w:eastAsiaTheme="minorEastAsia"/>
                <w:snapToGrid w:val="0"/>
                <w:color w:val="auto"/>
                <w:spacing w:val="-16"/>
                <w:kern w:val="21"/>
                <w:szCs w:val="21"/>
                <w:highlight w:val="none"/>
              </w:rPr>
              <w:t>本项目建成后全厂排放量（固体废物产生量）⑥</w:t>
            </w:r>
          </w:p>
        </w:tc>
        <w:tc>
          <w:tcPr>
            <w:tcW w:w="365" w:type="pct"/>
            <w:tcMar>
              <w:left w:w="28" w:type="dxa"/>
              <w:right w:w="28" w:type="dxa"/>
            </w:tcMar>
            <w:vAlign w:val="center"/>
          </w:tcPr>
          <w:p w14:paraId="23C0C2B0">
            <w:pPr>
              <w:pStyle w:val="62"/>
              <w:keepNext w:val="0"/>
              <w:keepLines w:val="0"/>
              <w:pageBreakBefore w:val="0"/>
              <w:widowControl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spacing w:val="-6"/>
                <w:kern w:val="21"/>
                <w:szCs w:val="21"/>
                <w:highlight w:val="none"/>
              </w:rPr>
            </w:pPr>
            <w:r>
              <w:rPr>
                <w:rFonts w:ascii="Times New Roman" w:eastAsiaTheme="minorEastAsia"/>
                <w:snapToGrid w:val="0"/>
                <w:color w:val="auto"/>
                <w:spacing w:val="-6"/>
                <w:kern w:val="21"/>
                <w:szCs w:val="21"/>
                <w:highlight w:val="none"/>
              </w:rPr>
              <w:t>变化量</w:t>
            </w:r>
          </w:p>
          <w:p w14:paraId="67819EF5">
            <w:pPr>
              <w:pStyle w:val="62"/>
              <w:keepNext w:val="0"/>
              <w:keepLines w:val="0"/>
              <w:pageBreakBefore w:val="0"/>
              <w:widowControl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spacing w:val="-6"/>
                <w:kern w:val="21"/>
                <w:szCs w:val="21"/>
                <w:highlight w:val="none"/>
              </w:rPr>
            </w:pPr>
            <w:r>
              <w:rPr>
                <w:rFonts w:ascii="Times New Roman" w:eastAsiaTheme="minorEastAsia"/>
                <w:snapToGrid w:val="0"/>
                <w:color w:val="auto"/>
                <w:spacing w:val="-6"/>
                <w:kern w:val="21"/>
                <w:szCs w:val="21"/>
                <w:highlight w:val="none"/>
              </w:rPr>
              <w:fldChar w:fldCharType="begin"/>
            </w:r>
            <w:r>
              <w:rPr>
                <w:rFonts w:ascii="Times New Roman" w:eastAsiaTheme="minorEastAsia"/>
                <w:snapToGrid w:val="0"/>
                <w:color w:val="auto"/>
                <w:spacing w:val="-6"/>
                <w:kern w:val="21"/>
                <w:szCs w:val="21"/>
                <w:highlight w:val="none"/>
              </w:rPr>
              <w:instrText xml:space="preserve"> = 7 \* GB3 \* MERGEFORMAT </w:instrText>
            </w:r>
            <w:r>
              <w:rPr>
                <w:rFonts w:ascii="Times New Roman" w:eastAsiaTheme="minorEastAsia"/>
                <w:snapToGrid w:val="0"/>
                <w:color w:val="auto"/>
                <w:spacing w:val="-6"/>
                <w:kern w:val="21"/>
                <w:szCs w:val="21"/>
                <w:highlight w:val="none"/>
              </w:rPr>
              <w:fldChar w:fldCharType="separate"/>
            </w:r>
            <w:r>
              <w:rPr>
                <w:rFonts w:ascii="Times New Roman" w:eastAsiaTheme="minorEastAsia"/>
                <w:color w:val="auto"/>
                <w:kern w:val="2"/>
                <w:szCs w:val="21"/>
                <w:highlight w:val="none"/>
              </w:rPr>
              <w:t>⑦</w:t>
            </w:r>
            <w:r>
              <w:rPr>
                <w:rFonts w:ascii="Times New Roman" w:eastAsiaTheme="minorEastAsia"/>
                <w:snapToGrid w:val="0"/>
                <w:color w:val="auto"/>
                <w:spacing w:val="-6"/>
                <w:kern w:val="21"/>
                <w:szCs w:val="21"/>
                <w:highlight w:val="none"/>
              </w:rPr>
              <w:fldChar w:fldCharType="end"/>
            </w:r>
          </w:p>
        </w:tc>
      </w:tr>
      <w:tr w14:paraId="30CE8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71" w:type="pct"/>
            <w:vAlign w:val="center"/>
          </w:tcPr>
          <w:p w14:paraId="45C7A04A">
            <w:pPr>
              <w:pStyle w:val="62"/>
              <w:keepNext w:val="0"/>
              <w:keepLines w:val="0"/>
              <w:pageBreakBefore w:val="0"/>
              <w:kinsoku/>
              <w:wordWrap/>
              <w:overflowPunct/>
              <w:topLinePunct w:val="0"/>
              <w:autoSpaceDE/>
              <w:autoSpaceDN/>
              <w:bidi w:val="0"/>
              <w:adjustRightInd/>
              <w:snapToGrid/>
              <w:spacing w:before="0" w:beforeLines="0" w:afterLines="0" w:line="240" w:lineRule="auto"/>
              <w:textAlignment w:val="auto"/>
              <w:rPr>
                <w:rFonts w:hint="default" w:ascii="Times New Roman" w:eastAsiaTheme="minorEastAsia"/>
                <w:snapToGrid w:val="0"/>
                <w:color w:val="auto"/>
                <w:kern w:val="21"/>
                <w:szCs w:val="21"/>
                <w:highlight w:val="none"/>
                <w:lang w:val="en-US" w:eastAsia="zh-CN"/>
              </w:rPr>
            </w:pPr>
            <w:r>
              <w:rPr>
                <w:rFonts w:hint="eastAsia" w:ascii="Times New Roman" w:eastAsiaTheme="minorEastAsia"/>
                <w:snapToGrid w:val="0"/>
                <w:color w:val="auto"/>
                <w:kern w:val="21"/>
                <w:szCs w:val="21"/>
                <w:highlight w:val="none"/>
                <w:lang w:val="en-US" w:eastAsia="zh-CN"/>
              </w:rPr>
              <w:t>废气</w:t>
            </w:r>
          </w:p>
        </w:tc>
        <w:tc>
          <w:tcPr>
            <w:tcW w:w="306" w:type="pct"/>
            <w:vAlign w:val="center"/>
          </w:tcPr>
          <w:p w14:paraId="44A3010D">
            <w:pPr>
              <w:pStyle w:val="62"/>
              <w:keepNext w:val="0"/>
              <w:keepLines w:val="0"/>
              <w:pageBreakBefore w:val="0"/>
              <w:kinsoku/>
              <w:wordWrap/>
              <w:overflowPunct/>
              <w:topLinePunct w:val="0"/>
              <w:autoSpaceDE/>
              <w:autoSpaceDN/>
              <w:bidi w:val="0"/>
              <w:adjustRightInd/>
              <w:snapToGrid/>
              <w:spacing w:before="0" w:beforeLines="0" w:afterLines="0" w:line="240" w:lineRule="auto"/>
              <w:ind w:firstLine="0" w:firstLineChars="0"/>
              <w:jc w:val="center"/>
              <w:textAlignment w:val="auto"/>
              <w:rPr>
                <w:rFonts w:hint="eastAsia" w:ascii="Times New Roman" w:eastAsiaTheme="minorEastAsia"/>
                <w:snapToGrid w:val="0"/>
                <w:color w:val="auto"/>
                <w:kern w:val="21"/>
                <w:szCs w:val="21"/>
                <w:highlight w:val="none"/>
                <w:lang w:val="en-US" w:eastAsia="zh-CN"/>
              </w:rPr>
            </w:pPr>
            <w:r>
              <w:rPr>
                <w:rFonts w:hint="eastAsia" w:ascii="Times New Roman" w:eastAsiaTheme="minorEastAsia"/>
                <w:snapToGrid w:val="0"/>
                <w:color w:val="auto"/>
                <w:kern w:val="21"/>
                <w:szCs w:val="21"/>
                <w:highlight w:val="none"/>
                <w:lang w:val="en-US" w:eastAsia="zh-CN"/>
              </w:rPr>
              <w:t>无组织</w:t>
            </w:r>
          </w:p>
        </w:tc>
        <w:tc>
          <w:tcPr>
            <w:tcW w:w="309" w:type="pct"/>
            <w:vAlign w:val="center"/>
          </w:tcPr>
          <w:p w14:paraId="750258EF">
            <w:pPr>
              <w:pStyle w:val="62"/>
              <w:keepNext w:val="0"/>
              <w:keepLines w:val="0"/>
              <w:pageBreakBefore w:val="0"/>
              <w:kinsoku/>
              <w:wordWrap/>
              <w:overflowPunct/>
              <w:topLinePunct w:val="0"/>
              <w:autoSpaceDE/>
              <w:autoSpaceDN/>
              <w:bidi w:val="0"/>
              <w:adjustRightInd/>
              <w:snapToGrid/>
              <w:spacing w:before="0" w:beforeLines="0" w:afterLines="0" w:line="240" w:lineRule="auto"/>
              <w:ind w:firstLine="0" w:firstLineChars="0"/>
              <w:textAlignment w:val="auto"/>
              <w:rPr>
                <w:rFonts w:ascii="Times New Roman" w:eastAsiaTheme="minorEastAsia"/>
                <w:snapToGrid w:val="0"/>
                <w:color w:val="auto"/>
                <w:kern w:val="21"/>
                <w:szCs w:val="21"/>
                <w:highlight w:val="none"/>
              </w:rPr>
            </w:pPr>
            <w:r>
              <w:rPr>
                <w:rFonts w:ascii="Times New Roman" w:eastAsiaTheme="minorEastAsia"/>
                <w:snapToGrid w:val="0"/>
                <w:color w:val="auto"/>
                <w:kern w:val="21"/>
                <w:szCs w:val="21"/>
                <w:highlight w:val="none"/>
              </w:rPr>
              <w:t>非甲烷总烃</w:t>
            </w:r>
          </w:p>
        </w:tc>
        <w:tc>
          <w:tcPr>
            <w:tcW w:w="617" w:type="pct"/>
            <w:vAlign w:val="center"/>
          </w:tcPr>
          <w:p w14:paraId="3084F04B">
            <w:pPr>
              <w:keepNext w:val="0"/>
              <w:keepLines w:val="0"/>
              <w:pageBreakBefore w:val="0"/>
              <w:widowControl/>
              <w:kinsoku/>
              <w:wordWrap/>
              <w:overflowPunct/>
              <w:topLinePunct w:val="0"/>
              <w:autoSpaceDE/>
              <w:autoSpaceDN/>
              <w:bidi w:val="0"/>
              <w:adjustRightInd/>
              <w:snapToGrid/>
              <w:jc w:val="center"/>
              <w:textAlignment w:val="auto"/>
              <w:rPr>
                <w:rFonts w:hint="eastAsia"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w:t>
            </w:r>
          </w:p>
        </w:tc>
        <w:tc>
          <w:tcPr>
            <w:tcW w:w="461" w:type="pct"/>
            <w:vAlign w:val="center"/>
          </w:tcPr>
          <w:p w14:paraId="6516D0C4">
            <w:pPr>
              <w:keepNext w:val="0"/>
              <w:keepLines w:val="0"/>
              <w:pageBreakBefore w:val="0"/>
              <w:widowControl/>
              <w:kinsoku/>
              <w:wordWrap/>
              <w:overflowPunct/>
              <w:topLinePunct w:val="0"/>
              <w:autoSpaceDE/>
              <w:autoSpaceDN/>
              <w:bidi w:val="0"/>
              <w:adjustRightInd/>
              <w:snapToGrid/>
              <w:jc w:val="center"/>
              <w:textAlignment w:val="auto"/>
              <w:rPr>
                <w:rFonts w:hint="eastAsia"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w:t>
            </w:r>
          </w:p>
        </w:tc>
        <w:tc>
          <w:tcPr>
            <w:tcW w:w="617" w:type="pct"/>
            <w:vAlign w:val="center"/>
          </w:tcPr>
          <w:p w14:paraId="27ED584B">
            <w:pPr>
              <w:keepNext w:val="0"/>
              <w:keepLines w:val="0"/>
              <w:pageBreakBefore w:val="0"/>
              <w:widowControl/>
              <w:kinsoku/>
              <w:wordWrap/>
              <w:overflowPunct/>
              <w:topLinePunct w:val="0"/>
              <w:autoSpaceDE/>
              <w:autoSpaceDN/>
              <w:bidi w:val="0"/>
              <w:adjustRightInd/>
              <w:snapToGrid/>
              <w:jc w:val="center"/>
              <w:textAlignment w:val="auto"/>
              <w:rPr>
                <w:rFonts w:hint="eastAsia"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w:t>
            </w:r>
          </w:p>
        </w:tc>
        <w:tc>
          <w:tcPr>
            <w:tcW w:w="565" w:type="pct"/>
            <w:vAlign w:val="center"/>
          </w:tcPr>
          <w:p w14:paraId="32CF9CC8">
            <w:pPr>
              <w:pStyle w:val="62"/>
              <w:keepNext w:val="0"/>
              <w:keepLines w:val="0"/>
              <w:pageBreakBefore w:val="0"/>
              <w:kinsoku/>
              <w:wordWrap/>
              <w:overflowPunct/>
              <w:topLinePunct w:val="0"/>
              <w:autoSpaceDE/>
              <w:autoSpaceDN/>
              <w:bidi w:val="0"/>
              <w:adjustRightInd/>
              <w:snapToGrid/>
              <w:spacing w:before="0" w:beforeLines="0" w:afterLines="0" w:line="240" w:lineRule="auto"/>
              <w:textAlignment w:val="auto"/>
              <w:rPr>
                <w:rFonts w:hint="default" w:ascii="Times New Roman" w:eastAsiaTheme="minorEastAsia"/>
                <w:color w:val="auto"/>
                <w:szCs w:val="21"/>
                <w:highlight w:val="none"/>
                <w:lang w:val="en-US" w:eastAsia="zh-CN"/>
              </w:rPr>
            </w:pPr>
            <w:r>
              <w:rPr>
                <w:rFonts w:hint="eastAsia" w:ascii="Times New Roman" w:eastAsiaTheme="minorEastAsia"/>
                <w:color w:val="auto"/>
                <w:szCs w:val="21"/>
                <w:highlight w:val="none"/>
                <w:lang w:val="en-US" w:eastAsia="zh-CN"/>
              </w:rPr>
              <w:t>0.208</w:t>
            </w:r>
          </w:p>
        </w:tc>
        <w:tc>
          <w:tcPr>
            <w:tcW w:w="638" w:type="pct"/>
            <w:vAlign w:val="center"/>
          </w:tcPr>
          <w:p w14:paraId="1C948666">
            <w:pPr>
              <w:pStyle w:val="62"/>
              <w:keepNext w:val="0"/>
              <w:keepLines w:val="0"/>
              <w:pageBreakBefore w:val="0"/>
              <w:kinsoku/>
              <w:wordWrap/>
              <w:overflowPunct/>
              <w:topLinePunct w:val="0"/>
              <w:autoSpaceDE/>
              <w:autoSpaceDN/>
              <w:bidi w:val="0"/>
              <w:adjustRightInd/>
              <w:snapToGrid/>
              <w:spacing w:before="0" w:beforeLines="0" w:afterLines="0" w:line="240" w:lineRule="auto"/>
              <w:textAlignment w:val="auto"/>
              <w:rPr>
                <w:rFonts w:hint="eastAsia" w:ascii="Times New Roman" w:eastAsiaTheme="minorEastAsia"/>
                <w:snapToGrid w:val="0"/>
                <w:color w:val="auto"/>
                <w:kern w:val="21"/>
                <w:szCs w:val="21"/>
                <w:highlight w:val="none"/>
                <w:lang w:val="en-US" w:eastAsia="zh-CN"/>
              </w:rPr>
            </w:pPr>
            <w:r>
              <w:rPr>
                <w:rFonts w:hint="eastAsia" w:ascii="Times New Roman" w:eastAsiaTheme="minorEastAsia"/>
                <w:snapToGrid w:val="0"/>
                <w:color w:val="auto"/>
                <w:kern w:val="21"/>
                <w:szCs w:val="21"/>
                <w:highlight w:val="none"/>
                <w:lang w:val="en-US" w:eastAsia="zh-CN"/>
              </w:rPr>
              <w:t>0</w:t>
            </w:r>
          </w:p>
        </w:tc>
        <w:tc>
          <w:tcPr>
            <w:tcW w:w="647" w:type="pct"/>
            <w:vAlign w:val="center"/>
          </w:tcPr>
          <w:p w14:paraId="2B086346">
            <w:pPr>
              <w:pStyle w:val="62"/>
              <w:keepNext w:val="0"/>
              <w:keepLines w:val="0"/>
              <w:pageBreakBefore w:val="0"/>
              <w:kinsoku/>
              <w:wordWrap/>
              <w:overflowPunct/>
              <w:topLinePunct w:val="0"/>
              <w:autoSpaceDE/>
              <w:autoSpaceDN/>
              <w:bidi w:val="0"/>
              <w:adjustRightInd/>
              <w:snapToGrid/>
              <w:spacing w:before="0" w:beforeLines="0" w:afterLines="0" w:line="240" w:lineRule="auto"/>
              <w:ind w:firstLine="0" w:firstLineChars="0"/>
              <w:textAlignment w:val="auto"/>
              <w:rPr>
                <w:rFonts w:hint="default" w:ascii="Times New Roman" w:eastAsiaTheme="minorEastAsia"/>
                <w:color w:val="auto"/>
                <w:szCs w:val="21"/>
                <w:highlight w:val="none"/>
                <w:lang w:val="en-US" w:eastAsia="zh-CN"/>
              </w:rPr>
            </w:pPr>
            <w:r>
              <w:rPr>
                <w:rFonts w:hint="eastAsia" w:ascii="Times New Roman" w:eastAsiaTheme="minorEastAsia"/>
                <w:color w:val="auto"/>
                <w:szCs w:val="21"/>
                <w:highlight w:val="none"/>
                <w:lang w:val="en-US" w:eastAsia="zh-CN"/>
              </w:rPr>
              <w:t>0.208</w:t>
            </w:r>
          </w:p>
        </w:tc>
        <w:tc>
          <w:tcPr>
            <w:tcW w:w="365" w:type="pct"/>
            <w:vAlign w:val="center"/>
          </w:tcPr>
          <w:p w14:paraId="0E02B737">
            <w:pPr>
              <w:pStyle w:val="62"/>
              <w:keepNext w:val="0"/>
              <w:keepLines w:val="0"/>
              <w:pageBreakBefore w:val="0"/>
              <w:kinsoku/>
              <w:wordWrap/>
              <w:overflowPunct/>
              <w:topLinePunct w:val="0"/>
              <w:autoSpaceDE/>
              <w:autoSpaceDN/>
              <w:bidi w:val="0"/>
              <w:adjustRightInd/>
              <w:snapToGrid/>
              <w:spacing w:before="0" w:beforeLines="0" w:afterLines="0" w:line="240" w:lineRule="auto"/>
              <w:ind w:firstLine="0" w:firstLineChars="0"/>
              <w:textAlignment w:val="auto"/>
              <w:rPr>
                <w:rFonts w:hint="default" w:ascii="Times New Roman" w:eastAsiaTheme="minorEastAsia"/>
                <w:color w:val="auto"/>
                <w:szCs w:val="21"/>
                <w:highlight w:val="none"/>
                <w:lang w:val="en-US" w:eastAsia="zh-CN"/>
              </w:rPr>
            </w:pPr>
            <w:r>
              <w:rPr>
                <w:rFonts w:hint="eastAsia" w:ascii="Times New Roman" w:eastAsiaTheme="minorEastAsia"/>
                <w:color w:val="auto"/>
                <w:szCs w:val="21"/>
                <w:highlight w:val="none"/>
                <w:lang w:val="en-US" w:eastAsia="zh-CN"/>
              </w:rPr>
              <w:t>+0.208</w:t>
            </w:r>
          </w:p>
        </w:tc>
      </w:tr>
      <w:tr w14:paraId="08C601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71" w:type="pct"/>
            <w:vMerge w:val="restart"/>
            <w:vAlign w:val="center"/>
          </w:tcPr>
          <w:p w14:paraId="4C5E2C96">
            <w:pPr>
              <w:pStyle w:val="62"/>
              <w:keepNext w:val="0"/>
              <w:keepLines w:val="0"/>
              <w:pageBreakBefore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kern w:val="21"/>
                <w:szCs w:val="21"/>
                <w:highlight w:val="none"/>
              </w:rPr>
            </w:pPr>
            <w:r>
              <w:rPr>
                <w:rFonts w:ascii="Times New Roman" w:eastAsiaTheme="minorEastAsia"/>
                <w:snapToGrid w:val="0"/>
                <w:color w:val="auto"/>
                <w:kern w:val="21"/>
                <w:szCs w:val="21"/>
                <w:highlight w:val="none"/>
              </w:rPr>
              <w:t>废水</w:t>
            </w:r>
          </w:p>
        </w:tc>
        <w:tc>
          <w:tcPr>
            <w:tcW w:w="615" w:type="pct"/>
            <w:gridSpan w:val="2"/>
            <w:vAlign w:val="center"/>
          </w:tcPr>
          <w:p w14:paraId="3FDE3A5E">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color w:val="auto"/>
                <w:szCs w:val="21"/>
                <w:highlight w:val="none"/>
              </w:rPr>
              <w:t>废水量</w:t>
            </w:r>
          </w:p>
        </w:tc>
        <w:tc>
          <w:tcPr>
            <w:tcW w:w="617" w:type="pct"/>
            <w:vAlign w:val="center"/>
          </w:tcPr>
          <w:p w14:paraId="4488BC9D">
            <w:pPr>
              <w:keepNext w:val="0"/>
              <w:keepLines w:val="0"/>
              <w:pageBreakBefore w:val="0"/>
              <w:widowControl/>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rFonts w:hint="eastAsia" w:eastAsiaTheme="minorEastAsia"/>
                <w:color w:val="auto"/>
                <w:kern w:val="0"/>
                <w:szCs w:val="21"/>
                <w:highlight w:val="none"/>
                <w:lang w:val="en-US" w:eastAsia="zh-CN"/>
              </w:rPr>
              <w:t>/</w:t>
            </w:r>
          </w:p>
        </w:tc>
        <w:tc>
          <w:tcPr>
            <w:tcW w:w="461" w:type="pct"/>
            <w:vAlign w:val="center"/>
          </w:tcPr>
          <w:p w14:paraId="25039361">
            <w:pPr>
              <w:keepNext w:val="0"/>
              <w:keepLines w:val="0"/>
              <w:pageBreakBefore w:val="0"/>
              <w:kinsoku/>
              <w:wordWrap/>
              <w:overflowPunct/>
              <w:topLinePunct w:val="0"/>
              <w:autoSpaceDE/>
              <w:autoSpaceDN/>
              <w:bidi w:val="0"/>
              <w:adjustRightInd/>
              <w:snapToGrid/>
              <w:jc w:val="center"/>
              <w:textAlignment w:val="auto"/>
              <w:rPr>
                <w:rFonts w:hint="default" w:eastAsiaTheme="minorEastAsia"/>
                <w:snapToGrid w:val="0"/>
                <w:color w:val="auto"/>
                <w:kern w:val="21"/>
                <w:szCs w:val="21"/>
                <w:highlight w:val="none"/>
                <w:lang w:val="en-US" w:eastAsia="zh-CN"/>
              </w:rPr>
            </w:pPr>
            <w:r>
              <w:rPr>
                <w:rFonts w:hint="eastAsia" w:eastAsiaTheme="minorEastAsia"/>
                <w:color w:val="auto"/>
                <w:kern w:val="0"/>
                <w:szCs w:val="21"/>
                <w:highlight w:val="none"/>
                <w:lang w:val="en-US" w:eastAsia="zh-CN"/>
              </w:rPr>
              <w:t>/</w:t>
            </w:r>
          </w:p>
        </w:tc>
        <w:tc>
          <w:tcPr>
            <w:tcW w:w="617" w:type="pct"/>
            <w:vAlign w:val="center"/>
          </w:tcPr>
          <w:p w14:paraId="7FD7D788">
            <w:pPr>
              <w:keepNext w:val="0"/>
              <w:keepLines w:val="0"/>
              <w:pageBreakBefore w:val="0"/>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565" w:type="pct"/>
            <w:vAlign w:val="center"/>
          </w:tcPr>
          <w:p w14:paraId="0776AB90">
            <w:pPr>
              <w:keepNext w:val="0"/>
              <w:keepLines w:val="0"/>
              <w:pageBreakBefore w:val="0"/>
              <w:kinsoku/>
              <w:wordWrap/>
              <w:overflowPunct/>
              <w:topLinePunct w:val="0"/>
              <w:autoSpaceDE/>
              <w:autoSpaceDN/>
              <w:bidi w:val="0"/>
              <w:adjustRightInd/>
              <w:snapToGrid/>
              <w:jc w:val="center"/>
              <w:textAlignment w:val="auto"/>
              <w:rPr>
                <w:rFonts w:hint="default" w:eastAsiaTheme="minorEastAsia"/>
                <w:snapToGrid w:val="0"/>
                <w:color w:val="auto"/>
                <w:kern w:val="21"/>
                <w:szCs w:val="21"/>
                <w:highlight w:val="none"/>
                <w:lang w:val="en-US" w:eastAsia="zh-CN"/>
              </w:rPr>
            </w:pPr>
            <w:r>
              <w:rPr>
                <w:rFonts w:hint="eastAsia" w:eastAsiaTheme="minorEastAsia"/>
                <w:color w:val="auto"/>
                <w:kern w:val="0"/>
                <w:szCs w:val="21"/>
                <w:highlight w:val="none"/>
                <w:lang w:val="en-US" w:eastAsia="zh-CN"/>
              </w:rPr>
              <w:t>840</w:t>
            </w:r>
          </w:p>
        </w:tc>
        <w:tc>
          <w:tcPr>
            <w:tcW w:w="638" w:type="pct"/>
            <w:vAlign w:val="center"/>
          </w:tcPr>
          <w:p w14:paraId="12EB73F2">
            <w:pPr>
              <w:keepNext w:val="0"/>
              <w:keepLines w:val="0"/>
              <w:pageBreakBefore w:val="0"/>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rFonts w:eastAsiaTheme="minorEastAsia"/>
                <w:color w:val="auto"/>
                <w:kern w:val="0"/>
                <w:szCs w:val="21"/>
                <w:highlight w:val="none"/>
              </w:rPr>
              <w:t>0</w:t>
            </w:r>
          </w:p>
        </w:tc>
        <w:tc>
          <w:tcPr>
            <w:tcW w:w="647" w:type="pct"/>
            <w:vAlign w:val="center"/>
          </w:tcPr>
          <w:p w14:paraId="4EAB1839">
            <w:pPr>
              <w:keepNext w:val="0"/>
              <w:keepLines w:val="0"/>
              <w:pageBreakBefore w:val="0"/>
              <w:kinsoku/>
              <w:wordWrap/>
              <w:overflowPunct/>
              <w:topLinePunct w:val="0"/>
              <w:autoSpaceDE/>
              <w:autoSpaceDN/>
              <w:bidi w:val="0"/>
              <w:adjustRightInd/>
              <w:snapToGrid/>
              <w:jc w:val="center"/>
              <w:textAlignment w:val="auto"/>
              <w:rPr>
                <w:rFonts w:hint="default" w:eastAsiaTheme="minorEastAsia"/>
                <w:snapToGrid w:val="0"/>
                <w:color w:val="auto"/>
                <w:kern w:val="21"/>
                <w:szCs w:val="21"/>
                <w:highlight w:val="none"/>
                <w:lang w:val="en-US"/>
              </w:rPr>
            </w:pPr>
            <w:r>
              <w:rPr>
                <w:rFonts w:hint="eastAsia" w:eastAsiaTheme="minorEastAsia"/>
                <w:color w:val="auto"/>
                <w:kern w:val="0"/>
                <w:szCs w:val="21"/>
                <w:highlight w:val="none"/>
                <w:lang w:val="en-US" w:eastAsia="zh-CN"/>
              </w:rPr>
              <w:t>840</w:t>
            </w:r>
          </w:p>
        </w:tc>
        <w:tc>
          <w:tcPr>
            <w:tcW w:w="365" w:type="pct"/>
            <w:vAlign w:val="center"/>
          </w:tcPr>
          <w:p w14:paraId="513E9660">
            <w:pPr>
              <w:keepNext w:val="0"/>
              <w:keepLines w:val="0"/>
              <w:pageBreakBefore w:val="0"/>
              <w:kinsoku/>
              <w:wordWrap/>
              <w:overflowPunct/>
              <w:topLinePunct w:val="0"/>
              <w:autoSpaceDE/>
              <w:autoSpaceDN/>
              <w:bidi w:val="0"/>
              <w:adjustRightInd/>
              <w:snapToGrid/>
              <w:jc w:val="center"/>
              <w:textAlignment w:val="auto"/>
              <w:rPr>
                <w:rFonts w:hint="default" w:eastAsiaTheme="minorEastAsia"/>
                <w:snapToGrid w:val="0"/>
                <w:color w:val="auto"/>
                <w:kern w:val="21"/>
                <w:szCs w:val="21"/>
                <w:highlight w:val="none"/>
                <w:lang w:val="en-US"/>
              </w:rPr>
            </w:pPr>
            <w:r>
              <w:rPr>
                <w:rFonts w:hint="eastAsia" w:eastAsiaTheme="minorEastAsia"/>
                <w:color w:val="auto"/>
                <w:kern w:val="0"/>
                <w:szCs w:val="21"/>
                <w:highlight w:val="none"/>
                <w:lang w:val="en-US" w:eastAsia="zh-CN"/>
              </w:rPr>
              <w:t>+840</w:t>
            </w:r>
          </w:p>
        </w:tc>
      </w:tr>
      <w:tr w14:paraId="4410F9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71" w:type="pct"/>
            <w:vMerge w:val="continue"/>
            <w:vAlign w:val="center"/>
          </w:tcPr>
          <w:p w14:paraId="68765C1D">
            <w:pPr>
              <w:pStyle w:val="62"/>
              <w:keepNext w:val="0"/>
              <w:keepLines w:val="0"/>
              <w:pageBreakBefore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kern w:val="21"/>
                <w:szCs w:val="21"/>
                <w:highlight w:val="none"/>
              </w:rPr>
            </w:pPr>
          </w:p>
        </w:tc>
        <w:tc>
          <w:tcPr>
            <w:tcW w:w="615" w:type="pct"/>
            <w:gridSpan w:val="2"/>
            <w:vAlign w:val="center"/>
          </w:tcPr>
          <w:p w14:paraId="53229C97">
            <w:pPr>
              <w:keepNext w:val="0"/>
              <w:keepLines w:val="0"/>
              <w:pageBreakBefore w:val="0"/>
              <w:kinsoku/>
              <w:wordWrap/>
              <w:overflowPunct/>
              <w:topLinePunct w:val="0"/>
              <w:autoSpaceDE/>
              <w:autoSpaceDN/>
              <w:bidi w:val="0"/>
              <w:adjustRightInd/>
              <w:snapToGrid/>
              <w:jc w:val="center"/>
              <w:textAlignment w:val="auto"/>
              <w:rPr>
                <w:rFonts w:eastAsiaTheme="minorEastAsia"/>
                <w:color w:val="auto"/>
                <w:szCs w:val="21"/>
                <w:highlight w:val="none"/>
              </w:rPr>
            </w:pPr>
            <w:r>
              <w:rPr>
                <w:color w:val="auto"/>
                <w:szCs w:val="21"/>
                <w:highlight w:val="none"/>
              </w:rPr>
              <w:t>COD</w:t>
            </w:r>
          </w:p>
        </w:tc>
        <w:tc>
          <w:tcPr>
            <w:tcW w:w="617" w:type="pct"/>
            <w:vAlign w:val="center"/>
          </w:tcPr>
          <w:p w14:paraId="3DE055C4">
            <w:pPr>
              <w:keepNext w:val="0"/>
              <w:keepLines w:val="0"/>
              <w:pageBreakBefore w:val="0"/>
              <w:widowControl/>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rFonts w:hint="eastAsia" w:eastAsiaTheme="minorEastAsia"/>
                <w:color w:val="auto"/>
                <w:kern w:val="0"/>
                <w:szCs w:val="21"/>
                <w:highlight w:val="none"/>
                <w:lang w:val="en-US" w:eastAsia="zh-CN"/>
              </w:rPr>
              <w:t>/</w:t>
            </w:r>
          </w:p>
        </w:tc>
        <w:tc>
          <w:tcPr>
            <w:tcW w:w="461" w:type="pct"/>
            <w:vAlign w:val="center"/>
          </w:tcPr>
          <w:p w14:paraId="33257C8A">
            <w:pPr>
              <w:keepNext w:val="0"/>
              <w:keepLines w:val="0"/>
              <w:pageBreakBefore w:val="0"/>
              <w:kinsoku/>
              <w:wordWrap/>
              <w:overflowPunct/>
              <w:topLinePunct w:val="0"/>
              <w:autoSpaceDE/>
              <w:autoSpaceDN/>
              <w:bidi w:val="0"/>
              <w:adjustRightInd/>
              <w:snapToGrid/>
              <w:jc w:val="center"/>
              <w:textAlignment w:val="auto"/>
              <w:rPr>
                <w:rFonts w:hint="default" w:eastAsiaTheme="minorEastAsia"/>
                <w:snapToGrid w:val="0"/>
                <w:color w:val="auto"/>
                <w:kern w:val="21"/>
                <w:szCs w:val="21"/>
                <w:highlight w:val="none"/>
                <w:lang w:val="en-US" w:eastAsia="zh-CN"/>
              </w:rPr>
            </w:pPr>
            <w:r>
              <w:rPr>
                <w:rFonts w:hint="eastAsia" w:eastAsiaTheme="minorEastAsia"/>
                <w:color w:val="auto"/>
                <w:kern w:val="0"/>
                <w:szCs w:val="21"/>
                <w:highlight w:val="none"/>
                <w:lang w:val="en-US" w:eastAsia="zh-CN"/>
              </w:rPr>
              <w:t>/</w:t>
            </w:r>
          </w:p>
        </w:tc>
        <w:tc>
          <w:tcPr>
            <w:tcW w:w="617" w:type="pct"/>
            <w:vAlign w:val="center"/>
          </w:tcPr>
          <w:p w14:paraId="088FC63C">
            <w:pPr>
              <w:keepNext w:val="0"/>
              <w:keepLines w:val="0"/>
              <w:pageBreakBefore w:val="0"/>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1526" w:type="dxa"/>
            <w:vAlign w:val="center"/>
          </w:tcPr>
          <w:p w14:paraId="5EC606F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Theme="minorEastAsia"/>
                <w:snapToGrid w:val="0"/>
                <w:color w:val="auto"/>
                <w:kern w:val="21"/>
                <w:szCs w:val="21"/>
                <w:highlight w:val="none"/>
                <w:lang w:val="en-US" w:eastAsia="zh-CN"/>
              </w:rPr>
            </w:pPr>
            <w:r>
              <w:rPr>
                <w:rFonts w:hint="eastAsia"/>
                <w:color w:val="auto"/>
                <w:sz w:val="21"/>
                <w:szCs w:val="21"/>
                <w:highlight w:val="none"/>
                <w:lang w:eastAsia="zh-CN"/>
              </w:rPr>
              <w:t>0.</w:t>
            </w:r>
            <w:r>
              <w:rPr>
                <w:rFonts w:hint="eastAsia"/>
                <w:color w:val="auto"/>
                <w:sz w:val="21"/>
                <w:szCs w:val="21"/>
                <w:highlight w:val="none"/>
                <w:lang w:val="en-US" w:eastAsia="zh-CN"/>
              </w:rPr>
              <w:t>2158</w:t>
            </w:r>
          </w:p>
        </w:tc>
        <w:tc>
          <w:tcPr>
            <w:tcW w:w="638" w:type="pct"/>
            <w:vAlign w:val="center"/>
          </w:tcPr>
          <w:p w14:paraId="3AABBF3A">
            <w:pPr>
              <w:keepNext w:val="0"/>
              <w:keepLines w:val="0"/>
              <w:pageBreakBefore w:val="0"/>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rFonts w:eastAsiaTheme="minorEastAsia"/>
                <w:color w:val="auto"/>
                <w:kern w:val="0"/>
                <w:szCs w:val="21"/>
                <w:highlight w:val="none"/>
              </w:rPr>
              <w:t>0</w:t>
            </w:r>
          </w:p>
        </w:tc>
        <w:tc>
          <w:tcPr>
            <w:tcW w:w="1747" w:type="dxa"/>
            <w:vAlign w:val="center"/>
          </w:tcPr>
          <w:p w14:paraId="4413725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Theme="minorEastAsia"/>
                <w:snapToGrid w:val="0"/>
                <w:color w:val="auto"/>
                <w:kern w:val="21"/>
                <w:szCs w:val="21"/>
                <w:highlight w:val="none"/>
                <w:lang w:eastAsia="zh-CN"/>
              </w:rPr>
            </w:pPr>
            <w:r>
              <w:rPr>
                <w:rFonts w:hint="eastAsia"/>
                <w:color w:val="auto"/>
                <w:sz w:val="21"/>
                <w:szCs w:val="21"/>
                <w:highlight w:val="none"/>
                <w:lang w:eastAsia="zh-CN"/>
              </w:rPr>
              <w:t>0.</w:t>
            </w:r>
            <w:r>
              <w:rPr>
                <w:rFonts w:hint="eastAsia"/>
                <w:color w:val="auto"/>
                <w:sz w:val="21"/>
                <w:szCs w:val="21"/>
                <w:highlight w:val="none"/>
                <w:lang w:val="en-US" w:eastAsia="zh-CN"/>
              </w:rPr>
              <w:t>2158</w:t>
            </w:r>
          </w:p>
        </w:tc>
        <w:tc>
          <w:tcPr>
            <w:tcW w:w="365" w:type="pct"/>
            <w:vAlign w:val="center"/>
          </w:tcPr>
          <w:p w14:paraId="24228A7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snapToGrid w:val="0"/>
                <w:color w:val="auto"/>
                <w:kern w:val="21"/>
                <w:szCs w:val="21"/>
                <w:highlight w:val="none"/>
                <w:lang w:val="en-US" w:eastAsia="zh-CN"/>
              </w:rPr>
            </w:pPr>
            <w:r>
              <w:rPr>
                <w:rFonts w:hint="eastAsia"/>
                <w:color w:val="auto"/>
                <w:sz w:val="21"/>
                <w:szCs w:val="21"/>
                <w:highlight w:val="none"/>
                <w:lang w:val="en-US" w:eastAsia="zh-CN"/>
              </w:rPr>
              <w:t>+</w:t>
            </w:r>
            <w:r>
              <w:rPr>
                <w:rFonts w:hint="eastAsia"/>
                <w:color w:val="auto"/>
                <w:sz w:val="21"/>
                <w:szCs w:val="21"/>
                <w:highlight w:val="none"/>
                <w:lang w:eastAsia="zh-CN"/>
              </w:rPr>
              <w:t>0.</w:t>
            </w:r>
            <w:r>
              <w:rPr>
                <w:rFonts w:hint="eastAsia"/>
                <w:color w:val="auto"/>
                <w:sz w:val="21"/>
                <w:szCs w:val="21"/>
                <w:highlight w:val="none"/>
                <w:lang w:val="en-US" w:eastAsia="zh-CN"/>
              </w:rPr>
              <w:t>2158</w:t>
            </w:r>
          </w:p>
        </w:tc>
      </w:tr>
      <w:tr w14:paraId="24D347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71" w:type="pct"/>
            <w:vMerge w:val="continue"/>
            <w:vAlign w:val="center"/>
          </w:tcPr>
          <w:p w14:paraId="7A4806DB">
            <w:pPr>
              <w:pStyle w:val="62"/>
              <w:keepNext w:val="0"/>
              <w:keepLines w:val="0"/>
              <w:pageBreakBefore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kern w:val="21"/>
                <w:szCs w:val="21"/>
                <w:highlight w:val="none"/>
              </w:rPr>
            </w:pPr>
          </w:p>
        </w:tc>
        <w:tc>
          <w:tcPr>
            <w:tcW w:w="615" w:type="pct"/>
            <w:gridSpan w:val="2"/>
            <w:vAlign w:val="center"/>
          </w:tcPr>
          <w:p w14:paraId="268776FB">
            <w:pPr>
              <w:keepNext w:val="0"/>
              <w:keepLines w:val="0"/>
              <w:pageBreakBefore w:val="0"/>
              <w:kinsoku/>
              <w:wordWrap/>
              <w:overflowPunct/>
              <w:topLinePunct w:val="0"/>
              <w:autoSpaceDE/>
              <w:autoSpaceDN/>
              <w:bidi w:val="0"/>
              <w:adjustRightInd/>
              <w:snapToGrid/>
              <w:jc w:val="center"/>
              <w:textAlignment w:val="auto"/>
              <w:rPr>
                <w:rFonts w:eastAsiaTheme="minorEastAsia"/>
                <w:color w:val="auto"/>
                <w:szCs w:val="21"/>
                <w:highlight w:val="none"/>
              </w:rPr>
            </w:pPr>
            <w:r>
              <w:rPr>
                <w:color w:val="auto"/>
                <w:szCs w:val="21"/>
                <w:highlight w:val="none"/>
              </w:rPr>
              <w:t>悬浮物</w:t>
            </w:r>
          </w:p>
        </w:tc>
        <w:tc>
          <w:tcPr>
            <w:tcW w:w="617" w:type="pct"/>
            <w:vAlign w:val="center"/>
          </w:tcPr>
          <w:p w14:paraId="28E6439C">
            <w:pPr>
              <w:keepNext w:val="0"/>
              <w:keepLines w:val="0"/>
              <w:pageBreakBefore w:val="0"/>
              <w:widowControl/>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rFonts w:hint="eastAsia" w:eastAsiaTheme="minorEastAsia"/>
                <w:color w:val="auto"/>
                <w:kern w:val="0"/>
                <w:szCs w:val="21"/>
                <w:highlight w:val="none"/>
                <w:lang w:val="en-US" w:eastAsia="zh-CN"/>
              </w:rPr>
              <w:t>/</w:t>
            </w:r>
          </w:p>
        </w:tc>
        <w:tc>
          <w:tcPr>
            <w:tcW w:w="461" w:type="pct"/>
            <w:vAlign w:val="center"/>
          </w:tcPr>
          <w:p w14:paraId="5879F472">
            <w:pPr>
              <w:keepNext w:val="0"/>
              <w:keepLines w:val="0"/>
              <w:pageBreakBefore w:val="0"/>
              <w:kinsoku/>
              <w:wordWrap/>
              <w:overflowPunct/>
              <w:topLinePunct w:val="0"/>
              <w:autoSpaceDE/>
              <w:autoSpaceDN/>
              <w:bidi w:val="0"/>
              <w:adjustRightInd/>
              <w:snapToGrid/>
              <w:jc w:val="center"/>
              <w:textAlignment w:val="auto"/>
              <w:rPr>
                <w:rFonts w:hint="default" w:eastAsiaTheme="minorEastAsia"/>
                <w:snapToGrid w:val="0"/>
                <w:color w:val="auto"/>
                <w:kern w:val="21"/>
                <w:szCs w:val="21"/>
                <w:highlight w:val="none"/>
                <w:lang w:val="en-US" w:eastAsia="zh-CN"/>
              </w:rPr>
            </w:pPr>
            <w:r>
              <w:rPr>
                <w:rFonts w:hint="eastAsia" w:eastAsiaTheme="minorEastAsia"/>
                <w:color w:val="auto"/>
                <w:kern w:val="0"/>
                <w:szCs w:val="21"/>
                <w:highlight w:val="none"/>
                <w:lang w:val="en-US" w:eastAsia="zh-CN"/>
              </w:rPr>
              <w:t>/</w:t>
            </w:r>
          </w:p>
        </w:tc>
        <w:tc>
          <w:tcPr>
            <w:tcW w:w="617" w:type="pct"/>
            <w:vAlign w:val="center"/>
          </w:tcPr>
          <w:p w14:paraId="47154277">
            <w:pPr>
              <w:keepNext w:val="0"/>
              <w:keepLines w:val="0"/>
              <w:pageBreakBefore w:val="0"/>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1526" w:type="dxa"/>
            <w:vAlign w:val="center"/>
          </w:tcPr>
          <w:p w14:paraId="449A6C5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Theme="minorEastAsia"/>
                <w:snapToGrid w:val="0"/>
                <w:color w:val="auto"/>
                <w:kern w:val="21"/>
                <w:szCs w:val="21"/>
                <w:highlight w:val="none"/>
                <w:lang w:val="en-US" w:eastAsia="zh-CN"/>
              </w:rPr>
            </w:pPr>
            <w:r>
              <w:rPr>
                <w:rFonts w:hint="eastAsia"/>
                <w:color w:val="auto"/>
                <w:sz w:val="21"/>
                <w:szCs w:val="21"/>
                <w:highlight w:val="none"/>
                <w:lang w:val="en-US" w:eastAsia="zh-CN"/>
              </w:rPr>
              <w:t>0.1915</w:t>
            </w:r>
          </w:p>
        </w:tc>
        <w:tc>
          <w:tcPr>
            <w:tcW w:w="638" w:type="pct"/>
            <w:vAlign w:val="center"/>
          </w:tcPr>
          <w:p w14:paraId="5E5107C9">
            <w:pPr>
              <w:keepNext w:val="0"/>
              <w:keepLines w:val="0"/>
              <w:pageBreakBefore w:val="0"/>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rFonts w:eastAsiaTheme="minorEastAsia"/>
                <w:color w:val="auto"/>
                <w:kern w:val="0"/>
                <w:szCs w:val="21"/>
                <w:highlight w:val="none"/>
              </w:rPr>
              <w:t>0</w:t>
            </w:r>
          </w:p>
        </w:tc>
        <w:tc>
          <w:tcPr>
            <w:tcW w:w="1747" w:type="dxa"/>
            <w:vAlign w:val="center"/>
          </w:tcPr>
          <w:p w14:paraId="6A2A087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Theme="minorEastAsia"/>
                <w:snapToGrid w:val="0"/>
                <w:color w:val="auto"/>
                <w:kern w:val="21"/>
                <w:szCs w:val="21"/>
                <w:highlight w:val="none"/>
                <w:lang w:eastAsia="zh-CN"/>
              </w:rPr>
            </w:pPr>
            <w:r>
              <w:rPr>
                <w:rFonts w:hint="eastAsia"/>
                <w:color w:val="auto"/>
                <w:sz w:val="21"/>
                <w:szCs w:val="21"/>
                <w:highlight w:val="none"/>
                <w:lang w:val="en-US" w:eastAsia="zh-CN"/>
              </w:rPr>
              <w:t>0.1915</w:t>
            </w:r>
          </w:p>
        </w:tc>
        <w:tc>
          <w:tcPr>
            <w:tcW w:w="365" w:type="pct"/>
            <w:vAlign w:val="center"/>
          </w:tcPr>
          <w:p w14:paraId="385AE66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snapToGrid w:val="0"/>
                <w:color w:val="auto"/>
                <w:kern w:val="21"/>
                <w:szCs w:val="21"/>
                <w:highlight w:val="none"/>
                <w:lang w:val="en-US" w:eastAsia="zh-CN"/>
              </w:rPr>
            </w:pPr>
            <w:r>
              <w:rPr>
                <w:rFonts w:hint="eastAsia"/>
                <w:color w:val="auto"/>
                <w:sz w:val="21"/>
                <w:szCs w:val="21"/>
                <w:highlight w:val="none"/>
                <w:lang w:val="en-US" w:eastAsia="zh-CN"/>
              </w:rPr>
              <w:t>+</w:t>
            </w:r>
            <w:r>
              <w:rPr>
                <w:rFonts w:hint="eastAsia"/>
                <w:color w:val="auto"/>
                <w:sz w:val="21"/>
                <w:szCs w:val="21"/>
                <w:highlight w:val="none"/>
                <w:lang w:eastAsia="zh-CN"/>
              </w:rPr>
              <w:t>0.</w:t>
            </w:r>
            <w:r>
              <w:rPr>
                <w:rFonts w:hint="eastAsia"/>
                <w:color w:val="auto"/>
                <w:sz w:val="21"/>
                <w:szCs w:val="21"/>
                <w:highlight w:val="none"/>
                <w:lang w:val="en-US" w:eastAsia="zh-CN"/>
              </w:rPr>
              <w:t>1915</w:t>
            </w:r>
          </w:p>
        </w:tc>
      </w:tr>
      <w:tr w14:paraId="45DFE5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71" w:type="pct"/>
            <w:vMerge w:val="continue"/>
            <w:vAlign w:val="center"/>
          </w:tcPr>
          <w:p w14:paraId="7A78FD4A">
            <w:pPr>
              <w:pStyle w:val="62"/>
              <w:keepNext w:val="0"/>
              <w:keepLines w:val="0"/>
              <w:pageBreakBefore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kern w:val="21"/>
                <w:szCs w:val="21"/>
                <w:highlight w:val="none"/>
              </w:rPr>
            </w:pPr>
          </w:p>
        </w:tc>
        <w:tc>
          <w:tcPr>
            <w:tcW w:w="615" w:type="pct"/>
            <w:gridSpan w:val="2"/>
            <w:vAlign w:val="center"/>
          </w:tcPr>
          <w:p w14:paraId="1B11743D">
            <w:pPr>
              <w:keepNext w:val="0"/>
              <w:keepLines w:val="0"/>
              <w:pageBreakBefore w:val="0"/>
              <w:tabs>
                <w:tab w:val="center" w:pos="642"/>
              </w:tabs>
              <w:kinsoku/>
              <w:wordWrap/>
              <w:overflowPunct/>
              <w:topLinePunct w:val="0"/>
              <w:autoSpaceDE/>
              <w:autoSpaceDN/>
              <w:bidi w:val="0"/>
              <w:adjustRightInd/>
              <w:snapToGrid/>
              <w:jc w:val="center"/>
              <w:textAlignment w:val="auto"/>
              <w:rPr>
                <w:rFonts w:eastAsiaTheme="minorEastAsia"/>
                <w:color w:val="auto"/>
                <w:szCs w:val="21"/>
                <w:highlight w:val="none"/>
              </w:rPr>
            </w:pPr>
            <w:r>
              <w:rPr>
                <w:color w:val="auto"/>
                <w:szCs w:val="21"/>
                <w:highlight w:val="none"/>
              </w:rPr>
              <w:t>氨氮</w:t>
            </w:r>
          </w:p>
        </w:tc>
        <w:tc>
          <w:tcPr>
            <w:tcW w:w="617" w:type="pct"/>
            <w:vAlign w:val="center"/>
          </w:tcPr>
          <w:p w14:paraId="283D944E">
            <w:pPr>
              <w:keepNext w:val="0"/>
              <w:keepLines w:val="0"/>
              <w:pageBreakBefore w:val="0"/>
              <w:widowControl/>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rFonts w:hint="eastAsia" w:eastAsiaTheme="minorEastAsia"/>
                <w:color w:val="auto"/>
                <w:kern w:val="0"/>
                <w:szCs w:val="21"/>
                <w:highlight w:val="none"/>
                <w:lang w:val="en-US" w:eastAsia="zh-CN"/>
              </w:rPr>
              <w:t>/</w:t>
            </w:r>
          </w:p>
        </w:tc>
        <w:tc>
          <w:tcPr>
            <w:tcW w:w="461" w:type="pct"/>
            <w:vAlign w:val="center"/>
          </w:tcPr>
          <w:p w14:paraId="2956EED2">
            <w:pPr>
              <w:keepNext w:val="0"/>
              <w:keepLines w:val="0"/>
              <w:pageBreakBefore w:val="0"/>
              <w:kinsoku/>
              <w:wordWrap/>
              <w:overflowPunct/>
              <w:topLinePunct w:val="0"/>
              <w:autoSpaceDE/>
              <w:autoSpaceDN/>
              <w:bidi w:val="0"/>
              <w:adjustRightInd/>
              <w:snapToGrid/>
              <w:jc w:val="center"/>
              <w:textAlignment w:val="auto"/>
              <w:rPr>
                <w:rFonts w:hint="default" w:eastAsiaTheme="minorEastAsia"/>
                <w:snapToGrid w:val="0"/>
                <w:color w:val="auto"/>
                <w:kern w:val="21"/>
                <w:szCs w:val="21"/>
                <w:highlight w:val="none"/>
                <w:lang w:val="en-US" w:eastAsia="zh-CN"/>
              </w:rPr>
            </w:pPr>
            <w:r>
              <w:rPr>
                <w:rFonts w:hint="eastAsia" w:eastAsiaTheme="minorEastAsia"/>
                <w:color w:val="auto"/>
                <w:kern w:val="0"/>
                <w:szCs w:val="21"/>
                <w:highlight w:val="none"/>
                <w:lang w:val="en-US" w:eastAsia="zh-CN"/>
              </w:rPr>
              <w:t>/</w:t>
            </w:r>
          </w:p>
        </w:tc>
        <w:tc>
          <w:tcPr>
            <w:tcW w:w="617" w:type="pct"/>
            <w:vAlign w:val="center"/>
          </w:tcPr>
          <w:p w14:paraId="65047216">
            <w:pPr>
              <w:keepNext w:val="0"/>
              <w:keepLines w:val="0"/>
              <w:pageBreakBefore w:val="0"/>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1526" w:type="dxa"/>
            <w:vAlign w:val="center"/>
          </w:tcPr>
          <w:p w14:paraId="53C6414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snapToGrid w:val="0"/>
                <w:color w:val="auto"/>
                <w:kern w:val="21"/>
                <w:szCs w:val="21"/>
                <w:highlight w:val="none"/>
                <w:lang w:val="en-US" w:eastAsia="zh-CN"/>
              </w:rPr>
            </w:pPr>
            <w:r>
              <w:rPr>
                <w:rFonts w:hint="eastAsia"/>
                <w:color w:val="auto"/>
                <w:sz w:val="21"/>
                <w:szCs w:val="21"/>
                <w:highlight w:val="none"/>
                <w:lang w:val="en-US" w:eastAsia="zh-CN"/>
              </w:rPr>
              <w:t>0.0209</w:t>
            </w:r>
          </w:p>
        </w:tc>
        <w:tc>
          <w:tcPr>
            <w:tcW w:w="638" w:type="pct"/>
            <w:vAlign w:val="center"/>
          </w:tcPr>
          <w:p w14:paraId="72378125">
            <w:pPr>
              <w:keepNext w:val="0"/>
              <w:keepLines w:val="0"/>
              <w:pageBreakBefore w:val="0"/>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rFonts w:eastAsiaTheme="minorEastAsia"/>
                <w:color w:val="auto"/>
                <w:kern w:val="0"/>
                <w:szCs w:val="21"/>
                <w:highlight w:val="none"/>
              </w:rPr>
              <w:t>0</w:t>
            </w:r>
          </w:p>
        </w:tc>
        <w:tc>
          <w:tcPr>
            <w:tcW w:w="1747" w:type="dxa"/>
            <w:vAlign w:val="center"/>
          </w:tcPr>
          <w:p w14:paraId="48BD1BD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eastAsiaTheme="minorEastAsia"/>
                <w:snapToGrid w:val="0"/>
                <w:color w:val="auto"/>
                <w:kern w:val="21"/>
                <w:szCs w:val="21"/>
                <w:highlight w:val="none"/>
              </w:rPr>
            </w:pPr>
            <w:r>
              <w:rPr>
                <w:rFonts w:hint="eastAsia"/>
                <w:color w:val="auto"/>
                <w:sz w:val="21"/>
                <w:szCs w:val="21"/>
                <w:highlight w:val="none"/>
                <w:lang w:val="en-US" w:eastAsia="zh-CN"/>
              </w:rPr>
              <w:t>0.0209</w:t>
            </w:r>
          </w:p>
        </w:tc>
        <w:tc>
          <w:tcPr>
            <w:tcW w:w="365" w:type="pct"/>
            <w:vAlign w:val="center"/>
          </w:tcPr>
          <w:p w14:paraId="64D5C06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snapToGrid w:val="0"/>
                <w:color w:val="auto"/>
                <w:kern w:val="21"/>
                <w:szCs w:val="21"/>
                <w:highlight w:val="none"/>
                <w:lang w:val="en-US"/>
              </w:rPr>
            </w:pPr>
            <w:r>
              <w:rPr>
                <w:rFonts w:hint="eastAsia"/>
                <w:color w:val="auto"/>
                <w:sz w:val="21"/>
                <w:szCs w:val="21"/>
                <w:highlight w:val="none"/>
                <w:lang w:val="en-US" w:eastAsia="zh-CN"/>
              </w:rPr>
              <w:t>+0.0209</w:t>
            </w:r>
          </w:p>
        </w:tc>
      </w:tr>
      <w:tr w14:paraId="51E688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71" w:type="pct"/>
            <w:vMerge w:val="continue"/>
            <w:vAlign w:val="center"/>
          </w:tcPr>
          <w:p w14:paraId="3C9758B8">
            <w:pPr>
              <w:pStyle w:val="62"/>
              <w:keepNext w:val="0"/>
              <w:keepLines w:val="0"/>
              <w:pageBreakBefore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kern w:val="21"/>
                <w:szCs w:val="21"/>
                <w:highlight w:val="none"/>
              </w:rPr>
            </w:pPr>
          </w:p>
        </w:tc>
        <w:tc>
          <w:tcPr>
            <w:tcW w:w="615" w:type="pct"/>
            <w:gridSpan w:val="2"/>
            <w:vAlign w:val="center"/>
          </w:tcPr>
          <w:p w14:paraId="411FFD5B">
            <w:pPr>
              <w:keepNext w:val="0"/>
              <w:keepLines w:val="0"/>
              <w:pageBreakBefore w:val="0"/>
              <w:tabs>
                <w:tab w:val="center" w:pos="642"/>
              </w:tabs>
              <w:kinsoku/>
              <w:wordWrap/>
              <w:overflowPunct/>
              <w:topLinePunct w:val="0"/>
              <w:autoSpaceDE/>
              <w:autoSpaceDN/>
              <w:bidi w:val="0"/>
              <w:adjustRightInd/>
              <w:snapToGrid/>
              <w:jc w:val="center"/>
              <w:textAlignment w:val="auto"/>
              <w:rPr>
                <w:rFonts w:eastAsiaTheme="minorEastAsia"/>
                <w:color w:val="auto"/>
                <w:szCs w:val="21"/>
                <w:highlight w:val="none"/>
              </w:rPr>
            </w:pPr>
            <w:r>
              <w:rPr>
                <w:color w:val="auto"/>
                <w:szCs w:val="21"/>
                <w:highlight w:val="none"/>
              </w:rPr>
              <w:t>总磷</w:t>
            </w:r>
          </w:p>
        </w:tc>
        <w:tc>
          <w:tcPr>
            <w:tcW w:w="617" w:type="pct"/>
            <w:vAlign w:val="center"/>
          </w:tcPr>
          <w:p w14:paraId="11D4DF63">
            <w:pPr>
              <w:keepNext w:val="0"/>
              <w:keepLines w:val="0"/>
              <w:pageBreakBefore w:val="0"/>
              <w:widowControl/>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rFonts w:hint="eastAsia" w:eastAsiaTheme="minorEastAsia"/>
                <w:color w:val="auto"/>
                <w:kern w:val="0"/>
                <w:szCs w:val="21"/>
                <w:highlight w:val="none"/>
                <w:lang w:val="en-US" w:eastAsia="zh-CN"/>
              </w:rPr>
              <w:t>/</w:t>
            </w:r>
          </w:p>
        </w:tc>
        <w:tc>
          <w:tcPr>
            <w:tcW w:w="461" w:type="pct"/>
            <w:vAlign w:val="center"/>
          </w:tcPr>
          <w:p w14:paraId="2B5568E1">
            <w:pPr>
              <w:keepNext w:val="0"/>
              <w:keepLines w:val="0"/>
              <w:pageBreakBefore w:val="0"/>
              <w:kinsoku/>
              <w:wordWrap/>
              <w:overflowPunct/>
              <w:topLinePunct w:val="0"/>
              <w:autoSpaceDE/>
              <w:autoSpaceDN/>
              <w:bidi w:val="0"/>
              <w:adjustRightInd/>
              <w:snapToGrid/>
              <w:jc w:val="center"/>
              <w:textAlignment w:val="auto"/>
              <w:rPr>
                <w:rFonts w:hint="default" w:eastAsiaTheme="minorEastAsia"/>
                <w:snapToGrid w:val="0"/>
                <w:color w:val="auto"/>
                <w:kern w:val="21"/>
                <w:szCs w:val="21"/>
                <w:highlight w:val="none"/>
                <w:lang w:val="en-US" w:eastAsia="zh-CN"/>
              </w:rPr>
            </w:pPr>
            <w:r>
              <w:rPr>
                <w:rFonts w:hint="eastAsia" w:eastAsiaTheme="minorEastAsia"/>
                <w:color w:val="auto"/>
                <w:kern w:val="0"/>
                <w:szCs w:val="21"/>
                <w:highlight w:val="none"/>
                <w:lang w:val="en-US" w:eastAsia="zh-CN"/>
              </w:rPr>
              <w:t>/</w:t>
            </w:r>
          </w:p>
        </w:tc>
        <w:tc>
          <w:tcPr>
            <w:tcW w:w="617" w:type="pct"/>
            <w:vAlign w:val="center"/>
          </w:tcPr>
          <w:p w14:paraId="5749C55A">
            <w:pPr>
              <w:keepNext w:val="0"/>
              <w:keepLines w:val="0"/>
              <w:pageBreakBefore w:val="0"/>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1526" w:type="dxa"/>
            <w:vAlign w:val="center"/>
          </w:tcPr>
          <w:p w14:paraId="0012462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snapToGrid w:val="0"/>
                <w:color w:val="auto"/>
                <w:kern w:val="21"/>
                <w:szCs w:val="21"/>
                <w:highlight w:val="none"/>
                <w:lang w:val="en-US" w:eastAsia="zh-CN"/>
              </w:rPr>
            </w:pPr>
            <w:r>
              <w:rPr>
                <w:rFonts w:hint="eastAsia"/>
                <w:color w:val="auto"/>
                <w:sz w:val="21"/>
                <w:szCs w:val="21"/>
                <w:highlight w:val="none"/>
                <w:lang w:val="en-US" w:eastAsia="zh-CN"/>
              </w:rPr>
              <w:t>0.0023</w:t>
            </w:r>
          </w:p>
        </w:tc>
        <w:tc>
          <w:tcPr>
            <w:tcW w:w="638" w:type="pct"/>
            <w:vAlign w:val="center"/>
          </w:tcPr>
          <w:p w14:paraId="4515781B">
            <w:pPr>
              <w:keepNext w:val="0"/>
              <w:keepLines w:val="0"/>
              <w:pageBreakBefore w:val="0"/>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rFonts w:eastAsiaTheme="minorEastAsia"/>
                <w:color w:val="auto"/>
                <w:kern w:val="0"/>
                <w:szCs w:val="21"/>
                <w:highlight w:val="none"/>
              </w:rPr>
              <w:t>0</w:t>
            </w:r>
          </w:p>
        </w:tc>
        <w:tc>
          <w:tcPr>
            <w:tcW w:w="1747" w:type="dxa"/>
            <w:vAlign w:val="center"/>
          </w:tcPr>
          <w:p w14:paraId="7E81104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eastAsiaTheme="minorEastAsia"/>
                <w:snapToGrid w:val="0"/>
                <w:color w:val="auto"/>
                <w:kern w:val="21"/>
                <w:szCs w:val="21"/>
                <w:highlight w:val="none"/>
              </w:rPr>
            </w:pPr>
            <w:r>
              <w:rPr>
                <w:rFonts w:hint="eastAsia"/>
                <w:color w:val="auto"/>
                <w:sz w:val="21"/>
                <w:szCs w:val="21"/>
                <w:highlight w:val="none"/>
                <w:lang w:val="en-US" w:eastAsia="zh-CN"/>
              </w:rPr>
              <w:t>0.0023</w:t>
            </w:r>
          </w:p>
        </w:tc>
        <w:tc>
          <w:tcPr>
            <w:tcW w:w="365" w:type="pct"/>
            <w:vAlign w:val="center"/>
          </w:tcPr>
          <w:p w14:paraId="50EA710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snapToGrid w:val="0"/>
                <w:color w:val="auto"/>
                <w:kern w:val="21"/>
                <w:szCs w:val="21"/>
                <w:highlight w:val="none"/>
                <w:lang w:val="en-US" w:eastAsia="zh-CN"/>
              </w:rPr>
            </w:pPr>
            <w:r>
              <w:rPr>
                <w:rFonts w:hint="eastAsia"/>
                <w:color w:val="auto"/>
                <w:sz w:val="21"/>
                <w:szCs w:val="21"/>
                <w:highlight w:val="none"/>
                <w:lang w:val="en-US" w:eastAsia="zh-CN"/>
              </w:rPr>
              <w:t>+</w:t>
            </w:r>
            <w:r>
              <w:rPr>
                <w:rFonts w:hint="eastAsia"/>
                <w:color w:val="auto"/>
                <w:sz w:val="21"/>
                <w:szCs w:val="21"/>
                <w:highlight w:val="none"/>
              </w:rPr>
              <w:t>0.</w:t>
            </w:r>
            <w:r>
              <w:rPr>
                <w:rFonts w:hint="eastAsia"/>
                <w:color w:val="auto"/>
                <w:sz w:val="21"/>
                <w:szCs w:val="21"/>
                <w:highlight w:val="none"/>
                <w:lang w:val="en-US" w:eastAsia="zh-CN"/>
              </w:rPr>
              <w:t>0023</w:t>
            </w:r>
          </w:p>
        </w:tc>
      </w:tr>
      <w:tr w14:paraId="32289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71" w:type="pct"/>
            <w:vMerge w:val="continue"/>
            <w:vAlign w:val="center"/>
          </w:tcPr>
          <w:p w14:paraId="66F5780D">
            <w:pPr>
              <w:pStyle w:val="62"/>
              <w:keepNext w:val="0"/>
              <w:keepLines w:val="0"/>
              <w:pageBreakBefore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kern w:val="21"/>
                <w:szCs w:val="21"/>
                <w:highlight w:val="none"/>
              </w:rPr>
            </w:pPr>
          </w:p>
        </w:tc>
        <w:tc>
          <w:tcPr>
            <w:tcW w:w="615" w:type="pct"/>
            <w:gridSpan w:val="2"/>
            <w:vAlign w:val="center"/>
          </w:tcPr>
          <w:p w14:paraId="7172500B">
            <w:pPr>
              <w:keepNext w:val="0"/>
              <w:keepLines w:val="0"/>
              <w:pageBreakBefore w:val="0"/>
              <w:tabs>
                <w:tab w:val="center" w:pos="642"/>
              </w:tabs>
              <w:kinsoku/>
              <w:wordWrap/>
              <w:overflowPunct/>
              <w:topLinePunct w:val="0"/>
              <w:autoSpaceDE/>
              <w:autoSpaceDN/>
              <w:bidi w:val="0"/>
              <w:adjustRightInd/>
              <w:snapToGrid/>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总氮</w:t>
            </w:r>
          </w:p>
        </w:tc>
        <w:tc>
          <w:tcPr>
            <w:tcW w:w="617" w:type="pct"/>
            <w:vAlign w:val="center"/>
          </w:tcPr>
          <w:p w14:paraId="7CDF50D2">
            <w:pPr>
              <w:keepNext w:val="0"/>
              <w:keepLines w:val="0"/>
              <w:pageBreakBefore w:val="0"/>
              <w:widowControl/>
              <w:kinsoku/>
              <w:wordWrap/>
              <w:overflowPunct/>
              <w:topLinePunct w:val="0"/>
              <w:autoSpaceDE/>
              <w:autoSpaceDN/>
              <w:bidi w:val="0"/>
              <w:adjustRightInd/>
              <w:snapToGrid/>
              <w:jc w:val="center"/>
              <w:textAlignment w:val="auto"/>
              <w:rPr>
                <w:bCs/>
                <w:color w:val="auto"/>
                <w:szCs w:val="21"/>
                <w:highlight w:val="none"/>
              </w:rPr>
            </w:pPr>
            <w:r>
              <w:rPr>
                <w:rFonts w:hint="eastAsia" w:eastAsiaTheme="minorEastAsia"/>
                <w:color w:val="auto"/>
                <w:kern w:val="0"/>
                <w:szCs w:val="21"/>
                <w:highlight w:val="none"/>
                <w:lang w:val="en-US" w:eastAsia="zh-CN"/>
              </w:rPr>
              <w:t>/</w:t>
            </w:r>
          </w:p>
        </w:tc>
        <w:tc>
          <w:tcPr>
            <w:tcW w:w="461" w:type="pct"/>
            <w:vAlign w:val="center"/>
          </w:tcPr>
          <w:p w14:paraId="7BF89C73">
            <w:pPr>
              <w:keepNext w:val="0"/>
              <w:keepLines w:val="0"/>
              <w:pageBreakBefore w:val="0"/>
              <w:kinsoku/>
              <w:wordWrap/>
              <w:overflowPunct/>
              <w:topLinePunct w:val="0"/>
              <w:autoSpaceDE/>
              <w:autoSpaceDN/>
              <w:bidi w:val="0"/>
              <w:adjustRightInd/>
              <w:snapToGrid/>
              <w:jc w:val="center"/>
              <w:textAlignment w:val="auto"/>
              <w:rPr>
                <w:rFonts w:hint="default" w:eastAsia="宋体"/>
                <w:color w:val="auto"/>
                <w:szCs w:val="21"/>
                <w:highlight w:val="none"/>
                <w:lang w:val="en-US" w:eastAsia="zh-CN"/>
              </w:rPr>
            </w:pPr>
            <w:r>
              <w:rPr>
                <w:rFonts w:hint="eastAsia" w:eastAsiaTheme="minorEastAsia"/>
                <w:color w:val="auto"/>
                <w:kern w:val="0"/>
                <w:szCs w:val="21"/>
                <w:highlight w:val="none"/>
                <w:lang w:val="en-US" w:eastAsia="zh-CN"/>
              </w:rPr>
              <w:t>/</w:t>
            </w:r>
          </w:p>
        </w:tc>
        <w:tc>
          <w:tcPr>
            <w:tcW w:w="617" w:type="pct"/>
            <w:vAlign w:val="center"/>
          </w:tcPr>
          <w:p w14:paraId="3EA05D13">
            <w:pPr>
              <w:keepNext w:val="0"/>
              <w:keepLines w:val="0"/>
              <w:pageBreakBefore w:val="0"/>
              <w:kinsoku/>
              <w:wordWrap/>
              <w:overflowPunct/>
              <w:topLinePunct w:val="0"/>
              <w:autoSpaceDE/>
              <w:autoSpaceDN/>
              <w:bidi w:val="0"/>
              <w:adjustRightInd/>
              <w:snapToGrid/>
              <w:jc w:val="center"/>
              <w:textAlignment w:val="auto"/>
              <w:rPr>
                <w:color w:val="auto"/>
                <w:kern w:val="0"/>
                <w:sz w:val="22"/>
                <w:szCs w:val="22"/>
                <w:highlight w:val="none"/>
                <w:lang w:bidi="ar"/>
              </w:rPr>
            </w:pPr>
            <w:r>
              <w:rPr>
                <w:rFonts w:hint="default" w:ascii="Times New Roman" w:hAnsi="Times New Roman" w:cs="Times New Roman"/>
                <w:snapToGrid w:val="0"/>
                <w:color w:val="auto"/>
                <w:kern w:val="21"/>
                <w:szCs w:val="21"/>
                <w:highlight w:val="none"/>
              </w:rPr>
              <w:t>/</w:t>
            </w:r>
          </w:p>
        </w:tc>
        <w:tc>
          <w:tcPr>
            <w:tcW w:w="1526" w:type="dxa"/>
            <w:vAlign w:val="center"/>
          </w:tcPr>
          <w:p w14:paraId="2FD6C6A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color w:val="auto"/>
                <w:kern w:val="0"/>
                <w:szCs w:val="21"/>
                <w:highlight w:val="none"/>
                <w:lang w:val="en-US" w:eastAsia="zh-CN"/>
              </w:rPr>
            </w:pPr>
            <w:r>
              <w:rPr>
                <w:rFonts w:hint="eastAsia"/>
                <w:color w:val="auto"/>
                <w:sz w:val="21"/>
                <w:szCs w:val="21"/>
                <w:highlight w:val="none"/>
                <w:lang w:val="en-US" w:eastAsia="zh-CN"/>
              </w:rPr>
              <w:t>0.0239</w:t>
            </w:r>
          </w:p>
        </w:tc>
        <w:tc>
          <w:tcPr>
            <w:tcW w:w="638" w:type="pct"/>
            <w:vAlign w:val="center"/>
          </w:tcPr>
          <w:p w14:paraId="5389AFAA">
            <w:pPr>
              <w:keepNext w:val="0"/>
              <w:keepLines w:val="0"/>
              <w:pageBreakBefore w:val="0"/>
              <w:kinsoku/>
              <w:wordWrap/>
              <w:overflowPunct/>
              <w:topLinePunct w:val="0"/>
              <w:autoSpaceDE/>
              <w:autoSpaceDN/>
              <w:bidi w:val="0"/>
              <w:adjustRightInd/>
              <w:snapToGrid/>
              <w:jc w:val="center"/>
              <w:textAlignment w:val="auto"/>
              <w:rPr>
                <w:rFonts w:hint="eastAsia"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0</w:t>
            </w:r>
          </w:p>
        </w:tc>
        <w:tc>
          <w:tcPr>
            <w:tcW w:w="1747" w:type="dxa"/>
            <w:vAlign w:val="center"/>
          </w:tcPr>
          <w:p w14:paraId="4071D7E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Cs w:val="21"/>
                <w:highlight w:val="none"/>
              </w:rPr>
            </w:pPr>
            <w:r>
              <w:rPr>
                <w:rFonts w:hint="eastAsia"/>
                <w:color w:val="auto"/>
                <w:sz w:val="21"/>
                <w:szCs w:val="21"/>
                <w:highlight w:val="none"/>
                <w:lang w:val="en-US" w:eastAsia="zh-CN"/>
              </w:rPr>
              <w:t>0.0239</w:t>
            </w:r>
          </w:p>
        </w:tc>
        <w:tc>
          <w:tcPr>
            <w:tcW w:w="365" w:type="pct"/>
            <w:vAlign w:val="center"/>
          </w:tcPr>
          <w:p w14:paraId="69116C0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auto"/>
                <w:kern w:val="0"/>
                <w:szCs w:val="21"/>
                <w:highlight w:val="none"/>
                <w:lang w:val="en-US" w:bidi="ar"/>
              </w:rPr>
            </w:pPr>
            <w:r>
              <w:rPr>
                <w:rFonts w:hint="eastAsia"/>
                <w:color w:val="auto"/>
                <w:sz w:val="21"/>
                <w:szCs w:val="21"/>
                <w:highlight w:val="none"/>
                <w:lang w:val="en-US" w:eastAsia="zh-CN"/>
              </w:rPr>
              <w:t>+0.0239</w:t>
            </w:r>
          </w:p>
        </w:tc>
      </w:tr>
      <w:tr w14:paraId="3511B2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71" w:type="pct"/>
            <w:vMerge w:val="restart"/>
            <w:vAlign w:val="center"/>
          </w:tcPr>
          <w:p w14:paraId="5C67D744">
            <w:pPr>
              <w:pStyle w:val="62"/>
              <w:keepNext w:val="0"/>
              <w:keepLines w:val="0"/>
              <w:pageBreakBefore w:val="0"/>
              <w:widowControl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kern w:val="21"/>
                <w:szCs w:val="21"/>
                <w:highlight w:val="none"/>
              </w:rPr>
            </w:pPr>
            <w:r>
              <w:rPr>
                <w:rFonts w:ascii="Times New Roman" w:eastAsiaTheme="minorEastAsia"/>
                <w:snapToGrid w:val="0"/>
                <w:color w:val="auto"/>
                <w:kern w:val="21"/>
                <w:szCs w:val="21"/>
                <w:highlight w:val="none"/>
              </w:rPr>
              <w:t>一般</w:t>
            </w:r>
          </w:p>
          <w:p w14:paraId="6D9E58E6">
            <w:pPr>
              <w:pStyle w:val="62"/>
              <w:keepNext w:val="0"/>
              <w:keepLines w:val="0"/>
              <w:pageBreakBefore w:val="0"/>
              <w:widowControl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kern w:val="21"/>
                <w:szCs w:val="21"/>
                <w:highlight w:val="none"/>
              </w:rPr>
            </w:pPr>
            <w:r>
              <w:rPr>
                <w:rFonts w:ascii="Times New Roman" w:eastAsiaTheme="minorEastAsia"/>
                <w:snapToGrid w:val="0"/>
                <w:color w:val="auto"/>
                <w:kern w:val="21"/>
                <w:szCs w:val="21"/>
                <w:highlight w:val="none"/>
              </w:rPr>
              <w:t>固体废物</w:t>
            </w:r>
          </w:p>
        </w:tc>
        <w:tc>
          <w:tcPr>
            <w:tcW w:w="615" w:type="pct"/>
            <w:gridSpan w:val="2"/>
            <w:vAlign w:val="center"/>
          </w:tcPr>
          <w:p w14:paraId="5030A705">
            <w:pPr>
              <w:keepNext w:val="0"/>
              <w:keepLines w:val="0"/>
              <w:pageBreakBefore w:val="0"/>
              <w:kinsoku/>
              <w:wordWrap/>
              <w:overflowPunct/>
              <w:topLinePunct w:val="0"/>
              <w:autoSpaceDE/>
              <w:autoSpaceDN/>
              <w:bidi w:val="0"/>
              <w:adjustRightInd/>
              <w:snapToGrid/>
              <w:jc w:val="center"/>
              <w:textAlignment w:val="auto"/>
              <w:rPr>
                <w:rFonts w:hint="default" w:eastAsia="宋体"/>
                <w:color w:val="auto"/>
                <w:kern w:val="0"/>
                <w:szCs w:val="21"/>
                <w:highlight w:val="none"/>
                <w:lang w:val="en-US" w:eastAsia="zh-CN"/>
              </w:rPr>
            </w:pPr>
            <w:r>
              <w:rPr>
                <w:color w:val="auto"/>
                <w:szCs w:val="21"/>
                <w:highlight w:val="none"/>
              </w:rPr>
              <w:t>废</w:t>
            </w:r>
            <w:r>
              <w:rPr>
                <w:rFonts w:hint="eastAsia"/>
                <w:color w:val="auto"/>
                <w:szCs w:val="21"/>
                <w:highlight w:val="none"/>
                <w:lang w:val="en-US" w:eastAsia="zh-CN"/>
              </w:rPr>
              <w:t>镀膜材料</w:t>
            </w:r>
          </w:p>
        </w:tc>
        <w:tc>
          <w:tcPr>
            <w:tcW w:w="617" w:type="pct"/>
            <w:vAlign w:val="center"/>
          </w:tcPr>
          <w:p w14:paraId="0DA47BA5">
            <w:pPr>
              <w:keepNext w:val="0"/>
              <w:keepLines w:val="0"/>
              <w:pageBreakBefore w:val="0"/>
              <w:widowControl/>
              <w:kinsoku/>
              <w:wordWrap/>
              <w:overflowPunct/>
              <w:topLinePunct w:val="0"/>
              <w:autoSpaceDE/>
              <w:autoSpaceDN/>
              <w:bidi w:val="0"/>
              <w:adjustRightInd/>
              <w:snapToGrid/>
              <w:jc w:val="center"/>
              <w:textAlignment w:val="auto"/>
              <w:rPr>
                <w:rFonts w:hint="default" w:eastAsiaTheme="minorEastAsia"/>
                <w:color w:val="auto"/>
                <w:szCs w:val="21"/>
                <w:highlight w:val="none"/>
                <w:lang w:val="en-US" w:eastAsia="zh-CN"/>
              </w:rPr>
            </w:pPr>
            <w:r>
              <w:rPr>
                <w:rFonts w:hint="eastAsia" w:eastAsiaTheme="minorEastAsia"/>
                <w:color w:val="auto"/>
                <w:kern w:val="0"/>
                <w:szCs w:val="21"/>
                <w:highlight w:val="none"/>
                <w:lang w:val="en-US" w:eastAsia="zh-CN"/>
              </w:rPr>
              <w:t>/</w:t>
            </w:r>
          </w:p>
        </w:tc>
        <w:tc>
          <w:tcPr>
            <w:tcW w:w="461" w:type="pct"/>
            <w:vAlign w:val="center"/>
          </w:tcPr>
          <w:p w14:paraId="240DC991">
            <w:pPr>
              <w:keepNext w:val="0"/>
              <w:keepLines w:val="0"/>
              <w:pageBreakBefore w:val="0"/>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rFonts w:hint="eastAsia" w:eastAsiaTheme="minorEastAsia"/>
                <w:color w:val="auto"/>
                <w:kern w:val="0"/>
                <w:szCs w:val="21"/>
                <w:highlight w:val="none"/>
                <w:lang w:val="en-US" w:eastAsia="zh-CN"/>
              </w:rPr>
              <w:t>/</w:t>
            </w:r>
          </w:p>
        </w:tc>
        <w:tc>
          <w:tcPr>
            <w:tcW w:w="617" w:type="pct"/>
            <w:vAlign w:val="center"/>
          </w:tcPr>
          <w:p w14:paraId="73ED5119">
            <w:pPr>
              <w:keepNext w:val="0"/>
              <w:keepLines w:val="0"/>
              <w:pageBreakBefore w:val="0"/>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565" w:type="pct"/>
            <w:vAlign w:val="center"/>
          </w:tcPr>
          <w:p w14:paraId="6DAFD534">
            <w:pPr>
              <w:keepNext w:val="0"/>
              <w:keepLines w:val="0"/>
              <w:pageBreakBefore w:val="0"/>
              <w:widowControl/>
              <w:kinsoku/>
              <w:wordWrap/>
              <w:overflowPunct/>
              <w:topLinePunct w:val="0"/>
              <w:autoSpaceDE/>
              <w:autoSpaceDN/>
              <w:bidi w:val="0"/>
              <w:adjustRightInd/>
              <w:snapToGrid/>
              <w:jc w:val="center"/>
              <w:textAlignment w:val="auto"/>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0.02</w:t>
            </w:r>
          </w:p>
        </w:tc>
        <w:tc>
          <w:tcPr>
            <w:tcW w:w="638" w:type="pct"/>
            <w:vAlign w:val="center"/>
          </w:tcPr>
          <w:p w14:paraId="6A24E935">
            <w:pPr>
              <w:keepNext w:val="0"/>
              <w:keepLines w:val="0"/>
              <w:pageBreakBefore w:val="0"/>
              <w:kinsoku/>
              <w:wordWrap/>
              <w:overflowPunct/>
              <w:topLinePunct w:val="0"/>
              <w:autoSpaceDE/>
              <w:autoSpaceDN/>
              <w:bidi w:val="0"/>
              <w:adjustRightInd/>
              <w:snapToGrid/>
              <w:jc w:val="center"/>
              <w:textAlignment w:val="auto"/>
              <w:rPr>
                <w:rFonts w:eastAsiaTheme="minorEastAsia"/>
                <w:color w:val="auto"/>
                <w:kern w:val="0"/>
                <w:szCs w:val="21"/>
                <w:highlight w:val="none"/>
              </w:rPr>
            </w:pPr>
            <w:r>
              <w:rPr>
                <w:rFonts w:eastAsiaTheme="minorEastAsia"/>
                <w:color w:val="auto"/>
                <w:kern w:val="0"/>
                <w:szCs w:val="21"/>
                <w:highlight w:val="none"/>
              </w:rPr>
              <w:t>0</w:t>
            </w:r>
          </w:p>
        </w:tc>
        <w:tc>
          <w:tcPr>
            <w:tcW w:w="647" w:type="pct"/>
            <w:vAlign w:val="center"/>
          </w:tcPr>
          <w:p w14:paraId="280327A4">
            <w:pPr>
              <w:keepNext w:val="0"/>
              <w:keepLines w:val="0"/>
              <w:pageBreakBefore w:val="0"/>
              <w:widowControl/>
              <w:kinsoku/>
              <w:wordWrap/>
              <w:overflowPunct/>
              <w:topLinePunct w:val="0"/>
              <w:autoSpaceDE/>
              <w:autoSpaceDN/>
              <w:bidi w:val="0"/>
              <w:adjustRightInd/>
              <w:snapToGrid/>
              <w:jc w:val="center"/>
              <w:textAlignment w:val="auto"/>
              <w:rPr>
                <w:rFonts w:hint="default" w:eastAsiaTheme="minorEastAsia"/>
                <w:color w:val="auto"/>
                <w:kern w:val="0"/>
                <w:szCs w:val="21"/>
                <w:highlight w:val="none"/>
                <w:lang w:val="en-US"/>
              </w:rPr>
            </w:pPr>
            <w:r>
              <w:rPr>
                <w:rFonts w:hint="eastAsia" w:eastAsiaTheme="minorEastAsia"/>
                <w:color w:val="auto"/>
                <w:kern w:val="0"/>
                <w:szCs w:val="21"/>
                <w:highlight w:val="none"/>
                <w:lang w:val="en-US" w:eastAsia="zh-CN"/>
              </w:rPr>
              <w:t>0.02</w:t>
            </w:r>
          </w:p>
        </w:tc>
        <w:tc>
          <w:tcPr>
            <w:tcW w:w="365" w:type="pct"/>
            <w:vAlign w:val="center"/>
          </w:tcPr>
          <w:p w14:paraId="671C53D8">
            <w:pPr>
              <w:keepNext w:val="0"/>
              <w:keepLines w:val="0"/>
              <w:pageBreakBefore w:val="0"/>
              <w:widowControl/>
              <w:kinsoku/>
              <w:wordWrap/>
              <w:overflowPunct/>
              <w:topLinePunct w:val="0"/>
              <w:autoSpaceDE/>
              <w:autoSpaceDN/>
              <w:bidi w:val="0"/>
              <w:adjustRightInd/>
              <w:snapToGrid/>
              <w:jc w:val="center"/>
              <w:textAlignment w:val="auto"/>
              <w:rPr>
                <w:rFonts w:hint="default" w:eastAsiaTheme="minorEastAsia"/>
                <w:snapToGrid w:val="0"/>
                <w:color w:val="auto"/>
                <w:kern w:val="21"/>
                <w:szCs w:val="21"/>
                <w:highlight w:val="none"/>
                <w:lang w:val="en-US" w:eastAsia="zh-CN"/>
              </w:rPr>
            </w:pPr>
            <w:r>
              <w:rPr>
                <w:rFonts w:hint="eastAsia" w:eastAsiaTheme="minorEastAsia"/>
                <w:color w:val="auto"/>
                <w:kern w:val="0"/>
                <w:szCs w:val="21"/>
                <w:highlight w:val="none"/>
                <w:lang w:val="en-US" w:eastAsia="zh-CN" w:bidi="ar"/>
              </w:rPr>
              <w:t>+0.02</w:t>
            </w:r>
          </w:p>
        </w:tc>
      </w:tr>
      <w:tr w14:paraId="2B25A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9" w:hRule="atLeast"/>
        </w:trPr>
        <w:tc>
          <w:tcPr>
            <w:tcW w:w="471" w:type="pct"/>
            <w:vMerge w:val="continue"/>
            <w:vAlign w:val="center"/>
          </w:tcPr>
          <w:p w14:paraId="792A4714">
            <w:pPr>
              <w:pStyle w:val="62"/>
              <w:keepNext w:val="0"/>
              <w:keepLines w:val="0"/>
              <w:pageBreakBefore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kern w:val="21"/>
                <w:szCs w:val="21"/>
                <w:highlight w:val="none"/>
              </w:rPr>
            </w:pPr>
          </w:p>
        </w:tc>
        <w:tc>
          <w:tcPr>
            <w:tcW w:w="615" w:type="pct"/>
            <w:gridSpan w:val="2"/>
            <w:vAlign w:val="center"/>
          </w:tcPr>
          <w:p w14:paraId="35D2979A">
            <w:pPr>
              <w:keepNext w:val="0"/>
              <w:keepLines w:val="0"/>
              <w:pageBreakBefore w:val="0"/>
              <w:kinsoku/>
              <w:wordWrap/>
              <w:overflowPunct/>
              <w:topLinePunct w:val="0"/>
              <w:autoSpaceDE/>
              <w:autoSpaceDN/>
              <w:bidi w:val="0"/>
              <w:adjustRightInd/>
              <w:snapToGrid/>
              <w:jc w:val="center"/>
              <w:textAlignment w:val="auto"/>
              <w:rPr>
                <w:rFonts w:hint="default"/>
                <w:color w:val="auto"/>
                <w:szCs w:val="21"/>
                <w:highlight w:val="none"/>
                <w:lang w:val="en-US" w:eastAsia="zh-CN"/>
              </w:rPr>
            </w:pPr>
            <w:r>
              <w:rPr>
                <w:rFonts w:hint="eastAsia"/>
                <w:color w:val="auto"/>
                <w:szCs w:val="21"/>
                <w:highlight w:val="none"/>
                <w:lang w:val="en-US" w:eastAsia="zh-CN"/>
              </w:rPr>
              <w:t>废包装材料</w:t>
            </w:r>
          </w:p>
        </w:tc>
        <w:tc>
          <w:tcPr>
            <w:tcW w:w="617" w:type="pct"/>
            <w:vAlign w:val="center"/>
          </w:tcPr>
          <w:p w14:paraId="26017C81">
            <w:pPr>
              <w:keepNext w:val="0"/>
              <w:keepLines w:val="0"/>
              <w:pageBreakBefore w:val="0"/>
              <w:widowControl/>
              <w:kinsoku/>
              <w:wordWrap/>
              <w:overflowPunct/>
              <w:topLinePunct w:val="0"/>
              <w:autoSpaceDE/>
              <w:autoSpaceDN/>
              <w:bidi w:val="0"/>
              <w:adjustRightInd/>
              <w:snapToGrid/>
              <w:jc w:val="center"/>
              <w:textAlignment w:val="auto"/>
              <w:rPr>
                <w:rFonts w:hint="eastAsia"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w:t>
            </w:r>
          </w:p>
        </w:tc>
        <w:tc>
          <w:tcPr>
            <w:tcW w:w="461" w:type="pct"/>
            <w:vAlign w:val="center"/>
          </w:tcPr>
          <w:p w14:paraId="3731E3A8">
            <w:pPr>
              <w:keepNext w:val="0"/>
              <w:keepLines w:val="0"/>
              <w:pageBreakBefore w:val="0"/>
              <w:kinsoku/>
              <w:wordWrap/>
              <w:overflowPunct/>
              <w:topLinePunct w:val="0"/>
              <w:autoSpaceDE/>
              <w:autoSpaceDN/>
              <w:bidi w:val="0"/>
              <w:adjustRightInd/>
              <w:snapToGrid/>
              <w:jc w:val="center"/>
              <w:textAlignment w:val="auto"/>
              <w:rPr>
                <w:rFonts w:hint="eastAsia"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w:t>
            </w:r>
          </w:p>
        </w:tc>
        <w:tc>
          <w:tcPr>
            <w:tcW w:w="617" w:type="pct"/>
            <w:vAlign w:val="center"/>
          </w:tcPr>
          <w:p w14:paraId="5684139C">
            <w:pPr>
              <w:keepNext w:val="0"/>
              <w:keepLines w:val="0"/>
              <w:pageBreakBefore w:val="0"/>
              <w:kinsoku/>
              <w:wordWrap/>
              <w:overflowPunct/>
              <w:topLinePunct w:val="0"/>
              <w:autoSpaceDE/>
              <w:autoSpaceDN/>
              <w:bidi w:val="0"/>
              <w:adjustRightInd/>
              <w:snapToGrid/>
              <w:jc w:val="center"/>
              <w:textAlignment w:val="auto"/>
              <w:rPr>
                <w:rFonts w:hint="eastAsia" w:cs="Times New Roman"/>
                <w:snapToGrid w:val="0"/>
                <w:color w:val="auto"/>
                <w:kern w:val="21"/>
                <w:szCs w:val="21"/>
                <w:highlight w:val="none"/>
                <w:lang w:val="en-US" w:eastAsia="zh-CN"/>
              </w:rPr>
            </w:pPr>
            <w:r>
              <w:rPr>
                <w:rFonts w:hint="eastAsia" w:cs="Times New Roman"/>
                <w:snapToGrid w:val="0"/>
                <w:color w:val="auto"/>
                <w:kern w:val="21"/>
                <w:szCs w:val="21"/>
                <w:highlight w:val="none"/>
                <w:lang w:val="en-US" w:eastAsia="zh-CN"/>
              </w:rPr>
              <w:t>/</w:t>
            </w:r>
          </w:p>
        </w:tc>
        <w:tc>
          <w:tcPr>
            <w:tcW w:w="565" w:type="pct"/>
            <w:vAlign w:val="center"/>
          </w:tcPr>
          <w:p w14:paraId="39ACF4CA">
            <w:pPr>
              <w:keepNext w:val="0"/>
              <w:keepLines w:val="0"/>
              <w:pageBreakBefore w:val="0"/>
              <w:widowControl/>
              <w:kinsoku/>
              <w:wordWrap/>
              <w:overflowPunct/>
              <w:topLinePunct w:val="0"/>
              <w:autoSpaceDE/>
              <w:autoSpaceDN/>
              <w:bidi w:val="0"/>
              <w:adjustRightInd/>
              <w:snapToGrid/>
              <w:jc w:val="center"/>
              <w:textAlignment w:val="auto"/>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0.1</w:t>
            </w:r>
          </w:p>
        </w:tc>
        <w:tc>
          <w:tcPr>
            <w:tcW w:w="638" w:type="pct"/>
            <w:vAlign w:val="center"/>
          </w:tcPr>
          <w:p w14:paraId="3173B91D">
            <w:pPr>
              <w:keepNext w:val="0"/>
              <w:keepLines w:val="0"/>
              <w:pageBreakBefore w:val="0"/>
              <w:kinsoku/>
              <w:wordWrap/>
              <w:overflowPunct/>
              <w:topLinePunct w:val="0"/>
              <w:autoSpaceDE/>
              <w:autoSpaceDN/>
              <w:bidi w:val="0"/>
              <w:adjustRightInd/>
              <w:snapToGrid/>
              <w:jc w:val="center"/>
              <w:textAlignment w:val="auto"/>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0</w:t>
            </w:r>
          </w:p>
        </w:tc>
        <w:tc>
          <w:tcPr>
            <w:tcW w:w="647" w:type="pct"/>
            <w:vAlign w:val="center"/>
          </w:tcPr>
          <w:p w14:paraId="30C23823">
            <w:pPr>
              <w:keepNext w:val="0"/>
              <w:keepLines w:val="0"/>
              <w:pageBreakBefore w:val="0"/>
              <w:widowControl/>
              <w:kinsoku/>
              <w:wordWrap/>
              <w:overflowPunct/>
              <w:topLinePunct w:val="0"/>
              <w:autoSpaceDE/>
              <w:autoSpaceDN/>
              <w:bidi w:val="0"/>
              <w:adjustRightInd/>
              <w:snapToGrid/>
              <w:jc w:val="center"/>
              <w:textAlignment w:val="auto"/>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0.1</w:t>
            </w:r>
          </w:p>
        </w:tc>
        <w:tc>
          <w:tcPr>
            <w:tcW w:w="365" w:type="pct"/>
            <w:vAlign w:val="center"/>
          </w:tcPr>
          <w:p w14:paraId="178F6AFC">
            <w:pPr>
              <w:keepNext w:val="0"/>
              <w:keepLines w:val="0"/>
              <w:pageBreakBefore w:val="0"/>
              <w:widowControl/>
              <w:kinsoku/>
              <w:wordWrap/>
              <w:overflowPunct/>
              <w:topLinePunct w:val="0"/>
              <w:autoSpaceDE/>
              <w:autoSpaceDN/>
              <w:bidi w:val="0"/>
              <w:adjustRightInd/>
              <w:snapToGrid/>
              <w:jc w:val="center"/>
              <w:textAlignment w:val="auto"/>
              <w:rPr>
                <w:rFonts w:hint="default" w:eastAsiaTheme="minorEastAsia"/>
                <w:color w:val="auto"/>
                <w:kern w:val="0"/>
                <w:szCs w:val="21"/>
                <w:highlight w:val="none"/>
                <w:lang w:val="en-US" w:eastAsia="zh-CN" w:bidi="ar"/>
              </w:rPr>
            </w:pPr>
            <w:r>
              <w:rPr>
                <w:rFonts w:hint="eastAsia" w:eastAsiaTheme="minorEastAsia"/>
                <w:color w:val="auto"/>
                <w:kern w:val="0"/>
                <w:szCs w:val="21"/>
                <w:highlight w:val="none"/>
                <w:lang w:val="en-US" w:eastAsia="zh-CN" w:bidi="ar"/>
              </w:rPr>
              <w:t>+0.1</w:t>
            </w:r>
          </w:p>
        </w:tc>
      </w:tr>
      <w:tr w14:paraId="4C7128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71" w:type="pct"/>
            <w:vMerge w:val="continue"/>
            <w:vAlign w:val="center"/>
          </w:tcPr>
          <w:p w14:paraId="2A5D5357">
            <w:pPr>
              <w:pStyle w:val="62"/>
              <w:keepNext w:val="0"/>
              <w:keepLines w:val="0"/>
              <w:pageBreakBefore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kern w:val="21"/>
                <w:szCs w:val="21"/>
                <w:highlight w:val="none"/>
              </w:rPr>
            </w:pPr>
          </w:p>
        </w:tc>
        <w:tc>
          <w:tcPr>
            <w:tcW w:w="615" w:type="pct"/>
            <w:gridSpan w:val="2"/>
            <w:vAlign w:val="center"/>
          </w:tcPr>
          <w:p w14:paraId="1375B784">
            <w:pPr>
              <w:keepNext w:val="0"/>
              <w:keepLines w:val="0"/>
              <w:pageBreakBefore w:val="0"/>
              <w:kinsoku/>
              <w:wordWrap/>
              <w:overflowPunct/>
              <w:topLinePunct w:val="0"/>
              <w:autoSpaceDE/>
              <w:autoSpaceDN/>
              <w:bidi w:val="0"/>
              <w:adjustRightInd/>
              <w:snapToGrid/>
              <w:jc w:val="center"/>
              <w:textAlignment w:val="auto"/>
              <w:rPr>
                <w:rFonts w:eastAsiaTheme="minorEastAsia"/>
                <w:color w:val="auto"/>
                <w:kern w:val="0"/>
                <w:szCs w:val="21"/>
                <w:highlight w:val="none"/>
              </w:rPr>
            </w:pPr>
            <w:r>
              <w:rPr>
                <w:color w:val="auto"/>
                <w:szCs w:val="21"/>
                <w:highlight w:val="none"/>
              </w:rPr>
              <w:t>生活垃圾</w:t>
            </w:r>
          </w:p>
        </w:tc>
        <w:tc>
          <w:tcPr>
            <w:tcW w:w="617" w:type="pct"/>
            <w:vAlign w:val="center"/>
          </w:tcPr>
          <w:p w14:paraId="32FB50C1">
            <w:pPr>
              <w:keepNext w:val="0"/>
              <w:keepLines w:val="0"/>
              <w:pageBreakBefore w:val="0"/>
              <w:widowControl/>
              <w:kinsoku/>
              <w:wordWrap/>
              <w:overflowPunct/>
              <w:topLinePunct w:val="0"/>
              <w:autoSpaceDE/>
              <w:autoSpaceDN/>
              <w:bidi w:val="0"/>
              <w:adjustRightInd/>
              <w:snapToGrid/>
              <w:jc w:val="center"/>
              <w:textAlignment w:val="auto"/>
              <w:rPr>
                <w:rFonts w:hint="default" w:eastAsiaTheme="minorEastAsia"/>
                <w:color w:val="auto"/>
                <w:szCs w:val="21"/>
                <w:highlight w:val="none"/>
                <w:lang w:val="en-US" w:eastAsia="zh-CN"/>
              </w:rPr>
            </w:pPr>
            <w:r>
              <w:rPr>
                <w:rFonts w:hint="eastAsia" w:eastAsiaTheme="minorEastAsia"/>
                <w:color w:val="auto"/>
                <w:kern w:val="0"/>
                <w:szCs w:val="21"/>
                <w:highlight w:val="none"/>
                <w:lang w:val="en-US" w:eastAsia="zh-CN"/>
              </w:rPr>
              <w:t>/</w:t>
            </w:r>
          </w:p>
        </w:tc>
        <w:tc>
          <w:tcPr>
            <w:tcW w:w="461" w:type="pct"/>
            <w:vAlign w:val="center"/>
          </w:tcPr>
          <w:p w14:paraId="65DBE3B9">
            <w:pPr>
              <w:keepNext w:val="0"/>
              <w:keepLines w:val="0"/>
              <w:pageBreakBefore w:val="0"/>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rFonts w:hint="eastAsia" w:eastAsiaTheme="minorEastAsia"/>
                <w:color w:val="auto"/>
                <w:kern w:val="0"/>
                <w:szCs w:val="21"/>
                <w:highlight w:val="none"/>
                <w:lang w:val="en-US" w:eastAsia="zh-CN"/>
              </w:rPr>
              <w:t>/</w:t>
            </w:r>
          </w:p>
        </w:tc>
        <w:tc>
          <w:tcPr>
            <w:tcW w:w="617" w:type="pct"/>
            <w:vAlign w:val="center"/>
          </w:tcPr>
          <w:p w14:paraId="2FB5D3F4">
            <w:pPr>
              <w:keepNext w:val="0"/>
              <w:keepLines w:val="0"/>
              <w:pageBreakBefore w:val="0"/>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565" w:type="pct"/>
            <w:vAlign w:val="center"/>
          </w:tcPr>
          <w:p w14:paraId="570D6187">
            <w:pPr>
              <w:keepNext w:val="0"/>
              <w:keepLines w:val="0"/>
              <w:pageBreakBefore w:val="0"/>
              <w:widowControl/>
              <w:kinsoku/>
              <w:wordWrap/>
              <w:overflowPunct/>
              <w:topLinePunct w:val="0"/>
              <w:autoSpaceDE/>
              <w:autoSpaceDN/>
              <w:bidi w:val="0"/>
              <w:adjustRightInd/>
              <w:snapToGrid/>
              <w:jc w:val="center"/>
              <w:textAlignment w:val="auto"/>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7.5</w:t>
            </w:r>
          </w:p>
        </w:tc>
        <w:tc>
          <w:tcPr>
            <w:tcW w:w="638" w:type="pct"/>
            <w:vAlign w:val="center"/>
          </w:tcPr>
          <w:p w14:paraId="3A7248F0">
            <w:pPr>
              <w:keepNext w:val="0"/>
              <w:keepLines w:val="0"/>
              <w:pageBreakBefore w:val="0"/>
              <w:kinsoku/>
              <w:wordWrap/>
              <w:overflowPunct/>
              <w:topLinePunct w:val="0"/>
              <w:autoSpaceDE/>
              <w:autoSpaceDN/>
              <w:bidi w:val="0"/>
              <w:adjustRightInd/>
              <w:snapToGrid/>
              <w:jc w:val="center"/>
              <w:textAlignment w:val="auto"/>
              <w:rPr>
                <w:rFonts w:eastAsiaTheme="minorEastAsia"/>
                <w:color w:val="auto"/>
                <w:kern w:val="0"/>
                <w:szCs w:val="21"/>
                <w:highlight w:val="none"/>
              </w:rPr>
            </w:pPr>
            <w:r>
              <w:rPr>
                <w:rFonts w:eastAsiaTheme="minorEastAsia"/>
                <w:color w:val="auto"/>
                <w:kern w:val="0"/>
                <w:szCs w:val="21"/>
                <w:highlight w:val="none"/>
              </w:rPr>
              <w:t>0</w:t>
            </w:r>
          </w:p>
        </w:tc>
        <w:tc>
          <w:tcPr>
            <w:tcW w:w="647" w:type="pct"/>
            <w:vAlign w:val="center"/>
          </w:tcPr>
          <w:p w14:paraId="4381FE2A">
            <w:pPr>
              <w:keepNext w:val="0"/>
              <w:keepLines w:val="0"/>
              <w:pageBreakBefore w:val="0"/>
              <w:widowControl/>
              <w:kinsoku/>
              <w:wordWrap/>
              <w:overflowPunct/>
              <w:topLinePunct w:val="0"/>
              <w:autoSpaceDE/>
              <w:autoSpaceDN/>
              <w:bidi w:val="0"/>
              <w:adjustRightInd/>
              <w:snapToGrid/>
              <w:jc w:val="center"/>
              <w:textAlignment w:val="auto"/>
              <w:rPr>
                <w:rFonts w:hint="default" w:eastAsiaTheme="minorEastAsia"/>
                <w:color w:val="auto"/>
                <w:kern w:val="0"/>
                <w:szCs w:val="21"/>
                <w:highlight w:val="none"/>
                <w:lang w:val="en-US"/>
              </w:rPr>
            </w:pPr>
            <w:r>
              <w:rPr>
                <w:rFonts w:hint="eastAsia" w:eastAsiaTheme="minorEastAsia"/>
                <w:color w:val="auto"/>
                <w:kern w:val="0"/>
                <w:szCs w:val="21"/>
                <w:highlight w:val="none"/>
                <w:lang w:val="en-US" w:eastAsia="zh-CN"/>
              </w:rPr>
              <w:t>7.5</w:t>
            </w:r>
          </w:p>
        </w:tc>
        <w:tc>
          <w:tcPr>
            <w:tcW w:w="365" w:type="pct"/>
            <w:vAlign w:val="center"/>
          </w:tcPr>
          <w:p w14:paraId="2BC97781">
            <w:pPr>
              <w:keepNext w:val="0"/>
              <w:keepLines w:val="0"/>
              <w:pageBreakBefore w:val="0"/>
              <w:widowControl/>
              <w:kinsoku/>
              <w:wordWrap/>
              <w:overflowPunct/>
              <w:topLinePunct w:val="0"/>
              <w:autoSpaceDE/>
              <w:autoSpaceDN/>
              <w:bidi w:val="0"/>
              <w:adjustRightInd/>
              <w:snapToGrid/>
              <w:jc w:val="center"/>
              <w:textAlignment w:val="auto"/>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bidi="ar"/>
              </w:rPr>
              <w:t>+7.5</w:t>
            </w:r>
          </w:p>
        </w:tc>
      </w:tr>
      <w:tr w14:paraId="65816E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71" w:type="pct"/>
            <w:vMerge w:val="restart"/>
            <w:vAlign w:val="center"/>
          </w:tcPr>
          <w:p w14:paraId="61D14E83">
            <w:pPr>
              <w:pStyle w:val="62"/>
              <w:keepNext w:val="0"/>
              <w:keepLines w:val="0"/>
              <w:pageBreakBefore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kern w:val="21"/>
                <w:szCs w:val="21"/>
                <w:highlight w:val="none"/>
              </w:rPr>
            </w:pPr>
            <w:r>
              <w:rPr>
                <w:rFonts w:ascii="Times New Roman" w:eastAsiaTheme="minorEastAsia"/>
                <w:snapToGrid w:val="0"/>
                <w:color w:val="auto"/>
                <w:kern w:val="21"/>
                <w:szCs w:val="21"/>
                <w:highlight w:val="none"/>
              </w:rPr>
              <w:t>危险废物</w:t>
            </w:r>
          </w:p>
        </w:tc>
        <w:tc>
          <w:tcPr>
            <w:tcW w:w="615" w:type="pct"/>
            <w:gridSpan w:val="2"/>
            <w:vAlign w:val="center"/>
          </w:tcPr>
          <w:p w14:paraId="4827C9CC">
            <w:pPr>
              <w:keepNext w:val="0"/>
              <w:keepLines w:val="0"/>
              <w:pageBreakBefore w:val="0"/>
              <w:kinsoku/>
              <w:wordWrap/>
              <w:overflowPunct/>
              <w:topLinePunct w:val="0"/>
              <w:autoSpaceDE/>
              <w:autoSpaceDN/>
              <w:bidi w:val="0"/>
              <w:adjustRightInd/>
              <w:snapToGrid/>
              <w:jc w:val="center"/>
              <w:textAlignment w:val="auto"/>
              <w:rPr>
                <w:rFonts w:eastAsiaTheme="minorEastAsia"/>
                <w:color w:val="auto"/>
                <w:kern w:val="0"/>
                <w:szCs w:val="21"/>
                <w:highlight w:val="none"/>
              </w:rPr>
            </w:pPr>
            <w:r>
              <w:rPr>
                <w:color w:val="auto"/>
                <w:sz w:val="21"/>
                <w:szCs w:val="21"/>
                <w:highlight w:val="none"/>
              </w:rPr>
              <w:t>废包装</w:t>
            </w:r>
            <w:r>
              <w:rPr>
                <w:rFonts w:hint="eastAsia"/>
                <w:color w:val="auto"/>
                <w:sz w:val="21"/>
                <w:szCs w:val="21"/>
                <w:highlight w:val="none"/>
                <w:lang w:eastAsia="zh-CN"/>
              </w:rPr>
              <w:t>瓶</w:t>
            </w:r>
          </w:p>
        </w:tc>
        <w:tc>
          <w:tcPr>
            <w:tcW w:w="617" w:type="pct"/>
            <w:vAlign w:val="center"/>
          </w:tcPr>
          <w:p w14:paraId="79A64658">
            <w:pPr>
              <w:keepNext w:val="0"/>
              <w:keepLines w:val="0"/>
              <w:pageBreakBefore w:val="0"/>
              <w:widowControl/>
              <w:kinsoku/>
              <w:wordWrap/>
              <w:overflowPunct/>
              <w:topLinePunct w:val="0"/>
              <w:autoSpaceDE/>
              <w:autoSpaceDN/>
              <w:bidi w:val="0"/>
              <w:adjustRightInd/>
              <w:snapToGrid/>
              <w:jc w:val="center"/>
              <w:textAlignment w:val="auto"/>
              <w:rPr>
                <w:rFonts w:hint="default" w:eastAsia="宋体"/>
                <w:color w:val="auto"/>
                <w:sz w:val="22"/>
                <w:szCs w:val="22"/>
                <w:highlight w:val="none"/>
                <w:lang w:val="en-US" w:eastAsia="zh-CN"/>
              </w:rPr>
            </w:pPr>
            <w:r>
              <w:rPr>
                <w:rFonts w:hint="eastAsia" w:eastAsiaTheme="minorEastAsia"/>
                <w:color w:val="auto"/>
                <w:kern w:val="0"/>
                <w:szCs w:val="21"/>
                <w:highlight w:val="none"/>
                <w:lang w:val="en-US" w:eastAsia="zh-CN"/>
              </w:rPr>
              <w:t>/</w:t>
            </w:r>
          </w:p>
        </w:tc>
        <w:tc>
          <w:tcPr>
            <w:tcW w:w="461" w:type="pct"/>
            <w:vAlign w:val="center"/>
          </w:tcPr>
          <w:p w14:paraId="53275AF8">
            <w:pPr>
              <w:keepNext w:val="0"/>
              <w:keepLines w:val="0"/>
              <w:pageBreakBefore w:val="0"/>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rFonts w:hint="eastAsia" w:eastAsiaTheme="minorEastAsia"/>
                <w:color w:val="auto"/>
                <w:kern w:val="0"/>
                <w:szCs w:val="21"/>
                <w:highlight w:val="none"/>
                <w:lang w:val="en-US" w:eastAsia="zh-CN"/>
              </w:rPr>
              <w:t>/</w:t>
            </w:r>
          </w:p>
        </w:tc>
        <w:tc>
          <w:tcPr>
            <w:tcW w:w="617" w:type="pct"/>
            <w:vAlign w:val="center"/>
          </w:tcPr>
          <w:p w14:paraId="3018C48F">
            <w:pPr>
              <w:keepNext w:val="0"/>
              <w:keepLines w:val="0"/>
              <w:pageBreakBefore w:val="0"/>
              <w:kinsoku/>
              <w:wordWrap/>
              <w:overflowPunct/>
              <w:topLinePunct w:val="0"/>
              <w:autoSpaceDE/>
              <w:autoSpaceDN/>
              <w:bidi w:val="0"/>
              <w:adjustRightInd/>
              <w:snapToGrid/>
              <w:jc w:val="center"/>
              <w:textAlignment w:val="auto"/>
              <w:rPr>
                <w:color w:val="auto"/>
                <w:sz w:val="22"/>
                <w:szCs w:val="22"/>
                <w:highlight w:val="none"/>
              </w:rPr>
            </w:pPr>
            <w:r>
              <w:rPr>
                <w:rFonts w:hint="default" w:ascii="Times New Roman" w:hAnsi="Times New Roman" w:cs="Times New Roman"/>
                <w:snapToGrid w:val="0"/>
                <w:color w:val="auto"/>
                <w:kern w:val="21"/>
                <w:szCs w:val="21"/>
                <w:highlight w:val="none"/>
              </w:rPr>
              <w:t>/</w:t>
            </w:r>
          </w:p>
        </w:tc>
        <w:tc>
          <w:tcPr>
            <w:tcW w:w="565" w:type="pct"/>
            <w:vAlign w:val="center"/>
          </w:tcPr>
          <w:p w14:paraId="1C138894">
            <w:pPr>
              <w:keepNext w:val="0"/>
              <w:keepLines w:val="0"/>
              <w:pageBreakBefore w:val="0"/>
              <w:widowControl/>
              <w:kinsoku/>
              <w:wordWrap/>
              <w:overflowPunct/>
              <w:topLinePunct w:val="0"/>
              <w:autoSpaceDE/>
              <w:autoSpaceDN/>
              <w:bidi w:val="0"/>
              <w:adjustRightInd/>
              <w:snapToGrid/>
              <w:jc w:val="center"/>
              <w:textAlignment w:val="auto"/>
              <w:rPr>
                <w:rFonts w:hint="default" w:eastAsia="宋体"/>
                <w:color w:val="auto"/>
                <w:szCs w:val="21"/>
                <w:highlight w:val="none"/>
                <w:lang w:val="en-US" w:eastAsia="zh-CN"/>
              </w:rPr>
            </w:pPr>
            <w:r>
              <w:rPr>
                <w:rFonts w:hint="eastAsia" w:eastAsiaTheme="minorEastAsia"/>
                <w:color w:val="auto"/>
                <w:kern w:val="0"/>
                <w:szCs w:val="21"/>
                <w:highlight w:val="none"/>
                <w:lang w:val="en-US" w:eastAsia="zh-CN"/>
              </w:rPr>
              <w:t>0.02</w:t>
            </w:r>
          </w:p>
        </w:tc>
        <w:tc>
          <w:tcPr>
            <w:tcW w:w="638" w:type="pct"/>
            <w:vAlign w:val="center"/>
          </w:tcPr>
          <w:p w14:paraId="1955EE4E">
            <w:pPr>
              <w:keepNext w:val="0"/>
              <w:keepLines w:val="0"/>
              <w:pageBreakBefore w:val="0"/>
              <w:kinsoku/>
              <w:wordWrap/>
              <w:overflowPunct/>
              <w:topLinePunct w:val="0"/>
              <w:autoSpaceDE/>
              <w:autoSpaceDN/>
              <w:bidi w:val="0"/>
              <w:adjustRightInd/>
              <w:snapToGrid/>
              <w:jc w:val="center"/>
              <w:textAlignment w:val="auto"/>
              <w:rPr>
                <w:rFonts w:eastAsiaTheme="minorEastAsia"/>
                <w:color w:val="auto"/>
                <w:kern w:val="0"/>
                <w:szCs w:val="21"/>
                <w:highlight w:val="none"/>
              </w:rPr>
            </w:pPr>
            <w:r>
              <w:rPr>
                <w:rFonts w:eastAsiaTheme="minorEastAsia"/>
                <w:color w:val="auto"/>
                <w:kern w:val="0"/>
                <w:szCs w:val="21"/>
                <w:highlight w:val="none"/>
              </w:rPr>
              <w:t>0</w:t>
            </w:r>
          </w:p>
        </w:tc>
        <w:tc>
          <w:tcPr>
            <w:tcW w:w="647" w:type="pct"/>
            <w:vAlign w:val="center"/>
          </w:tcPr>
          <w:p w14:paraId="66017D9A">
            <w:pPr>
              <w:keepNext w:val="0"/>
              <w:keepLines w:val="0"/>
              <w:pageBreakBefore w:val="0"/>
              <w:widowControl/>
              <w:kinsoku/>
              <w:wordWrap/>
              <w:overflowPunct/>
              <w:topLinePunct w:val="0"/>
              <w:autoSpaceDE/>
              <w:autoSpaceDN/>
              <w:bidi w:val="0"/>
              <w:adjustRightInd/>
              <w:snapToGrid/>
              <w:jc w:val="center"/>
              <w:textAlignment w:val="auto"/>
              <w:rPr>
                <w:rFonts w:hint="default" w:eastAsiaTheme="minorEastAsia"/>
                <w:color w:val="auto"/>
                <w:kern w:val="0"/>
                <w:szCs w:val="21"/>
                <w:highlight w:val="none"/>
                <w:lang w:val="en-US"/>
              </w:rPr>
            </w:pPr>
            <w:r>
              <w:rPr>
                <w:rFonts w:hint="eastAsia" w:eastAsiaTheme="minorEastAsia"/>
                <w:color w:val="auto"/>
                <w:kern w:val="0"/>
                <w:szCs w:val="21"/>
                <w:highlight w:val="none"/>
                <w:lang w:val="en-US" w:eastAsia="zh-CN"/>
              </w:rPr>
              <w:t>0.02</w:t>
            </w:r>
          </w:p>
        </w:tc>
        <w:tc>
          <w:tcPr>
            <w:tcW w:w="365" w:type="pct"/>
            <w:vAlign w:val="center"/>
          </w:tcPr>
          <w:p w14:paraId="1811158F">
            <w:pPr>
              <w:keepNext w:val="0"/>
              <w:keepLines w:val="0"/>
              <w:pageBreakBefore w:val="0"/>
              <w:widowControl/>
              <w:kinsoku/>
              <w:wordWrap/>
              <w:overflowPunct/>
              <w:topLinePunct w:val="0"/>
              <w:autoSpaceDE/>
              <w:autoSpaceDN/>
              <w:bidi w:val="0"/>
              <w:adjustRightInd/>
              <w:snapToGrid/>
              <w:jc w:val="center"/>
              <w:textAlignment w:val="auto"/>
              <w:rPr>
                <w:rFonts w:hint="default" w:eastAsia="宋体"/>
                <w:color w:val="auto"/>
                <w:kern w:val="0"/>
                <w:szCs w:val="21"/>
                <w:highlight w:val="none"/>
                <w:lang w:val="en-US" w:eastAsia="zh-CN"/>
              </w:rPr>
            </w:pPr>
            <w:r>
              <w:rPr>
                <w:rFonts w:hint="eastAsia" w:eastAsiaTheme="minorEastAsia"/>
                <w:color w:val="auto"/>
                <w:kern w:val="0"/>
                <w:szCs w:val="21"/>
                <w:highlight w:val="none"/>
                <w:lang w:val="en-US" w:eastAsia="zh-CN"/>
              </w:rPr>
              <w:t>+0.02</w:t>
            </w:r>
          </w:p>
        </w:tc>
      </w:tr>
      <w:tr w14:paraId="2A7F2E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71" w:type="pct"/>
            <w:vMerge w:val="continue"/>
            <w:vAlign w:val="center"/>
          </w:tcPr>
          <w:p w14:paraId="09770675">
            <w:pPr>
              <w:pStyle w:val="62"/>
              <w:keepNext w:val="0"/>
              <w:keepLines w:val="0"/>
              <w:pageBreakBefore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kern w:val="21"/>
                <w:szCs w:val="21"/>
                <w:highlight w:val="none"/>
              </w:rPr>
            </w:pPr>
          </w:p>
        </w:tc>
        <w:tc>
          <w:tcPr>
            <w:tcW w:w="615" w:type="pct"/>
            <w:gridSpan w:val="2"/>
            <w:vAlign w:val="center"/>
          </w:tcPr>
          <w:p w14:paraId="331AF560">
            <w:pPr>
              <w:keepNext w:val="0"/>
              <w:keepLines w:val="0"/>
              <w:pageBreakBefore w:val="0"/>
              <w:kinsoku/>
              <w:wordWrap/>
              <w:overflowPunct/>
              <w:topLinePunct w:val="0"/>
              <w:autoSpaceDE/>
              <w:autoSpaceDN/>
              <w:bidi w:val="0"/>
              <w:adjustRightInd/>
              <w:snapToGrid/>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废油桶</w:t>
            </w:r>
          </w:p>
        </w:tc>
        <w:tc>
          <w:tcPr>
            <w:tcW w:w="617" w:type="pct"/>
            <w:vAlign w:val="center"/>
          </w:tcPr>
          <w:p w14:paraId="4E87BFD8">
            <w:pPr>
              <w:keepNext w:val="0"/>
              <w:keepLines w:val="0"/>
              <w:pageBreakBefore w:val="0"/>
              <w:widowControl/>
              <w:kinsoku/>
              <w:wordWrap/>
              <w:overflowPunct/>
              <w:topLinePunct w:val="0"/>
              <w:autoSpaceDE/>
              <w:autoSpaceDN/>
              <w:bidi w:val="0"/>
              <w:adjustRightInd/>
              <w:snapToGrid/>
              <w:jc w:val="center"/>
              <w:textAlignment w:val="auto"/>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w:t>
            </w:r>
          </w:p>
        </w:tc>
        <w:tc>
          <w:tcPr>
            <w:tcW w:w="461" w:type="pct"/>
            <w:vAlign w:val="center"/>
          </w:tcPr>
          <w:p w14:paraId="48204AEC">
            <w:pPr>
              <w:keepNext w:val="0"/>
              <w:keepLines w:val="0"/>
              <w:pageBreakBefore w:val="0"/>
              <w:kinsoku/>
              <w:wordWrap/>
              <w:overflowPunct/>
              <w:topLinePunct w:val="0"/>
              <w:autoSpaceDE/>
              <w:autoSpaceDN/>
              <w:bidi w:val="0"/>
              <w:adjustRightInd/>
              <w:snapToGrid/>
              <w:jc w:val="center"/>
              <w:textAlignment w:val="auto"/>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w:t>
            </w:r>
          </w:p>
        </w:tc>
        <w:tc>
          <w:tcPr>
            <w:tcW w:w="617" w:type="pct"/>
            <w:vAlign w:val="center"/>
          </w:tcPr>
          <w:p w14:paraId="778E31CB">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snapToGrid w:val="0"/>
                <w:color w:val="auto"/>
                <w:kern w:val="21"/>
                <w:szCs w:val="21"/>
                <w:highlight w:val="none"/>
                <w:lang w:val="en-US" w:eastAsia="zh-CN"/>
              </w:rPr>
            </w:pPr>
            <w:r>
              <w:rPr>
                <w:rFonts w:hint="eastAsia" w:cs="Times New Roman"/>
                <w:snapToGrid w:val="0"/>
                <w:color w:val="auto"/>
                <w:kern w:val="21"/>
                <w:szCs w:val="21"/>
                <w:highlight w:val="none"/>
                <w:lang w:val="en-US" w:eastAsia="zh-CN"/>
              </w:rPr>
              <w:t>/</w:t>
            </w:r>
          </w:p>
        </w:tc>
        <w:tc>
          <w:tcPr>
            <w:tcW w:w="565" w:type="pct"/>
            <w:vAlign w:val="center"/>
          </w:tcPr>
          <w:p w14:paraId="3B552D11">
            <w:pPr>
              <w:keepNext w:val="0"/>
              <w:keepLines w:val="0"/>
              <w:pageBreakBefore w:val="0"/>
              <w:widowControl/>
              <w:kinsoku/>
              <w:wordWrap/>
              <w:overflowPunct/>
              <w:topLinePunct w:val="0"/>
              <w:autoSpaceDE/>
              <w:autoSpaceDN/>
              <w:bidi w:val="0"/>
              <w:adjustRightInd/>
              <w:snapToGrid/>
              <w:jc w:val="center"/>
              <w:textAlignment w:val="auto"/>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0.01</w:t>
            </w:r>
          </w:p>
        </w:tc>
        <w:tc>
          <w:tcPr>
            <w:tcW w:w="638" w:type="pct"/>
            <w:vAlign w:val="center"/>
          </w:tcPr>
          <w:p w14:paraId="2E15F1DC">
            <w:pPr>
              <w:keepNext w:val="0"/>
              <w:keepLines w:val="0"/>
              <w:pageBreakBefore w:val="0"/>
              <w:kinsoku/>
              <w:wordWrap/>
              <w:overflowPunct/>
              <w:topLinePunct w:val="0"/>
              <w:autoSpaceDE/>
              <w:autoSpaceDN/>
              <w:bidi w:val="0"/>
              <w:adjustRightInd/>
              <w:snapToGrid/>
              <w:jc w:val="center"/>
              <w:textAlignment w:val="auto"/>
              <w:rPr>
                <w:rFonts w:hint="eastAsia"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0</w:t>
            </w:r>
          </w:p>
        </w:tc>
        <w:tc>
          <w:tcPr>
            <w:tcW w:w="647" w:type="pct"/>
            <w:vAlign w:val="center"/>
          </w:tcPr>
          <w:p w14:paraId="19057270">
            <w:pPr>
              <w:keepNext w:val="0"/>
              <w:keepLines w:val="0"/>
              <w:pageBreakBefore w:val="0"/>
              <w:widowControl/>
              <w:kinsoku/>
              <w:wordWrap/>
              <w:overflowPunct/>
              <w:topLinePunct w:val="0"/>
              <w:autoSpaceDE/>
              <w:autoSpaceDN/>
              <w:bidi w:val="0"/>
              <w:adjustRightInd/>
              <w:snapToGrid/>
              <w:jc w:val="center"/>
              <w:textAlignment w:val="auto"/>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0.01</w:t>
            </w:r>
          </w:p>
        </w:tc>
        <w:tc>
          <w:tcPr>
            <w:tcW w:w="365" w:type="pct"/>
            <w:vAlign w:val="center"/>
          </w:tcPr>
          <w:p w14:paraId="4868CA9F">
            <w:pPr>
              <w:keepNext w:val="0"/>
              <w:keepLines w:val="0"/>
              <w:pageBreakBefore w:val="0"/>
              <w:widowControl/>
              <w:kinsoku/>
              <w:wordWrap/>
              <w:overflowPunct/>
              <w:topLinePunct w:val="0"/>
              <w:autoSpaceDE/>
              <w:autoSpaceDN/>
              <w:bidi w:val="0"/>
              <w:adjustRightInd/>
              <w:snapToGrid/>
              <w:jc w:val="center"/>
              <w:textAlignment w:val="auto"/>
              <w:rPr>
                <w:rFonts w:hint="eastAsia"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+0.01</w:t>
            </w:r>
          </w:p>
        </w:tc>
      </w:tr>
      <w:tr w14:paraId="412A4E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71" w:type="pct"/>
            <w:vMerge w:val="continue"/>
            <w:vAlign w:val="center"/>
          </w:tcPr>
          <w:p w14:paraId="6B8ACD66">
            <w:pPr>
              <w:pStyle w:val="62"/>
              <w:keepNext w:val="0"/>
              <w:keepLines w:val="0"/>
              <w:pageBreakBefore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kern w:val="21"/>
                <w:szCs w:val="21"/>
                <w:highlight w:val="none"/>
              </w:rPr>
            </w:pPr>
          </w:p>
        </w:tc>
        <w:tc>
          <w:tcPr>
            <w:tcW w:w="615" w:type="pct"/>
            <w:gridSpan w:val="2"/>
            <w:vAlign w:val="center"/>
          </w:tcPr>
          <w:p w14:paraId="3D67DF81">
            <w:pPr>
              <w:keepNext w:val="0"/>
              <w:keepLines w:val="0"/>
              <w:pageBreakBefore w:val="0"/>
              <w:kinsoku/>
              <w:wordWrap/>
              <w:overflowPunct/>
              <w:topLinePunct w:val="0"/>
              <w:autoSpaceDE/>
              <w:autoSpaceDN/>
              <w:bidi w:val="0"/>
              <w:adjustRightInd/>
              <w:snapToGrid/>
              <w:jc w:val="center"/>
              <w:textAlignment w:val="auto"/>
              <w:rPr>
                <w:rFonts w:hint="eastAsia" w:eastAsia="宋体"/>
                <w:color w:val="auto"/>
                <w:szCs w:val="21"/>
                <w:highlight w:val="none"/>
                <w:lang w:val="en-US" w:eastAsia="zh-CN"/>
              </w:rPr>
            </w:pPr>
            <w:r>
              <w:rPr>
                <w:rFonts w:eastAsiaTheme="minorEastAsia"/>
                <w:color w:val="auto"/>
                <w:kern w:val="0"/>
                <w:szCs w:val="21"/>
                <w:highlight w:val="none"/>
              </w:rPr>
              <w:t>废</w:t>
            </w:r>
            <w:r>
              <w:rPr>
                <w:rFonts w:hint="eastAsia" w:eastAsiaTheme="minorEastAsia"/>
                <w:color w:val="auto"/>
                <w:kern w:val="0"/>
                <w:szCs w:val="21"/>
                <w:highlight w:val="none"/>
                <w:lang w:val="en-US" w:eastAsia="zh-CN"/>
              </w:rPr>
              <w:t>润滑</w:t>
            </w:r>
            <w:r>
              <w:rPr>
                <w:rFonts w:eastAsiaTheme="minorEastAsia"/>
                <w:color w:val="auto"/>
                <w:kern w:val="0"/>
                <w:szCs w:val="21"/>
                <w:highlight w:val="none"/>
              </w:rPr>
              <w:t>油</w:t>
            </w:r>
          </w:p>
        </w:tc>
        <w:tc>
          <w:tcPr>
            <w:tcW w:w="617" w:type="pct"/>
            <w:vAlign w:val="center"/>
          </w:tcPr>
          <w:p w14:paraId="7CD8F4AE">
            <w:pPr>
              <w:keepNext w:val="0"/>
              <w:keepLines w:val="0"/>
              <w:pageBreakBefore w:val="0"/>
              <w:widowControl/>
              <w:kinsoku/>
              <w:wordWrap/>
              <w:overflowPunct/>
              <w:topLinePunct w:val="0"/>
              <w:autoSpaceDE/>
              <w:autoSpaceDN/>
              <w:bidi w:val="0"/>
              <w:adjustRightInd/>
              <w:snapToGrid/>
              <w:jc w:val="center"/>
              <w:textAlignment w:val="auto"/>
              <w:rPr>
                <w:rFonts w:hint="eastAsia" w:eastAsia="宋体"/>
                <w:color w:val="auto"/>
                <w:kern w:val="0"/>
                <w:sz w:val="22"/>
                <w:szCs w:val="22"/>
                <w:highlight w:val="none"/>
                <w:lang w:val="en-US" w:eastAsia="zh-CN" w:bidi="ar"/>
              </w:rPr>
            </w:pPr>
            <w:r>
              <w:rPr>
                <w:rFonts w:hint="eastAsia"/>
                <w:color w:val="auto"/>
                <w:kern w:val="0"/>
                <w:sz w:val="22"/>
                <w:szCs w:val="22"/>
                <w:highlight w:val="none"/>
                <w:lang w:val="en-US" w:eastAsia="zh-CN" w:bidi="ar"/>
              </w:rPr>
              <w:t>/</w:t>
            </w:r>
          </w:p>
        </w:tc>
        <w:tc>
          <w:tcPr>
            <w:tcW w:w="461" w:type="pct"/>
            <w:vAlign w:val="center"/>
          </w:tcPr>
          <w:p w14:paraId="41A5AAB0">
            <w:pPr>
              <w:keepNext w:val="0"/>
              <w:keepLines w:val="0"/>
              <w:pageBreakBefore w:val="0"/>
              <w:kinsoku/>
              <w:wordWrap/>
              <w:overflowPunct/>
              <w:topLinePunct w:val="0"/>
              <w:autoSpaceDE/>
              <w:autoSpaceDN/>
              <w:bidi w:val="0"/>
              <w:adjustRightInd/>
              <w:snapToGrid/>
              <w:jc w:val="center"/>
              <w:textAlignment w:val="auto"/>
              <w:rPr>
                <w:rFonts w:hint="eastAsia" w:eastAsiaTheme="minorEastAsia"/>
                <w:snapToGrid w:val="0"/>
                <w:color w:val="auto"/>
                <w:kern w:val="21"/>
                <w:szCs w:val="21"/>
                <w:highlight w:val="none"/>
                <w:lang w:val="en-US" w:eastAsia="zh-CN"/>
              </w:rPr>
            </w:pPr>
            <w:r>
              <w:rPr>
                <w:rFonts w:hint="eastAsia" w:eastAsiaTheme="minorEastAsia"/>
                <w:snapToGrid w:val="0"/>
                <w:color w:val="auto"/>
                <w:kern w:val="21"/>
                <w:szCs w:val="21"/>
                <w:highlight w:val="none"/>
                <w:lang w:val="en-US" w:eastAsia="zh-CN"/>
              </w:rPr>
              <w:t>/</w:t>
            </w:r>
          </w:p>
        </w:tc>
        <w:tc>
          <w:tcPr>
            <w:tcW w:w="617" w:type="pct"/>
            <w:vAlign w:val="center"/>
          </w:tcPr>
          <w:p w14:paraId="3FCCBB4F">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snapToGrid w:val="0"/>
                <w:color w:val="auto"/>
                <w:kern w:val="21"/>
                <w:szCs w:val="21"/>
                <w:highlight w:val="none"/>
                <w:lang w:val="en-US" w:eastAsia="zh-CN"/>
              </w:rPr>
            </w:pPr>
            <w:r>
              <w:rPr>
                <w:rFonts w:hint="eastAsia" w:cs="Times New Roman"/>
                <w:snapToGrid w:val="0"/>
                <w:color w:val="auto"/>
                <w:kern w:val="21"/>
                <w:szCs w:val="21"/>
                <w:highlight w:val="none"/>
                <w:lang w:val="en-US" w:eastAsia="zh-CN"/>
              </w:rPr>
              <w:t>/</w:t>
            </w:r>
          </w:p>
        </w:tc>
        <w:tc>
          <w:tcPr>
            <w:tcW w:w="565" w:type="pct"/>
            <w:vAlign w:val="center"/>
          </w:tcPr>
          <w:p w14:paraId="0E74EE15">
            <w:pPr>
              <w:keepNext w:val="0"/>
              <w:keepLines w:val="0"/>
              <w:pageBreakBefore w:val="0"/>
              <w:widowControl/>
              <w:kinsoku/>
              <w:wordWrap/>
              <w:overflowPunct/>
              <w:topLinePunct w:val="0"/>
              <w:autoSpaceDE/>
              <w:autoSpaceDN/>
              <w:bidi w:val="0"/>
              <w:adjustRightInd/>
              <w:snapToGrid/>
              <w:jc w:val="center"/>
              <w:textAlignment w:val="auto"/>
              <w:rPr>
                <w:rFonts w:hint="default"/>
                <w:color w:val="auto"/>
                <w:kern w:val="0"/>
                <w:szCs w:val="21"/>
                <w:highlight w:val="none"/>
                <w:lang w:val="en-US" w:eastAsia="zh-CN" w:bidi="ar"/>
              </w:rPr>
            </w:pPr>
            <w:r>
              <w:rPr>
                <w:rFonts w:hint="eastAsia" w:eastAsiaTheme="minorEastAsia"/>
                <w:color w:val="auto"/>
                <w:kern w:val="0"/>
                <w:szCs w:val="21"/>
                <w:highlight w:val="none"/>
                <w:lang w:val="en-US" w:eastAsia="zh-CN"/>
              </w:rPr>
              <w:t>0.01</w:t>
            </w:r>
          </w:p>
        </w:tc>
        <w:tc>
          <w:tcPr>
            <w:tcW w:w="638" w:type="pct"/>
            <w:vAlign w:val="center"/>
          </w:tcPr>
          <w:p w14:paraId="240B692F">
            <w:pPr>
              <w:keepNext w:val="0"/>
              <w:keepLines w:val="0"/>
              <w:pageBreakBefore w:val="0"/>
              <w:kinsoku/>
              <w:wordWrap/>
              <w:overflowPunct/>
              <w:topLinePunct w:val="0"/>
              <w:autoSpaceDE/>
              <w:autoSpaceDN/>
              <w:bidi w:val="0"/>
              <w:adjustRightInd/>
              <w:snapToGrid/>
              <w:jc w:val="center"/>
              <w:textAlignment w:val="auto"/>
              <w:rPr>
                <w:rFonts w:hint="eastAsia"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0</w:t>
            </w:r>
          </w:p>
        </w:tc>
        <w:tc>
          <w:tcPr>
            <w:tcW w:w="647" w:type="pct"/>
            <w:vAlign w:val="center"/>
          </w:tcPr>
          <w:p w14:paraId="18F7A843">
            <w:pPr>
              <w:keepNext w:val="0"/>
              <w:keepLines w:val="0"/>
              <w:pageBreakBefore w:val="0"/>
              <w:widowControl/>
              <w:kinsoku/>
              <w:wordWrap/>
              <w:overflowPunct/>
              <w:topLinePunct w:val="0"/>
              <w:autoSpaceDE/>
              <w:autoSpaceDN/>
              <w:bidi w:val="0"/>
              <w:adjustRightInd/>
              <w:snapToGrid/>
              <w:jc w:val="center"/>
              <w:textAlignment w:val="auto"/>
              <w:rPr>
                <w:rFonts w:hint="default"/>
                <w:color w:val="auto"/>
                <w:szCs w:val="21"/>
                <w:highlight w:val="none"/>
                <w:lang w:val="en-US"/>
              </w:rPr>
            </w:pPr>
            <w:r>
              <w:rPr>
                <w:rFonts w:hint="eastAsia" w:eastAsiaTheme="minorEastAsia"/>
                <w:color w:val="auto"/>
                <w:kern w:val="0"/>
                <w:szCs w:val="21"/>
                <w:highlight w:val="none"/>
                <w:lang w:val="en-US" w:eastAsia="zh-CN"/>
              </w:rPr>
              <w:t>0.01</w:t>
            </w:r>
          </w:p>
        </w:tc>
        <w:tc>
          <w:tcPr>
            <w:tcW w:w="365" w:type="pct"/>
            <w:vAlign w:val="center"/>
          </w:tcPr>
          <w:p w14:paraId="33B677BC">
            <w:pPr>
              <w:keepNext w:val="0"/>
              <w:keepLines w:val="0"/>
              <w:pageBreakBefore w:val="0"/>
              <w:widowControl/>
              <w:kinsoku/>
              <w:wordWrap/>
              <w:overflowPunct/>
              <w:topLinePunct w:val="0"/>
              <w:autoSpaceDE/>
              <w:autoSpaceDN/>
              <w:bidi w:val="0"/>
              <w:adjustRightInd/>
              <w:snapToGrid/>
              <w:jc w:val="center"/>
              <w:textAlignment w:val="auto"/>
              <w:rPr>
                <w:rFonts w:hint="default" w:eastAsia="宋体"/>
                <w:color w:val="auto"/>
                <w:kern w:val="0"/>
                <w:szCs w:val="21"/>
                <w:highlight w:val="none"/>
                <w:lang w:val="en-US" w:eastAsia="zh-CN" w:bidi="ar"/>
              </w:rPr>
            </w:pPr>
            <w:r>
              <w:rPr>
                <w:rFonts w:hint="eastAsia" w:eastAsiaTheme="minorEastAsia"/>
                <w:color w:val="auto"/>
                <w:kern w:val="0"/>
                <w:szCs w:val="21"/>
                <w:highlight w:val="none"/>
                <w:lang w:val="en-US" w:eastAsia="zh-CN"/>
              </w:rPr>
              <w:t>+0.01</w:t>
            </w:r>
          </w:p>
        </w:tc>
      </w:tr>
      <w:tr w14:paraId="3D2A13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71" w:type="pct"/>
            <w:vMerge w:val="continue"/>
            <w:vAlign w:val="center"/>
          </w:tcPr>
          <w:p w14:paraId="3C203575">
            <w:pPr>
              <w:pStyle w:val="62"/>
              <w:keepNext w:val="0"/>
              <w:keepLines w:val="0"/>
              <w:pageBreakBefore w:val="0"/>
              <w:kinsoku/>
              <w:wordWrap/>
              <w:overflowPunct/>
              <w:topLinePunct w:val="0"/>
              <w:autoSpaceDE/>
              <w:autoSpaceDN/>
              <w:bidi w:val="0"/>
              <w:adjustRightInd/>
              <w:snapToGrid/>
              <w:spacing w:before="0" w:beforeLines="0" w:afterLines="0" w:line="240" w:lineRule="auto"/>
              <w:textAlignment w:val="auto"/>
              <w:rPr>
                <w:rFonts w:ascii="Times New Roman" w:eastAsiaTheme="minorEastAsia"/>
                <w:snapToGrid w:val="0"/>
                <w:color w:val="auto"/>
                <w:kern w:val="21"/>
                <w:szCs w:val="21"/>
                <w:highlight w:val="none"/>
              </w:rPr>
            </w:pPr>
          </w:p>
        </w:tc>
        <w:tc>
          <w:tcPr>
            <w:tcW w:w="615" w:type="pct"/>
            <w:gridSpan w:val="2"/>
            <w:vAlign w:val="center"/>
          </w:tcPr>
          <w:p w14:paraId="3F478178">
            <w:pPr>
              <w:keepNext w:val="0"/>
              <w:keepLines w:val="0"/>
              <w:pageBreakBefore w:val="0"/>
              <w:widowControl/>
              <w:kinsoku/>
              <w:wordWrap/>
              <w:overflowPunct/>
              <w:topLinePunct w:val="0"/>
              <w:autoSpaceDE/>
              <w:autoSpaceDN/>
              <w:bidi w:val="0"/>
              <w:adjustRightInd/>
              <w:snapToGrid/>
              <w:jc w:val="center"/>
              <w:textAlignment w:val="auto"/>
              <w:rPr>
                <w:rFonts w:hint="default" w:eastAsiaTheme="minorEastAsia"/>
                <w:color w:val="auto"/>
                <w:kern w:val="0"/>
                <w:szCs w:val="21"/>
                <w:highlight w:val="none"/>
                <w:lang w:val="en-US"/>
              </w:rPr>
            </w:pPr>
            <w:r>
              <w:rPr>
                <w:rFonts w:hint="default" w:ascii="Times New Roman" w:hAnsi="Times New Roman" w:cs="Times New Roman"/>
                <w:color w:val="auto"/>
                <w:kern w:val="0"/>
                <w:szCs w:val="21"/>
                <w:highlight w:val="none"/>
              </w:rPr>
              <w:t>废</w:t>
            </w:r>
            <w:r>
              <w:rPr>
                <w:rFonts w:hint="eastAsia" w:cs="Times New Roman"/>
                <w:color w:val="auto"/>
                <w:kern w:val="0"/>
                <w:szCs w:val="21"/>
                <w:highlight w:val="none"/>
                <w:lang w:val="en-US" w:eastAsia="zh-CN"/>
              </w:rPr>
              <w:t>无尘纸/布</w:t>
            </w:r>
          </w:p>
        </w:tc>
        <w:tc>
          <w:tcPr>
            <w:tcW w:w="617" w:type="pct"/>
            <w:vAlign w:val="center"/>
          </w:tcPr>
          <w:p w14:paraId="03B26C96">
            <w:pPr>
              <w:keepNext w:val="0"/>
              <w:keepLines w:val="0"/>
              <w:pageBreakBefore w:val="0"/>
              <w:widowControl/>
              <w:kinsoku/>
              <w:wordWrap/>
              <w:overflowPunct/>
              <w:topLinePunct w:val="0"/>
              <w:autoSpaceDE/>
              <w:autoSpaceDN/>
              <w:bidi w:val="0"/>
              <w:adjustRightInd/>
              <w:snapToGrid/>
              <w:jc w:val="center"/>
              <w:textAlignment w:val="auto"/>
              <w:rPr>
                <w:rFonts w:hint="eastAsia" w:eastAsiaTheme="minorEastAsia"/>
                <w:snapToGrid w:val="0"/>
                <w:color w:val="auto"/>
                <w:kern w:val="21"/>
                <w:szCs w:val="21"/>
                <w:highlight w:val="none"/>
                <w:lang w:eastAsia="zh-CN"/>
              </w:rPr>
            </w:pPr>
            <w:r>
              <w:rPr>
                <w:rFonts w:hint="eastAsia" w:eastAsiaTheme="minorEastAsia"/>
                <w:color w:val="auto"/>
                <w:kern w:val="0"/>
                <w:sz w:val="22"/>
                <w:szCs w:val="22"/>
                <w:highlight w:val="none"/>
                <w:lang w:val="en-US" w:eastAsia="zh-CN" w:bidi="ar"/>
              </w:rPr>
              <w:t>/</w:t>
            </w:r>
          </w:p>
        </w:tc>
        <w:tc>
          <w:tcPr>
            <w:tcW w:w="461" w:type="pct"/>
            <w:vAlign w:val="center"/>
          </w:tcPr>
          <w:p w14:paraId="0BEBA1F5">
            <w:pPr>
              <w:keepNext w:val="0"/>
              <w:keepLines w:val="0"/>
              <w:pageBreakBefore w:val="0"/>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rFonts w:eastAsiaTheme="minorEastAsia"/>
                <w:snapToGrid w:val="0"/>
                <w:color w:val="auto"/>
                <w:kern w:val="21"/>
                <w:szCs w:val="21"/>
                <w:highlight w:val="none"/>
              </w:rPr>
              <w:t>/</w:t>
            </w:r>
          </w:p>
        </w:tc>
        <w:tc>
          <w:tcPr>
            <w:tcW w:w="617" w:type="pct"/>
            <w:vAlign w:val="center"/>
          </w:tcPr>
          <w:p w14:paraId="606BA805">
            <w:pPr>
              <w:keepNext w:val="0"/>
              <w:keepLines w:val="0"/>
              <w:pageBreakBefore w:val="0"/>
              <w:kinsoku/>
              <w:wordWrap/>
              <w:overflowPunct/>
              <w:topLinePunct w:val="0"/>
              <w:autoSpaceDE/>
              <w:autoSpaceDN/>
              <w:bidi w:val="0"/>
              <w:adjustRightInd/>
              <w:snapToGrid/>
              <w:jc w:val="center"/>
              <w:textAlignment w:val="auto"/>
              <w:rPr>
                <w:rFonts w:eastAsiaTheme="minorEastAsia"/>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565" w:type="pct"/>
            <w:vAlign w:val="center"/>
          </w:tcPr>
          <w:p w14:paraId="22F8B7D3">
            <w:pPr>
              <w:pStyle w:val="92"/>
              <w:keepNext w:val="0"/>
              <w:keepLines w:val="0"/>
              <w:pageBreakBefore w:val="0"/>
              <w:kinsoku/>
              <w:wordWrap/>
              <w:overflowPunct/>
              <w:topLinePunct w:val="0"/>
              <w:autoSpaceDE/>
              <w:autoSpaceDN/>
              <w:bidi w:val="0"/>
              <w:adjustRightInd/>
              <w:snapToGrid/>
              <w:spacing w:line="240" w:lineRule="auto"/>
              <w:textAlignment w:val="auto"/>
              <w:rPr>
                <w:rFonts w:hint="default" w:eastAsiaTheme="minorEastAsia"/>
                <w:color w:val="auto"/>
                <w:kern w:val="0"/>
                <w:szCs w:val="21"/>
                <w:highlight w:val="none"/>
                <w:lang w:val="en-US" w:eastAsia="zh-CN"/>
              </w:rPr>
            </w:pPr>
            <w:r>
              <w:rPr>
                <w:rFonts w:hint="eastAsia" w:cs="Times New Roman"/>
                <w:color w:val="auto"/>
                <w:sz w:val="21"/>
                <w:highlight w:val="none"/>
                <w:lang w:val="en-US" w:eastAsia="zh-CN"/>
              </w:rPr>
              <w:t>0.001</w:t>
            </w:r>
          </w:p>
        </w:tc>
        <w:tc>
          <w:tcPr>
            <w:tcW w:w="638" w:type="pct"/>
            <w:vAlign w:val="center"/>
          </w:tcPr>
          <w:p w14:paraId="78545313">
            <w:pPr>
              <w:keepNext w:val="0"/>
              <w:keepLines w:val="0"/>
              <w:pageBreakBefore w:val="0"/>
              <w:kinsoku/>
              <w:wordWrap/>
              <w:overflowPunct/>
              <w:topLinePunct w:val="0"/>
              <w:autoSpaceDE/>
              <w:autoSpaceDN/>
              <w:bidi w:val="0"/>
              <w:adjustRightInd/>
              <w:snapToGrid/>
              <w:jc w:val="center"/>
              <w:textAlignment w:val="auto"/>
              <w:rPr>
                <w:rFonts w:eastAsiaTheme="minorEastAsia"/>
                <w:color w:val="auto"/>
                <w:kern w:val="0"/>
                <w:szCs w:val="21"/>
                <w:highlight w:val="none"/>
              </w:rPr>
            </w:pPr>
            <w:r>
              <w:rPr>
                <w:rFonts w:eastAsiaTheme="minorEastAsia"/>
                <w:color w:val="auto"/>
                <w:kern w:val="0"/>
                <w:szCs w:val="21"/>
                <w:highlight w:val="none"/>
              </w:rPr>
              <w:t>0</w:t>
            </w:r>
          </w:p>
        </w:tc>
        <w:tc>
          <w:tcPr>
            <w:tcW w:w="647" w:type="pct"/>
            <w:vAlign w:val="center"/>
          </w:tcPr>
          <w:p w14:paraId="24811A98">
            <w:pPr>
              <w:pStyle w:val="92"/>
              <w:keepNext w:val="0"/>
              <w:keepLines w:val="0"/>
              <w:pageBreakBefore w:val="0"/>
              <w:kinsoku/>
              <w:wordWrap/>
              <w:overflowPunct/>
              <w:topLinePunct w:val="0"/>
              <w:autoSpaceDE/>
              <w:autoSpaceDN/>
              <w:bidi w:val="0"/>
              <w:adjustRightInd/>
              <w:snapToGrid/>
              <w:spacing w:line="240" w:lineRule="auto"/>
              <w:textAlignment w:val="auto"/>
              <w:rPr>
                <w:rFonts w:eastAsiaTheme="minorEastAsia"/>
                <w:color w:val="auto"/>
                <w:kern w:val="0"/>
                <w:szCs w:val="21"/>
                <w:highlight w:val="none"/>
              </w:rPr>
            </w:pPr>
            <w:r>
              <w:rPr>
                <w:rFonts w:hint="eastAsia" w:cs="Times New Roman"/>
                <w:color w:val="auto"/>
                <w:sz w:val="21"/>
                <w:highlight w:val="none"/>
                <w:lang w:val="en-US" w:eastAsia="zh-CN"/>
              </w:rPr>
              <w:t>0.001</w:t>
            </w:r>
          </w:p>
        </w:tc>
        <w:tc>
          <w:tcPr>
            <w:tcW w:w="365" w:type="pct"/>
            <w:vAlign w:val="center"/>
          </w:tcPr>
          <w:p w14:paraId="01702CDC">
            <w:pPr>
              <w:pStyle w:val="92"/>
              <w:keepNext w:val="0"/>
              <w:keepLines w:val="0"/>
              <w:pageBreakBefore w:val="0"/>
              <w:kinsoku/>
              <w:wordWrap/>
              <w:overflowPunct/>
              <w:topLinePunct w:val="0"/>
              <w:autoSpaceDE/>
              <w:autoSpaceDN/>
              <w:bidi w:val="0"/>
              <w:adjustRightInd/>
              <w:snapToGrid/>
              <w:spacing w:line="240" w:lineRule="auto"/>
              <w:textAlignment w:val="auto"/>
              <w:rPr>
                <w:rFonts w:hint="default" w:eastAsia="宋体"/>
                <w:color w:val="auto"/>
                <w:kern w:val="0"/>
                <w:szCs w:val="21"/>
                <w:highlight w:val="none"/>
                <w:lang w:val="en-US" w:eastAsia="zh-CN"/>
              </w:rPr>
            </w:pPr>
            <w:r>
              <w:rPr>
                <w:rFonts w:hint="eastAsia" w:cs="Times New Roman"/>
                <w:color w:val="auto"/>
                <w:sz w:val="21"/>
                <w:highlight w:val="none"/>
                <w:lang w:val="en-US" w:eastAsia="zh-CN"/>
              </w:rPr>
              <w:t>+0.001</w:t>
            </w:r>
          </w:p>
        </w:tc>
      </w:tr>
    </w:tbl>
    <w:p w14:paraId="05E6F913">
      <w:pPr>
        <w:pStyle w:val="62"/>
        <w:spacing w:before="192" w:beforeLines="80" w:after="40"/>
        <w:jc w:val="left"/>
        <w:rPr>
          <w:rFonts w:ascii="Times New Roman" w:eastAsiaTheme="minorEastAsia"/>
          <w:snapToGrid w:val="0"/>
          <w:color w:val="auto"/>
          <w:spacing w:val="-6"/>
          <w:kern w:val="21"/>
          <w:szCs w:val="21"/>
          <w:highlight w:val="none"/>
        </w:rPr>
      </w:pPr>
      <w:r>
        <w:rPr>
          <w:rFonts w:ascii="Times New Roman" w:eastAsiaTheme="minorEastAsia"/>
          <w:snapToGrid w:val="0"/>
          <w:color w:val="auto"/>
          <w:kern w:val="21"/>
          <w:szCs w:val="21"/>
          <w:highlight w:val="none"/>
        </w:rPr>
        <w:t>注：</w:t>
      </w:r>
      <w:r>
        <w:rPr>
          <w:rFonts w:ascii="Times New Roman" w:eastAsiaTheme="minorEastAsia"/>
          <w:snapToGrid w:val="0"/>
          <w:color w:val="auto"/>
          <w:spacing w:val="-16"/>
          <w:kern w:val="21"/>
          <w:szCs w:val="21"/>
          <w:highlight w:val="none"/>
        </w:rPr>
        <w:fldChar w:fldCharType="begin"/>
      </w:r>
      <w:r>
        <w:rPr>
          <w:rFonts w:ascii="Times New Roman" w:eastAsiaTheme="minorEastAsia"/>
          <w:snapToGrid w:val="0"/>
          <w:color w:val="auto"/>
          <w:spacing w:val="-16"/>
          <w:kern w:val="21"/>
          <w:szCs w:val="21"/>
          <w:highlight w:val="none"/>
        </w:rPr>
        <w:instrText xml:space="preserve"> = 6 \* GB3 \* MERGEFORMAT </w:instrText>
      </w:r>
      <w:r>
        <w:rPr>
          <w:rFonts w:ascii="Times New Roman" w:eastAsiaTheme="minorEastAsia"/>
          <w:snapToGrid w:val="0"/>
          <w:color w:val="auto"/>
          <w:spacing w:val="-16"/>
          <w:kern w:val="21"/>
          <w:szCs w:val="21"/>
          <w:highlight w:val="none"/>
        </w:rPr>
        <w:fldChar w:fldCharType="separate"/>
      </w:r>
      <w:r>
        <w:rPr>
          <w:rFonts w:ascii="Times New Roman" w:eastAsiaTheme="minorEastAsia"/>
          <w:color w:val="auto"/>
          <w:szCs w:val="21"/>
          <w:highlight w:val="none"/>
        </w:rPr>
        <w:t>⑥</w:t>
      </w:r>
      <w:r>
        <w:rPr>
          <w:rFonts w:ascii="Times New Roman" w:eastAsiaTheme="minorEastAsia"/>
          <w:snapToGrid w:val="0"/>
          <w:color w:val="auto"/>
          <w:spacing w:val="-16"/>
          <w:kern w:val="21"/>
          <w:szCs w:val="21"/>
          <w:highlight w:val="none"/>
        </w:rPr>
        <w:fldChar w:fldCharType="end"/>
      </w:r>
      <w:r>
        <w:rPr>
          <w:rFonts w:ascii="Times New Roman" w:eastAsiaTheme="minorEastAsia"/>
          <w:snapToGrid w:val="0"/>
          <w:color w:val="auto"/>
          <w:spacing w:val="-16"/>
          <w:kern w:val="21"/>
          <w:szCs w:val="21"/>
          <w:highlight w:val="none"/>
        </w:rPr>
        <w:t>=</w:t>
      </w:r>
      <w:r>
        <w:rPr>
          <w:rFonts w:ascii="Times New Roman" w:eastAsiaTheme="minorEastAsia"/>
          <w:snapToGrid w:val="0"/>
          <w:color w:val="auto"/>
          <w:spacing w:val="-6"/>
          <w:kern w:val="21"/>
          <w:szCs w:val="21"/>
          <w:highlight w:val="none"/>
        </w:rPr>
        <w:fldChar w:fldCharType="begin"/>
      </w:r>
      <w:r>
        <w:rPr>
          <w:rFonts w:ascii="Times New Roman" w:eastAsiaTheme="minorEastAsia"/>
          <w:snapToGrid w:val="0"/>
          <w:color w:val="auto"/>
          <w:spacing w:val="-6"/>
          <w:kern w:val="21"/>
          <w:szCs w:val="21"/>
          <w:highlight w:val="none"/>
        </w:rPr>
        <w:instrText xml:space="preserve"> = 1 \* GB3 \* MERGEFORMAT </w:instrText>
      </w:r>
      <w:r>
        <w:rPr>
          <w:rFonts w:ascii="Times New Roman" w:eastAsiaTheme="minorEastAsia"/>
          <w:snapToGrid w:val="0"/>
          <w:color w:val="auto"/>
          <w:spacing w:val="-6"/>
          <w:kern w:val="21"/>
          <w:szCs w:val="21"/>
          <w:highlight w:val="none"/>
        </w:rPr>
        <w:fldChar w:fldCharType="separate"/>
      </w:r>
      <w:r>
        <w:rPr>
          <w:rFonts w:ascii="Times New Roman" w:eastAsiaTheme="minorEastAsia"/>
          <w:color w:val="auto"/>
          <w:szCs w:val="21"/>
          <w:highlight w:val="none"/>
        </w:rPr>
        <w:t>①</w:t>
      </w:r>
      <w:r>
        <w:rPr>
          <w:rFonts w:ascii="Times New Roman" w:eastAsiaTheme="minorEastAsia"/>
          <w:snapToGrid w:val="0"/>
          <w:color w:val="auto"/>
          <w:spacing w:val="-6"/>
          <w:kern w:val="21"/>
          <w:szCs w:val="21"/>
          <w:highlight w:val="none"/>
        </w:rPr>
        <w:fldChar w:fldCharType="end"/>
      </w:r>
      <w:r>
        <w:rPr>
          <w:rFonts w:ascii="Times New Roman" w:eastAsiaTheme="minorEastAsia"/>
          <w:snapToGrid w:val="0"/>
          <w:color w:val="auto"/>
          <w:spacing w:val="-6"/>
          <w:kern w:val="21"/>
          <w:szCs w:val="21"/>
          <w:highlight w:val="none"/>
        </w:rPr>
        <w:t>+</w:t>
      </w:r>
      <w:r>
        <w:rPr>
          <w:rFonts w:ascii="Times New Roman" w:eastAsiaTheme="minorEastAsia"/>
          <w:snapToGrid w:val="0"/>
          <w:color w:val="auto"/>
          <w:spacing w:val="-6"/>
          <w:kern w:val="21"/>
          <w:szCs w:val="21"/>
          <w:highlight w:val="none"/>
        </w:rPr>
        <w:fldChar w:fldCharType="begin"/>
      </w:r>
      <w:r>
        <w:rPr>
          <w:rFonts w:ascii="Times New Roman" w:eastAsiaTheme="minorEastAsia"/>
          <w:snapToGrid w:val="0"/>
          <w:color w:val="auto"/>
          <w:spacing w:val="-6"/>
          <w:kern w:val="21"/>
          <w:szCs w:val="21"/>
          <w:highlight w:val="none"/>
        </w:rPr>
        <w:instrText xml:space="preserve"> = 3 \* GB3 \* MERGEFORMAT </w:instrText>
      </w:r>
      <w:r>
        <w:rPr>
          <w:rFonts w:ascii="Times New Roman" w:eastAsiaTheme="minorEastAsia"/>
          <w:snapToGrid w:val="0"/>
          <w:color w:val="auto"/>
          <w:spacing w:val="-6"/>
          <w:kern w:val="21"/>
          <w:szCs w:val="21"/>
          <w:highlight w:val="none"/>
        </w:rPr>
        <w:fldChar w:fldCharType="separate"/>
      </w:r>
      <w:r>
        <w:rPr>
          <w:rFonts w:ascii="Times New Roman" w:eastAsiaTheme="minorEastAsia"/>
          <w:color w:val="auto"/>
          <w:szCs w:val="21"/>
          <w:highlight w:val="none"/>
        </w:rPr>
        <w:t>③</w:t>
      </w:r>
      <w:r>
        <w:rPr>
          <w:rFonts w:ascii="Times New Roman" w:eastAsiaTheme="minorEastAsia"/>
          <w:snapToGrid w:val="0"/>
          <w:color w:val="auto"/>
          <w:spacing w:val="-6"/>
          <w:kern w:val="21"/>
          <w:szCs w:val="21"/>
          <w:highlight w:val="none"/>
        </w:rPr>
        <w:fldChar w:fldCharType="end"/>
      </w:r>
      <w:r>
        <w:rPr>
          <w:rFonts w:ascii="Times New Roman" w:eastAsiaTheme="minorEastAsia"/>
          <w:snapToGrid w:val="0"/>
          <w:color w:val="auto"/>
          <w:spacing w:val="-6"/>
          <w:kern w:val="21"/>
          <w:szCs w:val="21"/>
          <w:highlight w:val="none"/>
        </w:rPr>
        <w:t>+</w:t>
      </w:r>
      <w:r>
        <w:rPr>
          <w:rFonts w:ascii="Times New Roman" w:eastAsiaTheme="minorEastAsia"/>
          <w:snapToGrid w:val="0"/>
          <w:color w:val="auto"/>
          <w:spacing w:val="-6"/>
          <w:kern w:val="21"/>
          <w:szCs w:val="21"/>
          <w:highlight w:val="none"/>
        </w:rPr>
        <w:fldChar w:fldCharType="begin"/>
      </w:r>
      <w:r>
        <w:rPr>
          <w:rFonts w:ascii="Times New Roman" w:eastAsiaTheme="minorEastAsia"/>
          <w:snapToGrid w:val="0"/>
          <w:color w:val="auto"/>
          <w:spacing w:val="-6"/>
          <w:kern w:val="21"/>
          <w:szCs w:val="21"/>
          <w:highlight w:val="none"/>
        </w:rPr>
        <w:instrText xml:space="preserve"> = 4 \* GB3 \* MERGEFORMAT </w:instrText>
      </w:r>
      <w:r>
        <w:rPr>
          <w:rFonts w:ascii="Times New Roman" w:eastAsiaTheme="minorEastAsia"/>
          <w:snapToGrid w:val="0"/>
          <w:color w:val="auto"/>
          <w:spacing w:val="-6"/>
          <w:kern w:val="21"/>
          <w:szCs w:val="21"/>
          <w:highlight w:val="none"/>
        </w:rPr>
        <w:fldChar w:fldCharType="separate"/>
      </w:r>
      <w:r>
        <w:rPr>
          <w:rFonts w:ascii="Times New Roman" w:eastAsiaTheme="minorEastAsia"/>
          <w:color w:val="auto"/>
          <w:szCs w:val="21"/>
          <w:highlight w:val="none"/>
        </w:rPr>
        <w:t>④</w:t>
      </w:r>
      <w:r>
        <w:rPr>
          <w:rFonts w:ascii="Times New Roman" w:eastAsiaTheme="minorEastAsia"/>
          <w:snapToGrid w:val="0"/>
          <w:color w:val="auto"/>
          <w:spacing w:val="-6"/>
          <w:kern w:val="21"/>
          <w:szCs w:val="21"/>
          <w:highlight w:val="none"/>
        </w:rPr>
        <w:fldChar w:fldCharType="end"/>
      </w:r>
      <w:r>
        <w:rPr>
          <w:rFonts w:ascii="Times New Roman" w:eastAsiaTheme="minorEastAsia"/>
          <w:snapToGrid w:val="0"/>
          <w:color w:val="auto"/>
          <w:spacing w:val="-6"/>
          <w:kern w:val="21"/>
          <w:szCs w:val="21"/>
          <w:highlight w:val="none"/>
        </w:rPr>
        <w:t>-</w:t>
      </w:r>
      <w:r>
        <w:rPr>
          <w:rFonts w:ascii="Times New Roman" w:eastAsiaTheme="minorEastAsia"/>
          <w:snapToGrid w:val="0"/>
          <w:color w:val="auto"/>
          <w:spacing w:val="-16"/>
          <w:kern w:val="21"/>
          <w:szCs w:val="21"/>
          <w:highlight w:val="none"/>
        </w:rPr>
        <w:fldChar w:fldCharType="begin"/>
      </w:r>
      <w:r>
        <w:rPr>
          <w:rFonts w:ascii="Times New Roman" w:eastAsiaTheme="minorEastAsia"/>
          <w:snapToGrid w:val="0"/>
          <w:color w:val="auto"/>
          <w:spacing w:val="-16"/>
          <w:kern w:val="21"/>
          <w:szCs w:val="21"/>
          <w:highlight w:val="none"/>
        </w:rPr>
        <w:instrText xml:space="preserve"> = 5 \* GB3 \* MERGEFORMAT </w:instrText>
      </w:r>
      <w:r>
        <w:rPr>
          <w:rFonts w:ascii="Times New Roman" w:eastAsiaTheme="minorEastAsia"/>
          <w:snapToGrid w:val="0"/>
          <w:color w:val="auto"/>
          <w:spacing w:val="-16"/>
          <w:kern w:val="21"/>
          <w:szCs w:val="21"/>
          <w:highlight w:val="none"/>
        </w:rPr>
        <w:fldChar w:fldCharType="separate"/>
      </w:r>
      <w:r>
        <w:rPr>
          <w:rFonts w:ascii="Times New Roman" w:eastAsiaTheme="minorEastAsia"/>
          <w:color w:val="auto"/>
          <w:szCs w:val="21"/>
          <w:highlight w:val="none"/>
        </w:rPr>
        <w:t>⑤</w:t>
      </w:r>
      <w:r>
        <w:rPr>
          <w:rFonts w:ascii="Times New Roman" w:eastAsiaTheme="minorEastAsia"/>
          <w:snapToGrid w:val="0"/>
          <w:color w:val="auto"/>
          <w:spacing w:val="-16"/>
          <w:kern w:val="21"/>
          <w:szCs w:val="21"/>
          <w:highlight w:val="none"/>
        </w:rPr>
        <w:fldChar w:fldCharType="end"/>
      </w:r>
      <w:r>
        <w:rPr>
          <w:rFonts w:ascii="Times New Roman" w:eastAsiaTheme="minorEastAsia"/>
          <w:snapToGrid w:val="0"/>
          <w:color w:val="auto"/>
          <w:spacing w:val="-16"/>
          <w:kern w:val="21"/>
          <w:szCs w:val="21"/>
          <w:highlight w:val="none"/>
        </w:rPr>
        <w:t>；</w:t>
      </w:r>
      <w:r>
        <w:rPr>
          <w:rFonts w:ascii="Times New Roman" w:eastAsiaTheme="minorEastAsia"/>
          <w:snapToGrid w:val="0"/>
          <w:color w:val="auto"/>
          <w:spacing w:val="-6"/>
          <w:kern w:val="21"/>
          <w:szCs w:val="21"/>
          <w:highlight w:val="none"/>
        </w:rPr>
        <w:fldChar w:fldCharType="begin"/>
      </w:r>
      <w:r>
        <w:rPr>
          <w:rFonts w:ascii="Times New Roman" w:eastAsiaTheme="minorEastAsia"/>
          <w:snapToGrid w:val="0"/>
          <w:color w:val="auto"/>
          <w:spacing w:val="-6"/>
          <w:kern w:val="21"/>
          <w:szCs w:val="21"/>
          <w:highlight w:val="none"/>
        </w:rPr>
        <w:instrText xml:space="preserve"> = 7 \* GB3 \* MERGEFORMAT </w:instrText>
      </w:r>
      <w:r>
        <w:rPr>
          <w:rFonts w:ascii="Times New Roman" w:eastAsiaTheme="minorEastAsia"/>
          <w:snapToGrid w:val="0"/>
          <w:color w:val="auto"/>
          <w:spacing w:val="-6"/>
          <w:kern w:val="21"/>
          <w:szCs w:val="21"/>
          <w:highlight w:val="none"/>
        </w:rPr>
        <w:fldChar w:fldCharType="separate"/>
      </w:r>
      <w:r>
        <w:rPr>
          <w:rFonts w:ascii="Times New Roman" w:eastAsiaTheme="minorEastAsia"/>
          <w:color w:val="auto"/>
          <w:szCs w:val="21"/>
          <w:highlight w:val="none"/>
        </w:rPr>
        <w:t>⑦</w:t>
      </w:r>
      <w:r>
        <w:rPr>
          <w:rFonts w:ascii="Times New Roman" w:eastAsiaTheme="minorEastAsia"/>
          <w:snapToGrid w:val="0"/>
          <w:color w:val="auto"/>
          <w:spacing w:val="-6"/>
          <w:kern w:val="21"/>
          <w:szCs w:val="21"/>
          <w:highlight w:val="none"/>
        </w:rPr>
        <w:fldChar w:fldCharType="end"/>
      </w:r>
      <w:r>
        <w:rPr>
          <w:rFonts w:ascii="Times New Roman" w:eastAsiaTheme="minorEastAsia"/>
          <w:snapToGrid w:val="0"/>
          <w:color w:val="auto"/>
          <w:spacing w:val="-6"/>
          <w:kern w:val="21"/>
          <w:szCs w:val="21"/>
          <w:highlight w:val="none"/>
        </w:rPr>
        <w:t>=</w:t>
      </w:r>
      <w:r>
        <w:rPr>
          <w:rFonts w:ascii="Times New Roman" w:eastAsiaTheme="minorEastAsia"/>
          <w:snapToGrid w:val="0"/>
          <w:color w:val="auto"/>
          <w:spacing w:val="-16"/>
          <w:kern w:val="21"/>
          <w:szCs w:val="21"/>
          <w:highlight w:val="none"/>
        </w:rPr>
        <w:fldChar w:fldCharType="begin"/>
      </w:r>
      <w:r>
        <w:rPr>
          <w:rFonts w:ascii="Times New Roman" w:eastAsiaTheme="minorEastAsia"/>
          <w:snapToGrid w:val="0"/>
          <w:color w:val="auto"/>
          <w:spacing w:val="-16"/>
          <w:kern w:val="21"/>
          <w:szCs w:val="21"/>
          <w:highlight w:val="none"/>
        </w:rPr>
        <w:instrText xml:space="preserve"> = 6 \* GB3 \* MERGEFORMAT </w:instrText>
      </w:r>
      <w:r>
        <w:rPr>
          <w:rFonts w:ascii="Times New Roman" w:eastAsiaTheme="minorEastAsia"/>
          <w:snapToGrid w:val="0"/>
          <w:color w:val="auto"/>
          <w:spacing w:val="-16"/>
          <w:kern w:val="21"/>
          <w:szCs w:val="21"/>
          <w:highlight w:val="none"/>
        </w:rPr>
        <w:fldChar w:fldCharType="separate"/>
      </w:r>
      <w:r>
        <w:rPr>
          <w:rFonts w:ascii="Times New Roman" w:eastAsiaTheme="minorEastAsia"/>
          <w:color w:val="auto"/>
          <w:szCs w:val="21"/>
          <w:highlight w:val="none"/>
        </w:rPr>
        <w:t>⑥</w:t>
      </w:r>
      <w:r>
        <w:rPr>
          <w:rFonts w:ascii="Times New Roman" w:eastAsiaTheme="minorEastAsia"/>
          <w:snapToGrid w:val="0"/>
          <w:color w:val="auto"/>
          <w:spacing w:val="-16"/>
          <w:kern w:val="21"/>
          <w:szCs w:val="21"/>
          <w:highlight w:val="none"/>
        </w:rPr>
        <w:fldChar w:fldCharType="end"/>
      </w:r>
      <w:r>
        <w:rPr>
          <w:rFonts w:ascii="Times New Roman" w:eastAsiaTheme="minorEastAsia"/>
          <w:snapToGrid w:val="0"/>
          <w:color w:val="auto"/>
          <w:spacing w:val="-16"/>
          <w:kern w:val="21"/>
          <w:szCs w:val="21"/>
          <w:highlight w:val="none"/>
        </w:rPr>
        <w:t>-</w:t>
      </w:r>
      <w:r>
        <w:rPr>
          <w:rFonts w:ascii="Times New Roman" w:eastAsiaTheme="minorEastAsia"/>
          <w:snapToGrid w:val="0"/>
          <w:color w:val="auto"/>
          <w:spacing w:val="-6"/>
          <w:kern w:val="21"/>
          <w:szCs w:val="21"/>
          <w:highlight w:val="none"/>
        </w:rPr>
        <w:fldChar w:fldCharType="begin"/>
      </w:r>
      <w:r>
        <w:rPr>
          <w:rFonts w:ascii="Times New Roman" w:eastAsiaTheme="minorEastAsia"/>
          <w:snapToGrid w:val="0"/>
          <w:color w:val="auto"/>
          <w:spacing w:val="-6"/>
          <w:kern w:val="21"/>
          <w:szCs w:val="21"/>
          <w:highlight w:val="none"/>
        </w:rPr>
        <w:instrText xml:space="preserve"> = 1 \* GB3 \* MERGEFORMAT </w:instrText>
      </w:r>
      <w:r>
        <w:rPr>
          <w:rFonts w:ascii="Times New Roman" w:eastAsiaTheme="minorEastAsia"/>
          <w:snapToGrid w:val="0"/>
          <w:color w:val="auto"/>
          <w:spacing w:val="-6"/>
          <w:kern w:val="21"/>
          <w:szCs w:val="21"/>
          <w:highlight w:val="none"/>
        </w:rPr>
        <w:fldChar w:fldCharType="separate"/>
      </w:r>
      <w:r>
        <w:rPr>
          <w:rFonts w:ascii="Times New Roman" w:eastAsiaTheme="minorEastAsia"/>
          <w:color w:val="auto"/>
          <w:szCs w:val="21"/>
          <w:highlight w:val="none"/>
        </w:rPr>
        <w:t>①</w:t>
      </w:r>
      <w:r>
        <w:rPr>
          <w:rFonts w:ascii="Times New Roman" w:eastAsiaTheme="minorEastAsia"/>
          <w:snapToGrid w:val="0"/>
          <w:color w:val="auto"/>
          <w:spacing w:val="-6"/>
          <w:kern w:val="21"/>
          <w:szCs w:val="21"/>
          <w:highlight w:val="none"/>
        </w:rPr>
        <w:fldChar w:fldCharType="end"/>
      </w:r>
    </w:p>
    <w:p w14:paraId="3DB00890">
      <w:pPr>
        <w:rPr>
          <w:color w:val="auto"/>
          <w:highlight w:val="none"/>
        </w:rPr>
        <w:sectPr>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13127A6A">
      <w:pPr>
        <w:keepNext w:val="0"/>
        <w:keepLines w:val="0"/>
        <w:pageBreakBefore w:val="0"/>
        <w:tabs>
          <w:tab w:val="left" w:pos="5862"/>
        </w:tabs>
        <w:kinsoku/>
        <w:wordWrap/>
        <w:overflowPunct/>
        <w:topLinePunct w:val="0"/>
        <w:autoSpaceDE/>
        <w:autoSpaceDN/>
        <w:bidi w:val="0"/>
        <w:adjustRightInd/>
        <w:snapToGrid/>
        <w:spacing w:line="360" w:lineRule="auto"/>
        <w:ind w:right="0" w:rightChars="0"/>
        <w:textAlignment w:val="auto"/>
        <w:rPr>
          <w:b/>
          <w:bCs/>
          <w:color w:val="auto"/>
          <w:sz w:val="24"/>
          <w:highlight w:val="none"/>
        </w:rPr>
      </w:pPr>
      <w:r>
        <w:rPr>
          <w:rFonts w:hint="eastAsia"/>
          <w:b/>
          <w:bCs/>
          <w:color w:val="auto"/>
          <w:sz w:val="24"/>
          <w:highlight w:val="none"/>
        </w:rPr>
        <w:t>附图：</w:t>
      </w:r>
    </w:p>
    <w:p w14:paraId="10D6CD85">
      <w:pPr>
        <w:pStyle w:val="19"/>
        <w:keepNext w:val="0"/>
        <w:keepLines w:val="0"/>
        <w:pageBreakBefore w:val="0"/>
        <w:kinsoku/>
        <w:wordWrap/>
        <w:overflowPunct/>
        <w:topLinePunct w:val="0"/>
        <w:autoSpaceDE/>
        <w:autoSpaceDN/>
        <w:bidi w:val="0"/>
        <w:adjustRightInd/>
        <w:snapToGrid/>
        <w:spacing w:before="0" w:after="0" w:line="360" w:lineRule="auto"/>
        <w:ind w:right="0" w:rightChars="0"/>
        <w:textAlignment w:val="auto"/>
        <w:rPr>
          <w:color w:val="auto"/>
          <w:sz w:val="24"/>
          <w:szCs w:val="24"/>
          <w:highlight w:val="none"/>
        </w:rPr>
      </w:pPr>
      <w:r>
        <w:rPr>
          <w:rFonts w:hint="eastAsia"/>
          <w:color w:val="auto"/>
          <w:sz w:val="24"/>
          <w:szCs w:val="24"/>
          <w:highlight w:val="none"/>
        </w:rPr>
        <w:t>附图1</w:t>
      </w:r>
      <w:r>
        <w:rPr>
          <w:color w:val="auto"/>
          <w:sz w:val="24"/>
          <w:szCs w:val="24"/>
          <w:highlight w:val="none"/>
        </w:rPr>
        <w:t xml:space="preserve">  </w:t>
      </w:r>
      <w:r>
        <w:rPr>
          <w:rFonts w:hint="eastAsia"/>
          <w:color w:val="auto"/>
          <w:sz w:val="24"/>
          <w:szCs w:val="24"/>
          <w:highlight w:val="none"/>
          <w:lang w:val="en-US" w:eastAsia="zh-CN"/>
        </w:rPr>
        <w:t>项目</w:t>
      </w:r>
      <w:r>
        <w:rPr>
          <w:rFonts w:hint="eastAsia"/>
          <w:color w:val="auto"/>
          <w:sz w:val="24"/>
          <w:szCs w:val="24"/>
          <w:highlight w:val="none"/>
        </w:rPr>
        <w:t>地理位置图</w:t>
      </w:r>
    </w:p>
    <w:p w14:paraId="211C5423">
      <w:pPr>
        <w:pStyle w:val="19"/>
        <w:keepNext w:val="0"/>
        <w:keepLines w:val="0"/>
        <w:pageBreakBefore w:val="0"/>
        <w:kinsoku/>
        <w:wordWrap/>
        <w:overflowPunct/>
        <w:topLinePunct w:val="0"/>
        <w:autoSpaceDE/>
        <w:autoSpaceDN/>
        <w:bidi w:val="0"/>
        <w:adjustRightInd/>
        <w:snapToGrid/>
        <w:spacing w:before="0" w:after="0" w:line="360" w:lineRule="auto"/>
        <w:ind w:right="0" w:rightChars="0"/>
        <w:textAlignment w:val="auto"/>
        <w:rPr>
          <w:rFonts w:hint="eastAsia" w:eastAsia="宋体"/>
          <w:color w:val="auto"/>
          <w:sz w:val="24"/>
          <w:szCs w:val="24"/>
          <w:highlight w:val="none"/>
          <w:lang w:eastAsia="zh-CN"/>
        </w:rPr>
      </w:pPr>
      <w:r>
        <w:rPr>
          <w:rFonts w:hint="eastAsia"/>
          <w:color w:val="auto"/>
          <w:sz w:val="24"/>
          <w:szCs w:val="24"/>
          <w:highlight w:val="none"/>
        </w:rPr>
        <w:t>附图</w:t>
      </w:r>
      <w:r>
        <w:rPr>
          <w:color w:val="auto"/>
          <w:sz w:val="24"/>
          <w:szCs w:val="24"/>
          <w:highlight w:val="none"/>
        </w:rPr>
        <w:t>2</w:t>
      </w:r>
      <w:r>
        <w:rPr>
          <w:rFonts w:hint="eastAsia"/>
          <w:color w:val="auto"/>
          <w:sz w:val="24"/>
          <w:szCs w:val="24"/>
          <w:highlight w:val="none"/>
          <w:lang w:val="en-US" w:eastAsia="zh-CN"/>
        </w:rPr>
        <w:t>-1</w:t>
      </w:r>
      <w:r>
        <w:rPr>
          <w:color w:val="auto"/>
          <w:sz w:val="24"/>
          <w:szCs w:val="24"/>
          <w:highlight w:val="none"/>
        </w:rPr>
        <w:t xml:space="preserve">  </w:t>
      </w:r>
      <w:r>
        <w:rPr>
          <w:rFonts w:hint="eastAsia"/>
          <w:color w:val="auto"/>
          <w:sz w:val="24"/>
          <w:szCs w:val="24"/>
          <w:highlight w:val="none"/>
        </w:rPr>
        <w:t>厂区平面布置图</w:t>
      </w:r>
      <w:r>
        <w:rPr>
          <w:rFonts w:hint="eastAsia"/>
          <w:color w:val="auto"/>
          <w:sz w:val="24"/>
          <w:szCs w:val="24"/>
          <w:highlight w:val="none"/>
          <w:lang w:eastAsia="zh-CN"/>
        </w:rPr>
        <w:t>（</w:t>
      </w:r>
      <w:r>
        <w:rPr>
          <w:rFonts w:hint="eastAsia"/>
          <w:color w:val="auto"/>
          <w:sz w:val="24"/>
          <w:szCs w:val="24"/>
          <w:highlight w:val="none"/>
          <w:lang w:val="en-US" w:eastAsia="zh-CN"/>
        </w:rPr>
        <w:t>一层</w:t>
      </w:r>
      <w:r>
        <w:rPr>
          <w:rFonts w:hint="eastAsia"/>
          <w:color w:val="auto"/>
          <w:sz w:val="24"/>
          <w:szCs w:val="24"/>
          <w:highlight w:val="none"/>
          <w:lang w:eastAsia="zh-CN"/>
        </w:rPr>
        <w:t>）</w:t>
      </w:r>
    </w:p>
    <w:p w14:paraId="003E78C7">
      <w:pPr>
        <w:pStyle w:val="19"/>
        <w:keepNext w:val="0"/>
        <w:keepLines w:val="0"/>
        <w:pageBreakBefore w:val="0"/>
        <w:kinsoku/>
        <w:wordWrap/>
        <w:overflowPunct/>
        <w:topLinePunct w:val="0"/>
        <w:autoSpaceDE/>
        <w:autoSpaceDN/>
        <w:bidi w:val="0"/>
        <w:adjustRightInd/>
        <w:snapToGrid/>
        <w:spacing w:before="0" w:after="0" w:line="360" w:lineRule="auto"/>
        <w:ind w:right="0" w:rightChars="0"/>
        <w:textAlignment w:val="auto"/>
        <w:rPr>
          <w:rFonts w:hint="eastAsia"/>
          <w:color w:val="auto"/>
          <w:sz w:val="24"/>
          <w:szCs w:val="24"/>
          <w:highlight w:val="none"/>
          <w:lang w:eastAsia="zh-CN"/>
        </w:rPr>
      </w:pPr>
      <w:r>
        <w:rPr>
          <w:rFonts w:hint="eastAsia"/>
          <w:color w:val="auto"/>
          <w:sz w:val="24"/>
          <w:szCs w:val="24"/>
          <w:highlight w:val="none"/>
        </w:rPr>
        <w:t>附图</w:t>
      </w:r>
      <w:r>
        <w:rPr>
          <w:color w:val="auto"/>
          <w:sz w:val="24"/>
          <w:szCs w:val="24"/>
          <w:highlight w:val="none"/>
        </w:rPr>
        <w:t>2</w:t>
      </w:r>
      <w:r>
        <w:rPr>
          <w:rFonts w:hint="eastAsia"/>
          <w:color w:val="auto"/>
          <w:sz w:val="24"/>
          <w:szCs w:val="24"/>
          <w:highlight w:val="none"/>
          <w:lang w:val="en-US" w:eastAsia="zh-CN"/>
        </w:rPr>
        <w:t>-2</w:t>
      </w:r>
      <w:r>
        <w:rPr>
          <w:color w:val="auto"/>
          <w:sz w:val="24"/>
          <w:szCs w:val="24"/>
          <w:highlight w:val="none"/>
        </w:rPr>
        <w:t xml:space="preserve">  </w:t>
      </w:r>
      <w:r>
        <w:rPr>
          <w:rFonts w:hint="eastAsia"/>
          <w:color w:val="auto"/>
          <w:sz w:val="24"/>
          <w:szCs w:val="24"/>
          <w:highlight w:val="none"/>
        </w:rPr>
        <w:t>厂区平面布置图</w:t>
      </w:r>
      <w:r>
        <w:rPr>
          <w:rFonts w:hint="eastAsia"/>
          <w:color w:val="auto"/>
          <w:sz w:val="24"/>
          <w:szCs w:val="24"/>
          <w:highlight w:val="none"/>
          <w:lang w:eastAsia="zh-CN"/>
        </w:rPr>
        <w:t>（</w:t>
      </w:r>
      <w:r>
        <w:rPr>
          <w:rFonts w:hint="eastAsia"/>
          <w:color w:val="auto"/>
          <w:sz w:val="24"/>
          <w:szCs w:val="24"/>
          <w:highlight w:val="none"/>
          <w:lang w:val="en-US" w:eastAsia="zh-CN"/>
        </w:rPr>
        <w:t>二层</w:t>
      </w:r>
      <w:r>
        <w:rPr>
          <w:rFonts w:hint="eastAsia"/>
          <w:color w:val="auto"/>
          <w:sz w:val="24"/>
          <w:szCs w:val="24"/>
          <w:highlight w:val="none"/>
          <w:lang w:eastAsia="zh-CN"/>
        </w:rPr>
        <w:t>）</w:t>
      </w:r>
    </w:p>
    <w:p w14:paraId="62A03E8B">
      <w:pPr>
        <w:pStyle w:val="19"/>
        <w:keepNext w:val="0"/>
        <w:keepLines w:val="0"/>
        <w:pageBreakBefore w:val="0"/>
        <w:kinsoku/>
        <w:wordWrap/>
        <w:overflowPunct/>
        <w:topLinePunct w:val="0"/>
        <w:autoSpaceDE/>
        <w:autoSpaceDN/>
        <w:bidi w:val="0"/>
        <w:adjustRightInd/>
        <w:snapToGrid/>
        <w:spacing w:before="0" w:after="0" w:line="360" w:lineRule="auto"/>
        <w:ind w:right="0" w:rightChars="0"/>
        <w:textAlignment w:val="auto"/>
        <w:rPr>
          <w:rFonts w:hint="eastAsia" w:eastAsia="宋体"/>
          <w:color w:val="auto"/>
          <w:sz w:val="24"/>
          <w:szCs w:val="24"/>
          <w:highlight w:val="none"/>
          <w:lang w:eastAsia="zh-CN"/>
        </w:rPr>
      </w:pPr>
      <w:r>
        <w:rPr>
          <w:rFonts w:hint="eastAsia"/>
          <w:color w:val="auto"/>
          <w:sz w:val="24"/>
          <w:szCs w:val="24"/>
          <w:highlight w:val="none"/>
        </w:rPr>
        <w:t>附图</w:t>
      </w:r>
      <w:r>
        <w:rPr>
          <w:color w:val="auto"/>
          <w:sz w:val="24"/>
          <w:szCs w:val="24"/>
          <w:highlight w:val="none"/>
        </w:rPr>
        <w:t>2</w:t>
      </w:r>
      <w:r>
        <w:rPr>
          <w:rFonts w:hint="eastAsia"/>
          <w:color w:val="auto"/>
          <w:sz w:val="24"/>
          <w:szCs w:val="24"/>
          <w:highlight w:val="none"/>
          <w:lang w:val="en-US" w:eastAsia="zh-CN"/>
        </w:rPr>
        <w:t>-1</w:t>
      </w:r>
      <w:r>
        <w:rPr>
          <w:color w:val="auto"/>
          <w:sz w:val="24"/>
          <w:szCs w:val="24"/>
          <w:highlight w:val="none"/>
        </w:rPr>
        <w:t xml:space="preserve">  </w:t>
      </w:r>
      <w:r>
        <w:rPr>
          <w:rFonts w:hint="eastAsia"/>
          <w:color w:val="auto"/>
          <w:sz w:val="24"/>
          <w:szCs w:val="24"/>
          <w:highlight w:val="none"/>
        </w:rPr>
        <w:t>厂区平面布置图</w:t>
      </w:r>
      <w:r>
        <w:rPr>
          <w:rFonts w:hint="eastAsia"/>
          <w:color w:val="auto"/>
          <w:sz w:val="24"/>
          <w:szCs w:val="24"/>
          <w:highlight w:val="none"/>
          <w:lang w:eastAsia="zh-CN"/>
        </w:rPr>
        <w:t>（</w:t>
      </w:r>
      <w:r>
        <w:rPr>
          <w:rFonts w:hint="eastAsia"/>
          <w:color w:val="auto"/>
          <w:sz w:val="24"/>
          <w:szCs w:val="24"/>
          <w:highlight w:val="none"/>
          <w:lang w:val="en-US" w:eastAsia="zh-CN"/>
        </w:rPr>
        <w:t>三层</w:t>
      </w:r>
      <w:r>
        <w:rPr>
          <w:rFonts w:hint="eastAsia"/>
          <w:color w:val="auto"/>
          <w:sz w:val="24"/>
          <w:szCs w:val="24"/>
          <w:highlight w:val="none"/>
          <w:lang w:eastAsia="zh-CN"/>
        </w:rPr>
        <w:t>）</w:t>
      </w:r>
    </w:p>
    <w:p w14:paraId="7666C20B">
      <w:pPr>
        <w:pStyle w:val="19"/>
        <w:keepNext w:val="0"/>
        <w:keepLines w:val="0"/>
        <w:pageBreakBefore w:val="0"/>
        <w:kinsoku/>
        <w:wordWrap/>
        <w:overflowPunct/>
        <w:topLinePunct w:val="0"/>
        <w:autoSpaceDE/>
        <w:autoSpaceDN/>
        <w:bidi w:val="0"/>
        <w:adjustRightInd/>
        <w:snapToGrid/>
        <w:spacing w:before="0" w:after="0" w:line="360" w:lineRule="auto"/>
        <w:ind w:right="0" w:rightChars="0"/>
        <w:textAlignment w:val="auto"/>
        <w:rPr>
          <w:rFonts w:hint="eastAsia" w:eastAsia="宋体"/>
          <w:color w:val="auto"/>
          <w:sz w:val="24"/>
          <w:szCs w:val="24"/>
          <w:highlight w:val="none"/>
          <w:lang w:eastAsia="zh-CN"/>
        </w:rPr>
      </w:pPr>
      <w:r>
        <w:rPr>
          <w:rFonts w:hint="eastAsia"/>
          <w:color w:val="auto"/>
          <w:sz w:val="24"/>
          <w:szCs w:val="24"/>
          <w:highlight w:val="none"/>
        </w:rPr>
        <w:t>附图</w:t>
      </w:r>
      <w:r>
        <w:rPr>
          <w:color w:val="auto"/>
          <w:sz w:val="24"/>
          <w:szCs w:val="24"/>
          <w:highlight w:val="none"/>
        </w:rPr>
        <w:t>2</w:t>
      </w:r>
      <w:r>
        <w:rPr>
          <w:rFonts w:hint="eastAsia"/>
          <w:color w:val="auto"/>
          <w:sz w:val="24"/>
          <w:szCs w:val="24"/>
          <w:highlight w:val="none"/>
          <w:lang w:val="en-US" w:eastAsia="zh-CN"/>
        </w:rPr>
        <w:t>-2</w:t>
      </w:r>
      <w:r>
        <w:rPr>
          <w:color w:val="auto"/>
          <w:sz w:val="24"/>
          <w:szCs w:val="24"/>
          <w:highlight w:val="none"/>
        </w:rPr>
        <w:t xml:space="preserve">  </w:t>
      </w:r>
      <w:r>
        <w:rPr>
          <w:rFonts w:hint="eastAsia"/>
          <w:color w:val="auto"/>
          <w:sz w:val="24"/>
          <w:szCs w:val="24"/>
          <w:highlight w:val="none"/>
        </w:rPr>
        <w:t>厂区平面布置图</w:t>
      </w:r>
      <w:r>
        <w:rPr>
          <w:rFonts w:hint="eastAsia"/>
          <w:color w:val="auto"/>
          <w:sz w:val="24"/>
          <w:szCs w:val="24"/>
          <w:highlight w:val="none"/>
          <w:lang w:eastAsia="zh-CN"/>
        </w:rPr>
        <w:t>（</w:t>
      </w:r>
      <w:r>
        <w:rPr>
          <w:rFonts w:hint="eastAsia"/>
          <w:color w:val="auto"/>
          <w:sz w:val="24"/>
          <w:szCs w:val="24"/>
          <w:highlight w:val="none"/>
          <w:lang w:val="en-US" w:eastAsia="zh-CN"/>
        </w:rPr>
        <w:t>四层</w:t>
      </w:r>
      <w:r>
        <w:rPr>
          <w:rFonts w:hint="eastAsia"/>
          <w:color w:val="auto"/>
          <w:sz w:val="24"/>
          <w:szCs w:val="24"/>
          <w:highlight w:val="none"/>
          <w:lang w:eastAsia="zh-CN"/>
        </w:rPr>
        <w:t>）</w:t>
      </w:r>
    </w:p>
    <w:p w14:paraId="3AE84BD5">
      <w:pPr>
        <w:keepNext w:val="0"/>
        <w:keepLines w:val="0"/>
        <w:pageBreakBefore w:val="0"/>
        <w:kinsoku/>
        <w:wordWrap/>
        <w:overflowPunct/>
        <w:topLinePunct w:val="0"/>
        <w:autoSpaceDE/>
        <w:autoSpaceDN/>
        <w:bidi w:val="0"/>
        <w:adjustRightInd/>
        <w:snapToGrid/>
        <w:spacing w:line="360" w:lineRule="auto"/>
        <w:ind w:right="0" w:rightChars="0"/>
        <w:textAlignment w:val="auto"/>
        <w:rPr>
          <w:color w:val="auto"/>
          <w:sz w:val="24"/>
          <w:highlight w:val="none"/>
        </w:rPr>
      </w:pPr>
      <w:r>
        <w:rPr>
          <w:rFonts w:hint="eastAsia"/>
          <w:color w:val="auto"/>
          <w:sz w:val="24"/>
          <w:highlight w:val="none"/>
        </w:rPr>
        <w:t>附图3</w:t>
      </w:r>
      <w:r>
        <w:rPr>
          <w:color w:val="auto"/>
          <w:sz w:val="24"/>
          <w:highlight w:val="none"/>
        </w:rPr>
        <w:t xml:space="preserve">  </w:t>
      </w:r>
      <w:r>
        <w:rPr>
          <w:rFonts w:hint="eastAsia"/>
          <w:color w:val="auto"/>
          <w:sz w:val="24"/>
          <w:highlight w:val="none"/>
          <w:lang w:eastAsia="zh-CN"/>
        </w:rPr>
        <w:t>项目</w:t>
      </w:r>
      <w:r>
        <w:rPr>
          <w:rFonts w:hint="eastAsia"/>
          <w:color w:val="auto"/>
          <w:sz w:val="24"/>
          <w:highlight w:val="none"/>
        </w:rPr>
        <w:t>周边</w:t>
      </w:r>
      <w:r>
        <w:rPr>
          <w:rFonts w:hint="eastAsia"/>
          <w:color w:val="auto"/>
          <w:sz w:val="24"/>
          <w:highlight w:val="none"/>
          <w:lang w:eastAsia="zh-CN"/>
        </w:rPr>
        <w:t>概况</w:t>
      </w:r>
      <w:r>
        <w:rPr>
          <w:rFonts w:hint="eastAsia"/>
          <w:color w:val="auto"/>
          <w:sz w:val="24"/>
          <w:highlight w:val="none"/>
        </w:rPr>
        <w:t>图</w:t>
      </w:r>
    </w:p>
    <w:p w14:paraId="7A89A1E8">
      <w:pPr>
        <w:keepNext w:val="0"/>
        <w:keepLines w:val="0"/>
        <w:pageBreakBefore w:val="0"/>
        <w:kinsoku/>
        <w:wordWrap/>
        <w:overflowPunct/>
        <w:topLinePunct w:val="0"/>
        <w:autoSpaceDE/>
        <w:autoSpaceDN/>
        <w:bidi w:val="0"/>
        <w:adjustRightInd/>
        <w:snapToGrid/>
        <w:spacing w:line="360" w:lineRule="auto"/>
        <w:ind w:right="0" w:rightChars="0"/>
        <w:textAlignment w:val="auto"/>
        <w:rPr>
          <w:rFonts w:hint="default" w:ascii="Times New Roman" w:hAnsi="Times New Roman" w:cs="Times New Roman"/>
          <w:color w:val="0070C0"/>
          <w:sz w:val="24"/>
        </w:rPr>
      </w:pPr>
      <w:r>
        <w:rPr>
          <w:rFonts w:hint="default" w:ascii="Times New Roman" w:hAnsi="Times New Roman" w:cs="Times New Roman"/>
          <w:color w:val="0070C0"/>
          <w:sz w:val="24"/>
        </w:rPr>
        <w:t>附图4  江苏省生态环境管控单元图</w:t>
      </w:r>
    </w:p>
    <w:p w14:paraId="7ED1DD3D">
      <w:pPr>
        <w:keepNext w:val="0"/>
        <w:keepLines w:val="0"/>
        <w:pageBreakBefore w:val="0"/>
        <w:kinsoku/>
        <w:wordWrap/>
        <w:overflowPunct/>
        <w:topLinePunct w:val="0"/>
        <w:autoSpaceDE/>
        <w:autoSpaceDN/>
        <w:bidi w:val="0"/>
        <w:adjustRightInd/>
        <w:snapToGrid/>
        <w:spacing w:line="360" w:lineRule="auto"/>
        <w:ind w:right="0" w:rightChars="0"/>
        <w:textAlignment w:val="auto"/>
        <w:rPr>
          <w:rFonts w:hint="eastAsia"/>
          <w:color w:val="auto"/>
          <w:sz w:val="24"/>
          <w:highlight w:val="none"/>
          <w:lang w:val="en-US" w:eastAsia="zh-CN"/>
        </w:rPr>
      </w:pPr>
      <w:r>
        <w:rPr>
          <w:rFonts w:hint="eastAsia"/>
          <w:color w:val="auto"/>
          <w:sz w:val="24"/>
          <w:highlight w:val="none"/>
        </w:rPr>
        <w:t xml:space="preserve">附图5  </w:t>
      </w:r>
      <w:r>
        <w:rPr>
          <w:rFonts w:hint="eastAsia"/>
          <w:color w:val="auto"/>
          <w:sz w:val="24"/>
          <w:highlight w:val="none"/>
          <w:lang w:val="en-US" w:eastAsia="zh-CN"/>
        </w:rPr>
        <w:t>土地利用规划</w:t>
      </w:r>
      <w:r>
        <w:rPr>
          <w:rFonts w:hint="eastAsia"/>
          <w:color w:val="auto"/>
          <w:sz w:val="24"/>
          <w:highlight w:val="none"/>
        </w:rPr>
        <w:t>图</w:t>
      </w:r>
      <w:r>
        <w:rPr>
          <w:rFonts w:hint="eastAsia"/>
          <w:color w:val="auto"/>
          <w:sz w:val="24"/>
          <w:highlight w:val="none"/>
          <w:lang w:val="en-US" w:eastAsia="zh-CN"/>
        </w:rPr>
        <w:t xml:space="preserve"> </w:t>
      </w:r>
    </w:p>
    <w:p w14:paraId="2CDAE160">
      <w:pPr>
        <w:keepNext w:val="0"/>
        <w:keepLines w:val="0"/>
        <w:pageBreakBefore w:val="0"/>
        <w:kinsoku/>
        <w:wordWrap/>
        <w:overflowPunct/>
        <w:topLinePunct w:val="0"/>
        <w:autoSpaceDE/>
        <w:autoSpaceDN/>
        <w:bidi w:val="0"/>
        <w:adjustRightInd/>
        <w:snapToGrid/>
        <w:spacing w:line="360" w:lineRule="auto"/>
        <w:ind w:right="0" w:rightChars="0"/>
        <w:textAlignment w:val="auto"/>
        <w:rPr>
          <w:rFonts w:hint="eastAsia"/>
          <w:color w:val="auto"/>
          <w:sz w:val="24"/>
          <w:highlight w:val="none"/>
          <w:lang w:val="en-US" w:eastAsia="zh-CN"/>
        </w:rPr>
      </w:pPr>
      <w:r>
        <w:rPr>
          <w:rFonts w:hint="eastAsia"/>
          <w:color w:val="auto"/>
          <w:sz w:val="24"/>
          <w:highlight w:val="none"/>
          <w:lang w:val="en-US" w:eastAsia="zh-CN"/>
        </w:rPr>
        <w:t>附图6-1厂区分区防渗图（一层）</w:t>
      </w:r>
    </w:p>
    <w:p w14:paraId="31912914">
      <w:pPr>
        <w:keepNext w:val="0"/>
        <w:keepLines w:val="0"/>
        <w:pageBreakBefore w:val="0"/>
        <w:kinsoku/>
        <w:wordWrap/>
        <w:overflowPunct/>
        <w:topLinePunct w:val="0"/>
        <w:autoSpaceDE/>
        <w:autoSpaceDN/>
        <w:bidi w:val="0"/>
        <w:adjustRightInd/>
        <w:snapToGrid/>
        <w:spacing w:line="360" w:lineRule="auto"/>
        <w:ind w:right="0" w:rightChars="0"/>
        <w:textAlignment w:val="auto"/>
        <w:rPr>
          <w:rFonts w:hint="eastAsia"/>
          <w:color w:val="auto"/>
          <w:sz w:val="24"/>
          <w:highlight w:val="none"/>
          <w:lang w:val="en-US" w:eastAsia="zh-CN"/>
        </w:rPr>
      </w:pPr>
      <w:r>
        <w:rPr>
          <w:rFonts w:hint="eastAsia"/>
          <w:color w:val="auto"/>
          <w:sz w:val="24"/>
          <w:highlight w:val="none"/>
          <w:lang w:val="en-US" w:eastAsia="zh-CN"/>
        </w:rPr>
        <w:t>附图6-2厂区分区防渗图（二层）</w:t>
      </w:r>
    </w:p>
    <w:p w14:paraId="10E58B0F">
      <w:pPr>
        <w:keepNext w:val="0"/>
        <w:keepLines w:val="0"/>
        <w:pageBreakBefore w:val="0"/>
        <w:kinsoku/>
        <w:wordWrap/>
        <w:overflowPunct/>
        <w:topLinePunct w:val="0"/>
        <w:autoSpaceDE/>
        <w:autoSpaceDN/>
        <w:bidi w:val="0"/>
        <w:adjustRightInd/>
        <w:snapToGrid/>
        <w:spacing w:line="360" w:lineRule="auto"/>
        <w:ind w:right="0" w:rightChars="0"/>
        <w:textAlignment w:val="auto"/>
        <w:rPr>
          <w:rFonts w:hint="default" w:ascii="Times New Roman" w:hAnsi="Times New Roman" w:cs="Times New Roman"/>
          <w:color w:val="0070C0"/>
          <w:sz w:val="24"/>
          <w:lang w:val="en-US" w:eastAsia="zh-CN"/>
        </w:rPr>
      </w:pPr>
      <w:r>
        <w:rPr>
          <w:rFonts w:hint="default" w:ascii="Times New Roman" w:hAnsi="Times New Roman" w:cs="Times New Roman"/>
          <w:color w:val="0070C0"/>
          <w:sz w:val="24"/>
          <w:lang w:val="en-US" w:eastAsia="zh-CN"/>
        </w:rPr>
        <w:t>附图7-1 园区土地利用规划图（近</w:t>
      </w:r>
      <w:r>
        <w:rPr>
          <w:rFonts w:hint="default" w:ascii="Times New Roman" w:hAnsi="Times New Roman" w:cs="Times New Roman"/>
        </w:rPr>
        <w:commentReference w:id="15"/>
      </w:r>
      <w:r>
        <w:rPr>
          <w:rFonts w:hint="default" w:ascii="Times New Roman" w:hAnsi="Times New Roman" w:cs="Times New Roman"/>
          <w:color w:val="0070C0"/>
          <w:sz w:val="24"/>
          <w:lang w:val="en-US" w:eastAsia="zh-CN"/>
        </w:rPr>
        <w:t>期）</w:t>
      </w:r>
    </w:p>
    <w:p w14:paraId="4E2C90A8">
      <w:pPr>
        <w:keepNext w:val="0"/>
        <w:keepLines w:val="0"/>
        <w:pageBreakBefore w:val="0"/>
        <w:kinsoku/>
        <w:wordWrap/>
        <w:overflowPunct/>
        <w:topLinePunct w:val="0"/>
        <w:autoSpaceDE/>
        <w:autoSpaceDN/>
        <w:bidi w:val="0"/>
        <w:adjustRightInd/>
        <w:snapToGrid/>
        <w:spacing w:line="360" w:lineRule="auto"/>
        <w:ind w:right="0" w:rightChars="0"/>
        <w:textAlignment w:val="auto"/>
        <w:rPr>
          <w:rFonts w:hint="default" w:ascii="Times New Roman" w:hAnsi="Times New Roman" w:cs="Times New Roman"/>
          <w:color w:val="0070C0"/>
          <w:sz w:val="24"/>
          <w:lang w:val="en-US" w:eastAsia="zh-CN"/>
        </w:rPr>
      </w:pPr>
      <w:r>
        <w:rPr>
          <w:rFonts w:hint="default" w:ascii="Times New Roman" w:hAnsi="Times New Roman" w:cs="Times New Roman"/>
          <w:color w:val="0070C0"/>
          <w:sz w:val="24"/>
          <w:lang w:val="en-US" w:eastAsia="zh-CN"/>
        </w:rPr>
        <w:t>附图7-2 园区土地利用规划图（远期）</w:t>
      </w:r>
    </w:p>
    <w:p w14:paraId="66F11226">
      <w:pPr>
        <w:keepNext w:val="0"/>
        <w:keepLines w:val="0"/>
        <w:pageBreakBefore w:val="0"/>
        <w:kinsoku/>
        <w:wordWrap/>
        <w:overflowPunct/>
        <w:topLinePunct w:val="0"/>
        <w:autoSpaceDE/>
        <w:autoSpaceDN/>
        <w:bidi w:val="0"/>
        <w:adjustRightInd/>
        <w:snapToGrid/>
        <w:spacing w:line="360" w:lineRule="auto"/>
        <w:ind w:right="0" w:rightChars="0"/>
        <w:textAlignment w:val="auto"/>
        <w:rPr>
          <w:rFonts w:hint="eastAsia"/>
          <w:color w:val="auto"/>
          <w:sz w:val="24"/>
          <w:highlight w:val="none"/>
          <w:lang w:val="en-US" w:eastAsia="zh-CN"/>
        </w:rPr>
      </w:pPr>
    </w:p>
    <w:p w14:paraId="2DAF9F1D">
      <w:pPr>
        <w:keepNext w:val="0"/>
        <w:keepLines w:val="0"/>
        <w:pageBreakBefore w:val="0"/>
        <w:kinsoku/>
        <w:wordWrap/>
        <w:overflowPunct/>
        <w:topLinePunct w:val="0"/>
        <w:autoSpaceDE/>
        <w:autoSpaceDN/>
        <w:bidi w:val="0"/>
        <w:adjustRightInd/>
        <w:snapToGrid/>
        <w:spacing w:line="360" w:lineRule="auto"/>
        <w:ind w:right="0" w:rightChars="0"/>
        <w:textAlignment w:val="auto"/>
        <w:rPr>
          <w:b/>
          <w:bCs/>
          <w:color w:val="auto"/>
          <w:sz w:val="24"/>
          <w:highlight w:val="none"/>
        </w:rPr>
      </w:pPr>
      <w:r>
        <w:rPr>
          <w:rFonts w:hint="eastAsia"/>
          <w:b/>
          <w:bCs/>
          <w:color w:val="auto"/>
          <w:sz w:val="24"/>
          <w:highlight w:val="none"/>
        </w:rPr>
        <w:t>附件：</w:t>
      </w:r>
    </w:p>
    <w:p w14:paraId="47AD2827">
      <w:pPr>
        <w:pStyle w:val="19"/>
        <w:keepNext w:val="0"/>
        <w:keepLines w:val="0"/>
        <w:pageBreakBefore w:val="0"/>
        <w:kinsoku/>
        <w:wordWrap/>
        <w:overflowPunct/>
        <w:topLinePunct w:val="0"/>
        <w:autoSpaceDE/>
        <w:autoSpaceDN/>
        <w:bidi w:val="0"/>
        <w:adjustRightInd/>
        <w:snapToGrid/>
        <w:spacing w:before="0" w:after="0" w:line="360" w:lineRule="auto"/>
        <w:ind w:right="0" w:rightChars="0"/>
        <w:textAlignment w:val="auto"/>
        <w:rPr>
          <w:color w:val="auto"/>
          <w:sz w:val="24"/>
          <w:szCs w:val="24"/>
          <w:highlight w:val="none"/>
        </w:rPr>
      </w:pPr>
      <w:r>
        <w:rPr>
          <w:rFonts w:hint="eastAsia"/>
          <w:color w:val="auto"/>
          <w:sz w:val="24"/>
          <w:szCs w:val="24"/>
          <w:highlight w:val="none"/>
        </w:rPr>
        <w:t>附件1</w:t>
      </w:r>
      <w:r>
        <w:rPr>
          <w:color w:val="auto"/>
          <w:sz w:val="24"/>
          <w:szCs w:val="24"/>
          <w:highlight w:val="none"/>
        </w:rPr>
        <w:t xml:space="preserve">  </w:t>
      </w:r>
      <w:r>
        <w:rPr>
          <w:rFonts w:hint="eastAsia"/>
          <w:color w:val="auto"/>
          <w:sz w:val="24"/>
          <w:szCs w:val="24"/>
          <w:highlight w:val="none"/>
        </w:rPr>
        <w:t>备案证</w:t>
      </w:r>
    </w:p>
    <w:p w14:paraId="59A55223">
      <w:pPr>
        <w:keepNext w:val="0"/>
        <w:keepLines w:val="0"/>
        <w:pageBreakBefore w:val="0"/>
        <w:kinsoku/>
        <w:wordWrap/>
        <w:overflowPunct/>
        <w:topLinePunct w:val="0"/>
        <w:autoSpaceDE/>
        <w:autoSpaceDN/>
        <w:bidi w:val="0"/>
        <w:adjustRightInd/>
        <w:snapToGrid/>
        <w:spacing w:line="360" w:lineRule="auto"/>
        <w:ind w:right="0" w:rightChars="0"/>
        <w:textAlignment w:val="auto"/>
        <w:rPr>
          <w:rFonts w:hint="eastAsia" w:eastAsia="宋体"/>
          <w:color w:val="auto"/>
          <w:sz w:val="24"/>
          <w:szCs w:val="24"/>
          <w:highlight w:val="none"/>
          <w:lang w:eastAsia="zh-CN"/>
        </w:rPr>
      </w:pPr>
      <w:r>
        <w:rPr>
          <w:rFonts w:hint="eastAsia"/>
          <w:color w:val="auto"/>
          <w:sz w:val="24"/>
          <w:szCs w:val="24"/>
          <w:highlight w:val="none"/>
        </w:rPr>
        <w:t>附件2</w:t>
      </w:r>
      <w:r>
        <w:rPr>
          <w:color w:val="auto"/>
          <w:sz w:val="24"/>
          <w:szCs w:val="24"/>
          <w:highlight w:val="none"/>
        </w:rPr>
        <w:t xml:space="preserve">  </w:t>
      </w:r>
      <w:r>
        <w:rPr>
          <w:rFonts w:hint="eastAsia"/>
          <w:color w:val="auto"/>
          <w:sz w:val="24"/>
          <w:szCs w:val="24"/>
          <w:highlight w:val="none"/>
        </w:rPr>
        <w:t>营业执照</w:t>
      </w:r>
    </w:p>
    <w:p w14:paraId="7918FD95">
      <w:pPr>
        <w:pStyle w:val="19"/>
        <w:keepNext w:val="0"/>
        <w:keepLines w:val="0"/>
        <w:pageBreakBefore w:val="0"/>
        <w:kinsoku/>
        <w:wordWrap/>
        <w:overflowPunct/>
        <w:topLinePunct w:val="0"/>
        <w:autoSpaceDE/>
        <w:autoSpaceDN/>
        <w:bidi w:val="0"/>
        <w:adjustRightInd/>
        <w:snapToGrid/>
        <w:spacing w:before="0" w:after="0" w:line="360" w:lineRule="auto"/>
        <w:ind w:right="0" w:rightChars="0"/>
        <w:textAlignment w:val="auto"/>
        <w:rPr>
          <w:rFonts w:hint="eastAsia"/>
          <w:color w:val="auto"/>
          <w:sz w:val="24"/>
          <w:szCs w:val="24"/>
          <w:highlight w:val="none"/>
          <w:lang w:val="en-US" w:eastAsia="zh-CN"/>
        </w:rPr>
      </w:pPr>
      <w:r>
        <w:rPr>
          <w:rFonts w:hint="eastAsia"/>
          <w:color w:val="auto"/>
          <w:sz w:val="24"/>
          <w:szCs w:val="24"/>
          <w:highlight w:val="none"/>
        </w:rPr>
        <w:t>附件</w:t>
      </w:r>
      <w:r>
        <w:rPr>
          <w:rFonts w:hint="eastAsia"/>
          <w:color w:val="auto"/>
          <w:sz w:val="24"/>
          <w:szCs w:val="24"/>
          <w:highlight w:val="none"/>
          <w:lang w:val="en-US" w:eastAsia="zh-CN"/>
        </w:rPr>
        <w:t>3</w:t>
      </w:r>
      <w:r>
        <w:rPr>
          <w:color w:val="auto"/>
          <w:sz w:val="24"/>
          <w:szCs w:val="24"/>
          <w:highlight w:val="none"/>
        </w:rPr>
        <w:t xml:space="preserve">  </w:t>
      </w:r>
      <w:r>
        <w:rPr>
          <w:rFonts w:hint="eastAsia"/>
          <w:color w:val="auto"/>
          <w:sz w:val="24"/>
          <w:szCs w:val="24"/>
          <w:highlight w:val="none"/>
          <w:lang w:val="en-US" w:eastAsia="zh-CN"/>
        </w:rPr>
        <w:t>购房协议</w:t>
      </w:r>
    </w:p>
    <w:p w14:paraId="08F8A334">
      <w:pPr>
        <w:pStyle w:val="19"/>
        <w:keepNext w:val="0"/>
        <w:keepLines w:val="0"/>
        <w:pageBreakBefore w:val="0"/>
        <w:kinsoku/>
        <w:wordWrap/>
        <w:overflowPunct/>
        <w:topLinePunct w:val="0"/>
        <w:autoSpaceDE/>
        <w:autoSpaceDN/>
        <w:bidi w:val="0"/>
        <w:adjustRightInd/>
        <w:snapToGrid/>
        <w:spacing w:before="0" w:after="0" w:line="360" w:lineRule="auto"/>
        <w:ind w:right="0" w:rightChars="0"/>
        <w:textAlignment w:val="auto"/>
        <w:rPr>
          <w:rFonts w:hint="default" w:eastAsia="宋体"/>
          <w:color w:val="auto"/>
          <w:sz w:val="24"/>
          <w:szCs w:val="24"/>
          <w:highlight w:val="none"/>
          <w:lang w:val="en-US" w:eastAsia="zh-CN"/>
        </w:rPr>
      </w:pPr>
      <w:r>
        <w:rPr>
          <w:rFonts w:hint="eastAsia"/>
          <w:color w:val="auto"/>
          <w:sz w:val="24"/>
          <w:szCs w:val="24"/>
          <w:highlight w:val="none"/>
        </w:rPr>
        <w:t>附件</w:t>
      </w:r>
      <w:r>
        <w:rPr>
          <w:rFonts w:hint="eastAsia"/>
          <w:color w:val="auto"/>
          <w:sz w:val="24"/>
          <w:szCs w:val="24"/>
          <w:highlight w:val="none"/>
          <w:lang w:val="en-US" w:eastAsia="zh-CN"/>
        </w:rPr>
        <w:t>3-1</w:t>
      </w:r>
      <w:r>
        <w:rPr>
          <w:color w:val="auto"/>
          <w:sz w:val="24"/>
          <w:szCs w:val="24"/>
          <w:highlight w:val="none"/>
        </w:rPr>
        <w:t xml:space="preserve">  </w:t>
      </w:r>
      <w:r>
        <w:rPr>
          <w:rFonts w:hint="eastAsia"/>
          <w:color w:val="auto"/>
          <w:sz w:val="24"/>
          <w:szCs w:val="24"/>
          <w:highlight w:val="none"/>
          <w:lang w:val="en-US" w:eastAsia="zh-CN"/>
        </w:rPr>
        <w:t>产权证</w:t>
      </w:r>
    </w:p>
    <w:p w14:paraId="617B679C">
      <w:pPr>
        <w:pStyle w:val="19"/>
        <w:keepNext w:val="0"/>
        <w:keepLines w:val="0"/>
        <w:pageBreakBefore w:val="0"/>
        <w:kinsoku/>
        <w:wordWrap/>
        <w:overflowPunct/>
        <w:topLinePunct w:val="0"/>
        <w:autoSpaceDE/>
        <w:autoSpaceDN/>
        <w:bidi w:val="0"/>
        <w:adjustRightInd/>
        <w:snapToGrid/>
        <w:spacing w:before="0" w:after="0" w:line="360" w:lineRule="auto"/>
        <w:ind w:right="0" w:rightChars="0"/>
        <w:textAlignment w:val="auto"/>
        <w:rPr>
          <w:rFonts w:hint="eastAsia" w:eastAsia="宋体"/>
          <w:color w:val="auto"/>
          <w:sz w:val="24"/>
          <w:szCs w:val="24"/>
          <w:highlight w:val="none"/>
          <w:lang w:eastAsia="zh-CN"/>
        </w:rPr>
      </w:pPr>
      <w:r>
        <w:rPr>
          <w:rFonts w:hint="eastAsia"/>
          <w:color w:val="auto"/>
          <w:sz w:val="24"/>
          <w:szCs w:val="24"/>
          <w:highlight w:val="none"/>
        </w:rPr>
        <w:t>附件</w:t>
      </w:r>
      <w:r>
        <w:rPr>
          <w:rFonts w:hint="eastAsia"/>
          <w:color w:val="auto"/>
          <w:sz w:val="24"/>
          <w:szCs w:val="24"/>
          <w:highlight w:val="none"/>
          <w:lang w:val="en-US" w:eastAsia="zh-CN"/>
        </w:rPr>
        <w:t>4 法人身份证</w:t>
      </w:r>
    </w:p>
    <w:p w14:paraId="2EF2601D">
      <w:pPr>
        <w:pStyle w:val="3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附件5、光学专用胶MSDS报告</w:t>
      </w:r>
    </w:p>
    <w:p w14:paraId="1560C0DE">
      <w:pPr>
        <w:pStyle w:val="3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附件5-1、光学胶VOC检测报告</w:t>
      </w:r>
    </w:p>
    <w:p w14:paraId="0249ED18">
      <w:pPr>
        <w:pStyle w:val="3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附件5-2、清洗剂MSDS报告</w:t>
      </w:r>
    </w:p>
    <w:p w14:paraId="0DF1A733">
      <w:pPr>
        <w:pStyle w:val="3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附件5-3、清洗剂VOC检测报告</w:t>
      </w:r>
    </w:p>
    <w:p w14:paraId="7343ABE1">
      <w:pPr>
        <w:pStyle w:val="35"/>
        <w:keepNext w:val="0"/>
        <w:keepLines w:val="0"/>
        <w:pageBreakBefore w:val="0"/>
        <w:kinsoku/>
        <w:wordWrap/>
        <w:overflowPunct/>
        <w:topLinePunct w:val="0"/>
        <w:autoSpaceDE/>
        <w:autoSpaceDN/>
        <w:bidi w:val="0"/>
        <w:adjustRightInd/>
        <w:snapToGrid/>
        <w:spacing w:before="0" w:after="0" w:line="360" w:lineRule="auto"/>
        <w:ind w:left="0" w:leftChars="0" w:right="0"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附件6、公示截图</w:t>
      </w:r>
    </w:p>
    <w:p w14:paraId="73C34D09">
      <w:pPr>
        <w:pStyle w:val="19"/>
        <w:keepNext w:val="0"/>
        <w:keepLines w:val="0"/>
        <w:pageBreakBefore w:val="0"/>
        <w:kinsoku/>
        <w:wordWrap/>
        <w:overflowPunct/>
        <w:topLinePunct w:val="0"/>
        <w:autoSpaceDE/>
        <w:autoSpaceDN/>
        <w:bidi w:val="0"/>
        <w:adjustRightInd/>
        <w:snapToGrid/>
        <w:spacing w:before="0" w:after="0" w:line="360" w:lineRule="auto"/>
        <w:ind w:right="0" w:rightChars="0"/>
        <w:textAlignment w:val="auto"/>
        <w:rPr>
          <w:rFonts w:hint="eastAsia" w:eastAsia="宋体"/>
          <w:color w:val="auto"/>
          <w:sz w:val="24"/>
          <w:szCs w:val="24"/>
          <w:highlight w:val="none"/>
          <w:lang w:eastAsia="zh-CN"/>
        </w:rPr>
      </w:pPr>
      <w:r>
        <w:rPr>
          <w:rFonts w:hint="eastAsia"/>
          <w:color w:val="auto"/>
          <w:sz w:val="24"/>
          <w:szCs w:val="24"/>
          <w:highlight w:val="none"/>
        </w:rPr>
        <w:t>附件</w:t>
      </w:r>
      <w:r>
        <w:rPr>
          <w:rFonts w:hint="eastAsia"/>
          <w:color w:val="auto"/>
          <w:sz w:val="24"/>
          <w:szCs w:val="24"/>
          <w:highlight w:val="none"/>
          <w:lang w:val="en-US" w:eastAsia="zh-CN"/>
        </w:rPr>
        <w:t>7、</w:t>
      </w:r>
      <w:r>
        <w:rPr>
          <w:rFonts w:hint="eastAsia"/>
          <w:color w:val="auto"/>
          <w:sz w:val="24"/>
          <w:szCs w:val="24"/>
          <w:highlight w:val="none"/>
          <w:lang w:eastAsia="zh-CN"/>
        </w:rPr>
        <w:t>环评合同</w:t>
      </w:r>
    </w:p>
    <w:p w14:paraId="1605AF20">
      <w:pPr>
        <w:keepNext w:val="0"/>
        <w:keepLines w:val="0"/>
        <w:pageBreakBefore w:val="0"/>
        <w:kinsoku/>
        <w:wordWrap/>
        <w:overflowPunct/>
        <w:topLinePunct w:val="0"/>
        <w:autoSpaceDE/>
        <w:autoSpaceDN/>
        <w:bidi w:val="0"/>
        <w:adjustRightInd/>
        <w:snapToGrid/>
        <w:spacing w:line="360" w:lineRule="auto"/>
        <w:ind w:right="0" w:rightChars="0"/>
        <w:textAlignment w:val="auto"/>
        <w:rPr>
          <w:rFonts w:hint="eastAsia" w:eastAsia="宋体"/>
          <w:color w:val="auto"/>
          <w:sz w:val="24"/>
          <w:szCs w:val="24"/>
          <w:highlight w:val="none"/>
          <w:lang w:eastAsia="zh-CN"/>
        </w:rPr>
      </w:pPr>
      <w:r>
        <w:rPr>
          <w:rFonts w:hint="eastAsia"/>
          <w:color w:val="auto"/>
          <w:sz w:val="24"/>
          <w:szCs w:val="24"/>
          <w:highlight w:val="none"/>
        </w:rPr>
        <w:t>附件</w:t>
      </w:r>
      <w:r>
        <w:rPr>
          <w:rFonts w:hint="eastAsia"/>
          <w:color w:val="auto"/>
          <w:sz w:val="24"/>
          <w:szCs w:val="24"/>
          <w:highlight w:val="none"/>
          <w:lang w:val="en-US" w:eastAsia="zh-CN"/>
        </w:rPr>
        <w:t>8、</w:t>
      </w:r>
      <w:r>
        <w:rPr>
          <w:rFonts w:hint="eastAsia"/>
          <w:color w:val="auto"/>
          <w:sz w:val="24"/>
          <w:szCs w:val="24"/>
          <w:highlight w:val="none"/>
          <w:lang w:eastAsia="zh-CN"/>
        </w:rPr>
        <w:t>工程师现场</w:t>
      </w:r>
      <w:r>
        <w:rPr>
          <w:rFonts w:hint="eastAsia"/>
          <w:color w:val="auto"/>
          <w:sz w:val="24"/>
          <w:szCs w:val="24"/>
          <w:highlight w:val="none"/>
          <w:lang w:val="en-US" w:eastAsia="zh-CN"/>
        </w:rPr>
        <w:t>踏勘</w:t>
      </w:r>
      <w:r>
        <w:rPr>
          <w:rFonts w:hint="eastAsia"/>
          <w:color w:val="auto"/>
          <w:sz w:val="24"/>
          <w:szCs w:val="24"/>
          <w:highlight w:val="none"/>
          <w:lang w:eastAsia="zh-CN"/>
        </w:rPr>
        <w:t>照片</w:t>
      </w:r>
    </w:p>
    <w:p w14:paraId="619393F1">
      <w:pPr>
        <w:pStyle w:val="19"/>
        <w:keepNext w:val="0"/>
        <w:keepLines w:val="0"/>
        <w:pageBreakBefore w:val="0"/>
        <w:kinsoku/>
        <w:wordWrap/>
        <w:overflowPunct/>
        <w:topLinePunct w:val="0"/>
        <w:autoSpaceDE/>
        <w:autoSpaceDN/>
        <w:bidi w:val="0"/>
        <w:adjustRightInd/>
        <w:snapToGrid/>
        <w:spacing w:before="0" w:after="0" w:line="360" w:lineRule="auto"/>
        <w:ind w:right="0" w:rightChars="0"/>
        <w:textAlignment w:val="auto"/>
        <w:rPr>
          <w:rFonts w:hint="eastAsia"/>
          <w:color w:val="auto"/>
          <w:sz w:val="24"/>
          <w:szCs w:val="24"/>
          <w:highlight w:val="none"/>
          <w:lang w:eastAsia="zh-CN"/>
        </w:rPr>
      </w:pPr>
      <w:r>
        <w:rPr>
          <w:rFonts w:hint="eastAsia"/>
          <w:color w:val="auto"/>
          <w:sz w:val="24"/>
          <w:szCs w:val="24"/>
          <w:highlight w:val="none"/>
        </w:rPr>
        <w:t>附件</w:t>
      </w:r>
      <w:r>
        <w:rPr>
          <w:rFonts w:hint="eastAsia"/>
          <w:color w:val="auto"/>
          <w:sz w:val="24"/>
          <w:szCs w:val="24"/>
          <w:highlight w:val="none"/>
          <w:lang w:val="en-US" w:eastAsia="zh-CN"/>
        </w:rPr>
        <w:t>9、</w:t>
      </w:r>
      <w:r>
        <w:rPr>
          <w:rFonts w:hint="eastAsia"/>
          <w:color w:val="auto"/>
          <w:sz w:val="24"/>
          <w:szCs w:val="24"/>
          <w:highlight w:val="none"/>
          <w:lang w:eastAsia="zh-CN"/>
        </w:rPr>
        <w:t>委托书</w:t>
      </w:r>
    </w:p>
    <w:p w14:paraId="24EA19DF">
      <w:pPr>
        <w:keepNext w:val="0"/>
        <w:keepLines w:val="0"/>
        <w:pageBreakBefore w:val="0"/>
        <w:kinsoku/>
        <w:wordWrap/>
        <w:overflowPunct/>
        <w:topLinePunct w:val="0"/>
        <w:autoSpaceDE/>
        <w:autoSpaceDN/>
        <w:bidi w:val="0"/>
        <w:adjustRightInd/>
        <w:snapToGrid/>
        <w:spacing w:line="360" w:lineRule="auto"/>
        <w:ind w:right="0"/>
        <w:textAlignment w:val="auto"/>
        <w:rPr>
          <w:rFonts w:hint="default"/>
          <w:color w:val="auto"/>
          <w:highlight w:val="none"/>
          <w:lang w:val="en-US" w:eastAsia="zh-CN"/>
        </w:rPr>
      </w:pPr>
      <w:r>
        <w:rPr>
          <w:rFonts w:hint="eastAsia"/>
          <w:color w:val="auto"/>
          <w:sz w:val="24"/>
          <w:szCs w:val="24"/>
          <w:highlight w:val="none"/>
          <w:lang w:eastAsia="zh-CN"/>
        </w:rPr>
        <w:t>附件</w:t>
      </w:r>
      <w:r>
        <w:rPr>
          <w:rFonts w:hint="eastAsia"/>
          <w:color w:val="auto"/>
          <w:sz w:val="24"/>
          <w:szCs w:val="24"/>
          <w:highlight w:val="none"/>
          <w:lang w:val="en-US" w:eastAsia="zh-CN"/>
        </w:rPr>
        <w:t>10、声明</w:t>
      </w:r>
    </w:p>
    <w:p w14:paraId="5CB6C866">
      <w:pPr>
        <w:pStyle w:val="19"/>
        <w:keepNext w:val="0"/>
        <w:keepLines w:val="0"/>
        <w:pageBreakBefore w:val="0"/>
        <w:kinsoku/>
        <w:wordWrap/>
        <w:overflowPunct/>
        <w:topLinePunct w:val="0"/>
        <w:autoSpaceDE/>
        <w:autoSpaceDN/>
        <w:bidi w:val="0"/>
        <w:adjustRightInd/>
        <w:snapToGrid/>
        <w:spacing w:before="0" w:after="0" w:line="360" w:lineRule="auto"/>
        <w:ind w:right="0" w:rightChars="0"/>
        <w:textAlignment w:val="auto"/>
        <w:rPr>
          <w:rFonts w:hint="eastAsia" w:eastAsia="宋体"/>
          <w:color w:val="auto"/>
          <w:sz w:val="24"/>
          <w:szCs w:val="24"/>
          <w:highlight w:val="none"/>
          <w:lang w:eastAsia="zh-CN"/>
        </w:rPr>
      </w:pPr>
      <w:r>
        <w:rPr>
          <w:rFonts w:hint="eastAsia"/>
          <w:color w:val="auto"/>
          <w:sz w:val="24"/>
          <w:szCs w:val="24"/>
          <w:highlight w:val="none"/>
        </w:rPr>
        <w:t>附件</w:t>
      </w:r>
      <w:r>
        <w:rPr>
          <w:rFonts w:hint="eastAsia"/>
          <w:color w:val="auto"/>
          <w:sz w:val="24"/>
          <w:szCs w:val="24"/>
          <w:highlight w:val="none"/>
          <w:lang w:val="en-US" w:eastAsia="zh-CN"/>
        </w:rPr>
        <w:t>11、删除不宜公开信息说明</w:t>
      </w:r>
    </w:p>
    <w:p w14:paraId="5641AF43">
      <w:pPr>
        <w:pStyle w:val="3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附件12、建设项目环境影响评价文件报批申请书</w:t>
      </w:r>
    </w:p>
    <w:p w14:paraId="6D8A8990">
      <w:pPr>
        <w:pStyle w:val="3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附件13、句容透反光学科技有限公司-情况说明+接管证明</w:t>
      </w:r>
    </w:p>
    <w:p w14:paraId="5BB05D1B">
      <w:pPr>
        <w:keepNext w:val="0"/>
        <w:keepLines w:val="0"/>
        <w:pageBreakBefore w:val="0"/>
        <w:kinsoku/>
        <w:wordWrap/>
        <w:overflowPunct/>
        <w:topLinePunct w:val="0"/>
        <w:autoSpaceDE/>
        <w:autoSpaceDN/>
        <w:bidi w:val="0"/>
        <w:adjustRightInd/>
        <w:snapToGrid/>
        <w:spacing w:line="360" w:lineRule="auto"/>
        <w:ind w:right="0"/>
        <w:textAlignment w:val="auto"/>
        <w:rPr>
          <w:rFonts w:hint="default" w:ascii="Times New Roman" w:hAnsi="Times New Roman" w:cs="Times New Roman"/>
          <w:color w:val="0070C0"/>
          <w:sz w:val="24"/>
          <w:szCs w:val="24"/>
          <w:lang w:val="en-US" w:eastAsia="zh-CN"/>
        </w:rPr>
      </w:pPr>
      <w:r>
        <w:rPr>
          <w:rFonts w:hint="default" w:ascii="Times New Roman" w:hAnsi="Times New Roman" w:cs="Times New Roman"/>
          <w:color w:val="0070C0"/>
          <w:sz w:val="24"/>
          <w:szCs w:val="24"/>
          <w:lang w:val="en-US" w:eastAsia="zh-CN"/>
        </w:rPr>
        <w:t>附件1</w:t>
      </w:r>
      <w:r>
        <w:rPr>
          <w:rFonts w:hint="eastAsia" w:ascii="Times New Roman" w:hAnsi="Times New Roman" w:cs="Times New Roman"/>
          <w:color w:val="0070C0"/>
          <w:sz w:val="24"/>
          <w:szCs w:val="24"/>
          <w:lang w:val="en-US" w:eastAsia="zh-CN"/>
        </w:rPr>
        <w:t>4</w:t>
      </w:r>
      <w:r>
        <w:rPr>
          <w:rFonts w:hint="default" w:ascii="Times New Roman" w:hAnsi="Times New Roman" w:cs="Times New Roman"/>
          <w:color w:val="0070C0"/>
          <w:sz w:val="24"/>
          <w:szCs w:val="24"/>
          <w:lang w:val="en-US" w:eastAsia="zh-CN"/>
        </w:rPr>
        <w:t>、责令改正违法行为决定书</w:t>
      </w:r>
    </w:p>
    <w:p w14:paraId="75705B8E">
      <w:pPr>
        <w:keepNext w:val="0"/>
        <w:keepLines w:val="0"/>
        <w:pageBreakBefore w:val="0"/>
        <w:kinsoku/>
        <w:wordWrap/>
        <w:overflowPunct/>
        <w:topLinePunct w:val="0"/>
        <w:autoSpaceDE/>
        <w:autoSpaceDN/>
        <w:bidi w:val="0"/>
        <w:adjustRightInd/>
        <w:snapToGrid/>
        <w:spacing w:line="360" w:lineRule="auto"/>
        <w:ind w:right="0"/>
        <w:textAlignment w:val="auto"/>
        <w:rPr>
          <w:rFonts w:hint="default" w:ascii="Times New Roman" w:hAnsi="Times New Roman" w:cs="Times New Roman"/>
          <w:color w:val="0070C0"/>
          <w:sz w:val="24"/>
          <w:szCs w:val="24"/>
          <w:lang w:val="en-US" w:eastAsia="zh-CN"/>
        </w:rPr>
      </w:pPr>
      <w:r>
        <w:rPr>
          <w:rFonts w:hint="default" w:ascii="Times New Roman" w:hAnsi="Times New Roman" w:cs="Times New Roman"/>
          <w:color w:val="0070C0"/>
          <w:sz w:val="24"/>
          <w:szCs w:val="24"/>
          <w:lang w:val="en-US" w:eastAsia="zh-CN"/>
        </w:rPr>
        <w:t>附件1</w:t>
      </w:r>
      <w:r>
        <w:rPr>
          <w:rFonts w:hint="eastAsia" w:ascii="Times New Roman" w:hAnsi="Times New Roman" w:cs="Times New Roman"/>
          <w:color w:val="0070C0"/>
          <w:sz w:val="24"/>
          <w:szCs w:val="24"/>
          <w:lang w:val="en-US" w:eastAsia="zh-CN"/>
        </w:rPr>
        <w:t>5</w:t>
      </w:r>
      <w:r>
        <w:rPr>
          <w:rFonts w:hint="default" w:ascii="Times New Roman" w:hAnsi="Times New Roman" w:cs="Times New Roman"/>
          <w:color w:val="0070C0"/>
          <w:sz w:val="24"/>
          <w:szCs w:val="24"/>
          <w:lang w:val="en-US" w:eastAsia="zh-CN"/>
        </w:rPr>
        <w:t>、总量凭证</w:t>
      </w:r>
    </w:p>
    <w:p w14:paraId="2CA6F641">
      <w:pPr>
        <w:pStyle w:val="47"/>
        <w:keepNext w:val="0"/>
        <w:keepLines w:val="0"/>
        <w:pageBreakBefore w:val="0"/>
        <w:kinsoku/>
        <w:wordWrap/>
        <w:overflowPunct/>
        <w:topLinePunct w:val="0"/>
        <w:bidi w:val="0"/>
        <w:adjustRightInd/>
        <w:snapToGrid/>
        <w:spacing w:line="360" w:lineRule="auto"/>
        <w:ind w:right="0"/>
        <w:textAlignment w:val="auto"/>
        <w:rPr>
          <w:rFonts w:hAnsi="Times New Roman" w:cs="Times New Roman"/>
          <w:color w:val="auto"/>
          <w:sz w:val="24"/>
          <w:szCs w:val="24"/>
          <w:highlight w:val="none"/>
        </w:rPr>
      </w:pPr>
    </w:p>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YXM" w:date="2025-06-30T03:40:50Z" w:initials="">
    <w:p w14:paraId="780CF0FC">
      <w:pPr>
        <w:pStyle w:val="18"/>
      </w:pPr>
      <w:r>
        <w:annotationRef/>
      </w:r>
    </w:p>
  </w:comment>
  <w:comment w:id="1" w:author="YXM" w:date="2025-07-01T15:49:28Z" w:initials="">
    <w:p w14:paraId="0AA1224E">
      <w:pPr>
        <w:pStyle w:val="18"/>
      </w:pPr>
      <w:r>
        <w:annotationRef/>
      </w:r>
    </w:p>
  </w:comment>
  <w:comment w:id="2" w:author="YXM" w:date="2025-07-04T19:27:38Z" w:initials="">
    <w:p w14:paraId="0E5A1BCC">
      <w:pPr>
        <w:pStyle w:val="18"/>
      </w:pPr>
      <w:r>
        <w:annotationRef/>
      </w:r>
    </w:p>
  </w:comment>
  <w:comment w:id="3" w:author="YXM" w:date="2025-07-01T15:19:15Z" w:initials="">
    <w:p w14:paraId="7C84DE60">
      <w:pPr>
        <w:pStyle w:val="18"/>
      </w:pPr>
      <w:r>
        <w:annotationRef/>
      </w:r>
    </w:p>
  </w:comment>
  <w:comment w:id="4" w:author="YXM" w:date="2025-07-04T17:16:10Z" w:initials="">
    <w:p w14:paraId="509D9021">
      <w:pPr>
        <w:pStyle w:val="18"/>
      </w:pPr>
      <w:r>
        <w:annotationRef/>
      </w:r>
    </w:p>
  </w:comment>
  <w:comment w:id="5" w:author="YXM" w:date="2025-06-30T17:50:12Z" w:initials="">
    <w:p w14:paraId="50707F85">
      <w:pPr>
        <w:pStyle w:val="18"/>
      </w:pPr>
      <w:r>
        <w:annotationRef/>
      </w:r>
    </w:p>
  </w:comment>
  <w:comment w:id="6" w:author="YXM" w:date="2025-07-04T16:06:02Z" w:initials="">
    <w:p w14:paraId="5F91CADE">
      <w:pPr>
        <w:pStyle w:val="18"/>
      </w:pPr>
      <w:r>
        <w:annotationRef/>
      </w:r>
    </w:p>
  </w:comment>
  <w:comment w:id="7" w:author="YXM" w:date="2025-07-08T17:25:28Z" w:initials="">
    <w:p w14:paraId="5F27CFD7">
      <w:pPr>
        <w:pStyle w:val="18"/>
      </w:pPr>
      <w:r>
        <w:annotationRef/>
      </w:r>
    </w:p>
  </w:comment>
  <w:comment w:id="8" w:author="YXM" w:date="2025-07-08T17:19:52Z" w:initials="">
    <w:p w14:paraId="64317C45">
      <w:pPr>
        <w:pStyle w:val="18"/>
      </w:pPr>
      <w:r>
        <w:annotationRef/>
      </w:r>
    </w:p>
  </w:comment>
  <w:comment w:id="9" w:author="YXM" w:date="2025-07-04T17:45:48Z" w:initials="">
    <w:p w14:paraId="5C437D12">
      <w:pPr>
        <w:pStyle w:val="18"/>
      </w:pPr>
      <w:r>
        <w:annotationRef/>
      </w:r>
    </w:p>
  </w:comment>
  <w:comment w:id="10" w:author="YXM" w:date="2025-07-01T11:48:36Z" w:initials="">
    <w:p w14:paraId="182B240E">
      <w:pPr>
        <w:pStyle w:val="18"/>
      </w:pPr>
      <w:r>
        <w:annotationRef/>
      </w:r>
    </w:p>
  </w:comment>
  <w:comment w:id="11" w:author="YXM" w:date="2025-07-01T11:48:31Z" w:initials="">
    <w:p w14:paraId="50D80525">
      <w:pPr>
        <w:pStyle w:val="18"/>
      </w:pPr>
      <w:r>
        <w:annotationRef/>
      </w:r>
    </w:p>
  </w:comment>
  <w:comment w:id="12" w:author="YXM" w:date="2025-07-01T11:48:48Z" w:initials="">
    <w:p w14:paraId="23634BAE">
      <w:pPr>
        <w:pStyle w:val="18"/>
      </w:pPr>
      <w:r>
        <w:annotationRef/>
      </w:r>
    </w:p>
  </w:comment>
  <w:comment w:id="13" w:author="YXM" w:date="2025-07-04T19:54:20Z" w:initials="">
    <w:p w14:paraId="24FA0517">
      <w:pPr>
        <w:pStyle w:val="18"/>
      </w:pPr>
      <w:r>
        <w:annotationRef/>
      </w:r>
    </w:p>
  </w:comment>
  <w:comment w:id="14" w:author="YXM" w:date="2025-07-04T19:54:38Z" w:initials="">
    <w:p w14:paraId="170FE329">
      <w:pPr>
        <w:pStyle w:val="18"/>
      </w:pPr>
      <w:r>
        <w:annotationRef/>
      </w:r>
    </w:p>
  </w:comment>
  <w:comment w:id="15" w:author="YXM" w:date="2025-07-01T13:15:13Z" w:initials="">
    <w:p w14:paraId="27B468D6">
      <w:pPr>
        <w:pStyle w:val="18"/>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80CF0FC" w15:done="0"/>
  <w15:commentEx w15:paraId="0AA1224E" w15:done="0"/>
  <w15:commentEx w15:paraId="0E5A1BCC" w15:done="0"/>
  <w15:commentEx w15:paraId="7C84DE60" w15:done="0"/>
  <w15:commentEx w15:paraId="509D9021" w15:done="0"/>
  <w15:commentEx w15:paraId="50707F85" w15:done="0"/>
  <w15:commentEx w15:paraId="5F91CADE" w15:done="0"/>
  <w15:commentEx w15:paraId="5F27CFD7" w15:done="0"/>
  <w15:commentEx w15:paraId="64317C45" w15:done="0"/>
  <w15:commentEx w15:paraId="5C437D12" w15:done="0"/>
  <w15:commentEx w15:paraId="182B240E" w15:done="0"/>
  <w15:commentEx w15:paraId="50D80525" w15:done="0"/>
  <w15:commentEx w15:paraId="23634BAE" w15:done="0"/>
  <w15:commentEx w15:paraId="24FA0517" w15:done="0"/>
  <w15:commentEx w15:paraId="170FE329" w15:done="0"/>
  <w15:commentEx w15:paraId="27B468D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义启仿宋体">
    <w:altName w:val="仿宋"/>
    <w:panose1 w:val="00000000000000000000"/>
    <w:charset w:val="80"/>
    <w:family w:val="auto"/>
    <w:pitch w:val="default"/>
    <w:sig w:usb0="00000000" w:usb1="00000000" w:usb2="00000012" w:usb3="00000000" w:csb0="00020001" w:csb1="00000000"/>
  </w:font>
  <w:font w:name="Arial Black">
    <w:panose1 w:val="020B0A04020102020204"/>
    <w:charset w:val="00"/>
    <w:family w:val="swiss"/>
    <w:pitch w:val="default"/>
    <w:sig w:usb0="A00002AF" w:usb1="400078FB" w:usb2="00000000" w:usb3="00000000" w:csb0="6000009F" w:csb1="DF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Arial Unicode MS">
    <w:panose1 w:val="020B0604020202020204"/>
    <w:charset w:val="86"/>
    <w:family w:val="auto"/>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imesNewRomanPSMT">
    <w:altName w:val="等线"/>
    <w:panose1 w:val="00000000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4DDBE">
    <w:pPr>
      <w:pStyle w:val="2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C7593">
    <w:pPr>
      <w:pStyle w:val="26"/>
      <w:framePr w:wrap="around" w:vAnchor="text" w:hAnchor="margin" w:xAlign="center" w:y="1"/>
      <w:rPr>
        <w:rStyle w:val="40"/>
      </w:rPr>
    </w:pPr>
    <w:r>
      <w:fldChar w:fldCharType="begin"/>
    </w:r>
    <w:r>
      <w:rPr>
        <w:rStyle w:val="40"/>
      </w:rPr>
      <w:instrText xml:space="preserve">PAGE  </w:instrText>
    </w:r>
    <w:r>
      <w:fldChar w:fldCharType="end"/>
    </w:r>
  </w:p>
  <w:p w14:paraId="33358512">
    <w:pPr>
      <w:pStyle w:val="2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A7D2C">
    <w:pPr>
      <w:pStyle w:val="26"/>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692785" cy="230505"/>
              <wp:effectExtent l="0" t="0" r="0" b="0"/>
              <wp:wrapNone/>
              <wp:docPr id="9" name="文本框 1"/>
              <wp:cNvGraphicFramePr/>
              <a:graphic xmlns:a="http://schemas.openxmlformats.org/drawingml/2006/main">
                <a:graphicData uri="http://schemas.microsoft.com/office/word/2010/wordprocessingShape">
                  <wps:wsp>
                    <wps:cNvSpPr txBox="1">
                      <a:spLocks noChangeArrowheads="1"/>
                    </wps:cNvSpPr>
                    <wps:spPr bwMode="auto">
                      <a:xfrm>
                        <a:off x="0" y="0"/>
                        <a:ext cx="692785" cy="230505"/>
                      </a:xfrm>
                      <a:prstGeom prst="rect">
                        <a:avLst/>
                      </a:prstGeom>
                      <a:noFill/>
                      <a:ln>
                        <a:noFill/>
                      </a:ln>
                      <a:effectLst/>
                    </wps:spPr>
                    <wps:txbx>
                      <w:txbxContent>
                        <w:p w14:paraId="60FD831B">
                          <w:pPr>
                            <w:pStyle w:val="26"/>
                            <w:rPr>
                              <w:rStyle w:val="40"/>
                              <w:rFonts w:ascii="宋体" w:hAnsi="宋体"/>
                              <w:sz w:val="28"/>
                              <w:szCs w:val="28"/>
                            </w:rPr>
                          </w:pPr>
                          <w:r>
                            <w:rPr>
                              <w:rStyle w:val="40"/>
                              <w:rFonts w:hint="eastAsia" w:ascii="宋体" w:hAnsi="宋体"/>
                              <w:sz w:val="28"/>
                              <w:szCs w:val="28"/>
                            </w:rPr>
                            <w:t>—</w:t>
                          </w:r>
                          <w:r>
                            <w:rPr>
                              <w:rFonts w:ascii="宋体" w:hAnsi="宋体"/>
                              <w:sz w:val="26"/>
                              <w:szCs w:val="26"/>
                            </w:rPr>
                            <w:fldChar w:fldCharType="begin"/>
                          </w:r>
                          <w:r>
                            <w:rPr>
                              <w:rStyle w:val="40"/>
                              <w:rFonts w:ascii="宋体" w:hAnsi="宋体"/>
                              <w:sz w:val="26"/>
                              <w:szCs w:val="26"/>
                            </w:rPr>
                            <w:instrText xml:space="preserve">PAGE  </w:instrText>
                          </w:r>
                          <w:r>
                            <w:rPr>
                              <w:rFonts w:ascii="宋体" w:hAnsi="宋体"/>
                              <w:sz w:val="26"/>
                              <w:szCs w:val="26"/>
                            </w:rPr>
                            <w:fldChar w:fldCharType="separate"/>
                          </w:r>
                          <w:r>
                            <w:rPr>
                              <w:rStyle w:val="40"/>
                              <w:rFonts w:ascii="宋体" w:hAnsi="宋体"/>
                              <w:sz w:val="26"/>
                              <w:szCs w:val="26"/>
                            </w:rPr>
                            <w:t>21</w:t>
                          </w:r>
                          <w:r>
                            <w:rPr>
                              <w:rFonts w:ascii="宋体" w:hAnsi="宋体"/>
                              <w:sz w:val="26"/>
                              <w:szCs w:val="26"/>
                            </w:rPr>
                            <w:fldChar w:fldCharType="end"/>
                          </w:r>
                          <w:r>
                            <w:rPr>
                              <w:rStyle w:val="40"/>
                              <w:rFonts w:hint="eastAsia" w:ascii="宋体" w:hAnsi="宋体"/>
                              <w:sz w:val="28"/>
                              <w:szCs w:val="28"/>
                            </w:rPr>
                            <w:t>—</w:t>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8.15pt;width:54.55pt;mso-position-horizontal:center;mso-position-horizontal-relative:margin;mso-wrap-style:none;z-index:251661312;mso-width-relative:page;mso-height-relative:page;" filled="f" stroked="f" coordsize="21600,21600" o:gfxdata="UEsDBAoAAAAAAIdO4kAAAAAAAAAAAAAAAAAEAAAAZHJzL1BLAwQUAAAACACHTuJAkmdZXtIAAAAE&#10;AQAADwAAAGRycy9kb3ducmV2LnhtbE2PwW7CMBBE75X4B2uReit2ikQhxOGAxKW30qoSNxMvcYS9&#10;jmwTkr+v6aW9rDSa0czbajc6ywYMsfMkoVgIYEiN1x21Er4+Dy9rYDEp0sp6QgkTRtjVs6dKldrf&#10;6QOHY2pZLqFYKgkmpb7kPDYGnYoL3yNl7+KDUynL0HId1D2XO8tfhVhxpzrKC0b1uDfYXI83J+Ft&#10;/PbYR9zj6TI0wXTT2r5PUj7PC7EFlnBMf2F44Gd0qDPT2d9IR2Yl5EfS7314YlMAO0tYrpbA64r/&#10;h69/AFBLAwQUAAAACACHTuJAC6uL3xACAAAQBAAADgAAAGRycy9lMm9Eb2MueG1srVNLbtswEN0X&#10;6B0I7mvJLpwmguUgjeGiQPoB0h6ApiiLqMQhhrSl9ADtDbrKpvuey+fokLTcNN1k0Q0xJGce5715&#10;XFwOXcv2Cp0GU/LpJOdMGQmVNtuSf/60fnHOmfPCVKIFo0p+pxy/XD5/tuhtoWbQQFspZARiXNHb&#10;kjfe2yLLnGxUJ9wErDJ0WQN2wtMWt1mFoif0rs1meX6W9YCVRZDKOTpdpUt+RMSnAEJda6lWIHed&#10;Mj6homqFJ0qu0dbxZey2rpX0H+raKc/akhNTH1d6hOJNWLPlQhRbFLbR8tiCeEoLjzh1Qht69AS1&#10;El6wHep/oDotERzUfiKhyxKRqAixmOaPtLlthFWRC0nt7El09/9g5fv9R2S6KvkFZ0Z0NPDDj++H&#10;+1+Hn9/YNMjTW1dQ1q2lPD+8hoFME6k6ewPyi2MGrhthtuoKEfpGiYrai5XZg9KE4wLIpn8HFb0j&#10;dh4i0FBjF7QjNRih02juTqNRg2eSDs8uZq/O55xJupq9zOf5PPSWiWIstuj8GwUdC0HJkSYfwcX+&#10;xvmUOqaEtwysddvG6bfmrwPCTCcq2udYHaiE7hMPP2yGozQbqO6IFEKyFn0sChrAr5z1ZKuSG/pF&#10;nLVvDckSHDgGOAabMRBGUmHJPWcpvPbJqTuLetsQ7ij8FUm31pFWaCz1QHKEDRklCnM0dXDiw33M&#10;+vORl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mdZXtIAAAAEAQAADwAAAAAAAAABACAAAAAi&#10;AAAAZHJzL2Rvd25yZXYueG1sUEsBAhQAFAAAAAgAh07iQAuri98QAgAAEAQAAA4AAAAAAAAAAQAg&#10;AAAAIQEAAGRycy9lMm9Eb2MueG1sUEsFBgAAAAAGAAYAWQEAAKMFAAAAAA==&#10;">
              <v:fill on="f" focussize="0,0"/>
              <v:stroke on="f"/>
              <v:imagedata o:title=""/>
              <o:lock v:ext="edit" aspectratio="f"/>
              <v:textbox inset="0mm,0mm,0mm,0mm" style="mso-fit-shape-to-text:t;">
                <w:txbxContent>
                  <w:p w14:paraId="60FD831B">
                    <w:pPr>
                      <w:pStyle w:val="26"/>
                      <w:rPr>
                        <w:rStyle w:val="40"/>
                        <w:rFonts w:ascii="宋体" w:hAnsi="宋体"/>
                        <w:sz w:val="28"/>
                        <w:szCs w:val="28"/>
                      </w:rPr>
                    </w:pPr>
                    <w:r>
                      <w:rPr>
                        <w:rStyle w:val="40"/>
                        <w:rFonts w:hint="eastAsia" w:ascii="宋体" w:hAnsi="宋体"/>
                        <w:sz w:val="28"/>
                        <w:szCs w:val="28"/>
                      </w:rPr>
                      <w:t>—</w:t>
                    </w:r>
                    <w:r>
                      <w:rPr>
                        <w:rFonts w:ascii="宋体" w:hAnsi="宋体"/>
                        <w:sz w:val="26"/>
                        <w:szCs w:val="26"/>
                      </w:rPr>
                      <w:fldChar w:fldCharType="begin"/>
                    </w:r>
                    <w:r>
                      <w:rPr>
                        <w:rStyle w:val="40"/>
                        <w:rFonts w:ascii="宋体" w:hAnsi="宋体"/>
                        <w:sz w:val="26"/>
                        <w:szCs w:val="26"/>
                      </w:rPr>
                      <w:instrText xml:space="preserve">PAGE  </w:instrText>
                    </w:r>
                    <w:r>
                      <w:rPr>
                        <w:rFonts w:ascii="宋体" w:hAnsi="宋体"/>
                        <w:sz w:val="26"/>
                        <w:szCs w:val="26"/>
                      </w:rPr>
                      <w:fldChar w:fldCharType="separate"/>
                    </w:r>
                    <w:r>
                      <w:rPr>
                        <w:rStyle w:val="40"/>
                        <w:rFonts w:ascii="宋体" w:hAnsi="宋体"/>
                        <w:sz w:val="26"/>
                        <w:szCs w:val="26"/>
                      </w:rPr>
                      <w:t>21</w:t>
                    </w:r>
                    <w:r>
                      <w:rPr>
                        <w:rFonts w:ascii="宋体" w:hAnsi="宋体"/>
                        <w:sz w:val="26"/>
                        <w:szCs w:val="26"/>
                      </w:rPr>
                      <w:fldChar w:fldCharType="end"/>
                    </w:r>
                    <w:r>
                      <w:rPr>
                        <w:rStyle w:val="40"/>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E34F6">
    <w:pPr>
      <w:pStyle w:val="26"/>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92785" cy="230505"/>
              <wp:effectExtent l="0" t="0" r="0" b="0"/>
              <wp:wrapNone/>
              <wp:docPr id="2" name="文本框 1"/>
              <wp:cNvGraphicFramePr/>
              <a:graphic xmlns:a="http://schemas.openxmlformats.org/drawingml/2006/main">
                <a:graphicData uri="http://schemas.microsoft.com/office/word/2010/wordprocessingShape">
                  <wps:wsp>
                    <wps:cNvSpPr txBox="1">
                      <a:spLocks noChangeArrowheads="1"/>
                    </wps:cNvSpPr>
                    <wps:spPr bwMode="auto">
                      <a:xfrm>
                        <a:off x="0" y="0"/>
                        <a:ext cx="692785" cy="230505"/>
                      </a:xfrm>
                      <a:prstGeom prst="rect">
                        <a:avLst/>
                      </a:prstGeom>
                      <a:noFill/>
                      <a:ln>
                        <a:noFill/>
                      </a:ln>
                      <a:effectLst/>
                    </wps:spPr>
                    <wps:txbx>
                      <w:txbxContent>
                        <w:p w14:paraId="1A3A4E82">
                          <w:pPr>
                            <w:pStyle w:val="26"/>
                            <w:rPr>
                              <w:rStyle w:val="40"/>
                              <w:rFonts w:ascii="宋体" w:hAnsi="宋体"/>
                              <w:sz w:val="28"/>
                              <w:szCs w:val="28"/>
                            </w:rPr>
                          </w:pPr>
                          <w:r>
                            <w:rPr>
                              <w:rStyle w:val="40"/>
                              <w:rFonts w:hint="eastAsia" w:ascii="宋体" w:hAnsi="宋体"/>
                              <w:sz w:val="28"/>
                              <w:szCs w:val="28"/>
                            </w:rPr>
                            <w:t>—</w:t>
                          </w:r>
                          <w:r>
                            <w:rPr>
                              <w:rFonts w:hint="default" w:ascii="Times New Roman" w:hAnsi="Times New Roman" w:cs="Times New Roman"/>
                              <w:sz w:val="26"/>
                              <w:szCs w:val="26"/>
                            </w:rPr>
                            <w:fldChar w:fldCharType="begin"/>
                          </w:r>
                          <w:r>
                            <w:rPr>
                              <w:rStyle w:val="40"/>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40"/>
                              <w:rFonts w:hint="default" w:ascii="Times New Roman" w:hAnsi="Times New Roman" w:cs="Times New Roman"/>
                              <w:sz w:val="26"/>
                              <w:szCs w:val="26"/>
                            </w:rPr>
                            <w:t>87</w:t>
                          </w:r>
                          <w:r>
                            <w:rPr>
                              <w:rFonts w:hint="default" w:ascii="Times New Roman" w:hAnsi="Times New Roman" w:cs="Times New Roman"/>
                              <w:sz w:val="26"/>
                              <w:szCs w:val="26"/>
                            </w:rPr>
                            <w:fldChar w:fldCharType="end"/>
                          </w:r>
                          <w:r>
                            <w:rPr>
                              <w:rStyle w:val="40"/>
                              <w:rFonts w:hint="eastAsia" w:ascii="宋体" w:hAnsi="宋体"/>
                              <w:sz w:val="28"/>
                              <w:szCs w:val="28"/>
                            </w:rPr>
                            <w:t>—</w:t>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8.15pt;width:54.55pt;mso-position-horizontal:center;mso-position-horizontal-relative:margin;mso-wrap-style:none;z-index:251659264;mso-width-relative:page;mso-height-relative:page;" filled="f" stroked="f" coordsize="21600,21600" o:gfxdata="UEsDBAoAAAAAAIdO4kAAAAAAAAAAAAAAAAAEAAAAZHJzL1BLAwQUAAAACACHTuJAkmdZXtIAAAAE&#10;AQAADwAAAGRycy9kb3ducmV2LnhtbE2PwW7CMBBE75X4B2uReit2ikQhxOGAxKW30qoSNxMvcYS9&#10;jmwTkr+v6aW9rDSa0czbajc6ywYMsfMkoVgIYEiN1x21Er4+Dy9rYDEp0sp6QgkTRtjVs6dKldrf&#10;6QOHY2pZLqFYKgkmpb7kPDYGnYoL3yNl7+KDUynL0HId1D2XO8tfhVhxpzrKC0b1uDfYXI83J+Ft&#10;/PbYR9zj6TI0wXTT2r5PUj7PC7EFlnBMf2F44Gd0qDPT2d9IR2Yl5EfS7314YlMAO0tYrpbA64r/&#10;h69/AFBLAwQUAAAACACHTuJAyfifYw8CAAAQBAAADgAAAGRycy9lMm9Eb2MueG1srVPNjtMwEL4j&#10;8Q6W7zRpUZclarpatipCWn6khQdwHaexSDzW2G1SHgDegBMX7jxXn4Ox3ZRlueyBizW2Zz7P983n&#10;xdXQtWyv0GkwJZ9Ocs6UkVBpsy35p4/rZ5ecOS9MJVowquQH5fjV8umTRW8LNYMG2kohIxDjit6W&#10;vPHeFlnmZKM64SZglaHLGrATnra4zSoUPaF3bTbL84usB6wsglTO0ekqXfITIj4GEOpaS7UCueuU&#10;8QkVVSs8UXKNto4vY7d1raR/X9dOedaWnJj6uNIjFG/Cmi0XotiisI2WpxbEY1p4wKkT2tCjZ6iV&#10;8ILtUP8D1WmJ4KD2EwldlohERYjFNH+gzV0jrIpcSGpnz6K7/wcr3+0/INNVyWecGdHRwI/fvx1/&#10;/Dr+/MqmQZ7euoKy7izl+eEVDGSaSNXZW5CfHTNw0wizVdeI0DdKVNRerMzulSYcF0A2/Vuo6B2x&#10;8xCBhhq7oB2pwQidRnM4j0YNnkk6vHg5e3E550zS1ex5Ps/nobdMFGOxRedfK+hYCEqONPkILva3&#10;zqfUMSW8ZWCt2zZOvzV/HRBmOlHRPqfqQCV0n3j4YTOcpNlAdSBSCMla9LEoaAC/cNaTrUpu6Bdx&#10;1r4xJEtw4BjgGGzGQBhJhSX3nKXwxien7izqbUO4o/DXJN1aR1qhsdQDyRE2ZJQozMnUwYn39zHr&#10;z0de/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Z1le0gAAAAQBAAAPAAAAAAAAAAEAIAAAACIA&#10;AABkcnMvZG93bnJldi54bWxQSwECFAAUAAAACACHTuJAyfifYw8CAAAQBAAADgAAAAAAAAABACAA&#10;AAAhAQAAZHJzL2Uyb0RvYy54bWxQSwUGAAAAAAYABgBZAQAAogUAAAAA&#10;">
              <v:fill on="f" focussize="0,0"/>
              <v:stroke on="f"/>
              <v:imagedata o:title=""/>
              <o:lock v:ext="edit" aspectratio="f"/>
              <v:textbox inset="0mm,0mm,0mm,0mm" style="mso-fit-shape-to-text:t;">
                <w:txbxContent>
                  <w:p w14:paraId="1A3A4E82">
                    <w:pPr>
                      <w:pStyle w:val="26"/>
                      <w:rPr>
                        <w:rStyle w:val="40"/>
                        <w:rFonts w:ascii="宋体" w:hAnsi="宋体"/>
                        <w:sz w:val="28"/>
                        <w:szCs w:val="28"/>
                      </w:rPr>
                    </w:pPr>
                    <w:r>
                      <w:rPr>
                        <w:rStyle w:val="40"/>
                        <w:rFonts w:hint="eastAsia" w:ascii="宋体" w:hAnsi="宋体"/>
                        <w:sz w:val="28"/>
                        <w:szCs w:val="28"/>
                      </w:rPr>
                      <w:t>—</w:t>
                    </w:r>
                    <w:r>
                      <w:rPr>
                        <w:rFonts w:hint="default" w:ascii="Times New Roman" w:hAnsi="Times New Roman" w:cs="Times New Roman"/>
                        <w:sz w:val="26"/>
                        <w:szCs w:val="26"/>
                      </w:rPr>
                      <w:fldChar w:fldCharType="begin"/>
                    </w:r>
                    <w:r>
                      <w:rPr>
                        <w:rStyle w:val="40"/>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40"/>
                        <w:rFonts w:hint="default" w:ascii="Times New Roman" w:hAnsi="Times New Roman" w:cs="Times New Roman"/>
                        <w:sz w:val="26"/>
                        <w:szCs w:val="26"/>
                      </w:rPr>
                      <w:t>87</w:t>
                    </w:r>
                    <w:r>
                      <w:rPr>
                        <w:rFonts w:hint="default" w:ascii="Times New Roman" w:hAnsi="Times New Roman" w:cs="Times New Roman"/>
                        <w:sz w:val="26"/>
                        <w:szCs w:val="26"/>
                      </w:rPr>
                      <w:fldChar w:fldCharType="end"/>
                    </w:r>
                    <w:r>
                      <w:rPr>
                        <w:rStyle w:val="40"/>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7114A">
    <w:pPr>
      <w:pStyle w:val="26"/>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775335" cy="230505"/>
              <wp:effectExtent l="0" t="0" r="0" b="0"/>
              <wp:wrapNone/>
              <wp:docPr id="8" name="文本框 3"/>
              <wp:cNvGraphicFramePr/>
              <a:graphic xmlns:a="http://schemas.openxmlformats.org/drawingml/2006/main">
                <a:graphicData uri="http://schemas.microsoft.com/office/word/2010/wordprocessingShape">
                  <wps:wsp>
                    <wps:cNvSpPr txBox="1">
                      <a:spLocks noChangeArrowheads="1"/>
                    </wps:cNvSpPr>
                    <wps:spPr bwMode="auto">
                      <a:xfrm>
                        <a:off x="0" y="0"/>
                        <a:ext cx="775335" cy="230505"/>
                      </a:xfrm>
                      <a:prstGeom prst="rect">
                        <a:avLst/>
                      </a:prstGeom>
                      <a:noFill/>
                      <a:ln>
                        <a:noFill/>
                      </a:ln>
                      <a:effectLst/>
                    </wps:spPr>
                    <wps:txbx>
                      <w:txbxContent>
                        <w:p w14:paraId="23F6D971">
                          <w:pPr>
                            <w:pStyle w:val="26"/>
                            <w:rPr>
                              <w:rStyle w:val="40"/>
                              <w:rFonts w:ascii="宋体" w:hAnsi="宋体"/>
                              <w:sz w:val="28"/>
                              <w:szCs w:val="28"/>
                            </w:rPr>
                          </w:pPr>
                          <w:r>
                            <w:rPr>
                              <w:rStyle w:val="40"/>
                              <w:rFonts w:hint="eastAsia" w:ascii="宋体" w:hAnsi="宋体"/>
                              <w:sz w:val="28"/>
                              <w:szCs w:val="28"/>
                            </w:rPr>
                            <w:t>—</w:t>
                          </w:r>
                          <w:r>
                            <w:rPr>
                              <w:rFonts w:ascii="宋体" w:hAnsi="宋体"/>
                              <w:sz w:val="26"/>
                              <w:szCs w:val="26"/>
                            </w:rPr>
                            <w:fldChar w:fldCharType="begin"/>
                          </w:r>
                          <w:r>
                            <w:rPr>
                              <w:rStyle w:val="40"/>
                              <w:rFonts w:ascii="宋体" w:hAnsi="宋体"/>
                              <w:sz w:val="26"/>
                              <w:szCs w:val="26"/>
                            </w:rPr>
                            <w:instrText xml:space="preserve">PAGE  </w:instrText>
                          </w:r>
                          <w:r>
                            <w:rPr>
                              <w:rFonts w:ascii="宋体" w:hAnsi="宋体"/>
                              <w:sz w:val="26"/>
                              <w:szCs w:val="26"/>
                            </w:rPr>
                            <w:fldChar w:fldCharType="separate"/>
                          </w:r>
                          <w:r>
                            <w:rPr>
                              <w:rStyle w:val="40"/>
                              <w:rFonts w:ascii="宋体" w:hAnsi="宋体"/>
                              <w:sz w:val="26"/>
                              <w:szCs w:val="26"/>
                            </w:rPr>
                            <w:t>89</w:t>
                          </w:r>
                          <w:r>
                            <w:rPr>
                              <w:rFonts w:ascii="宋体" w:hAnsi="宋体"/>
                              <w:sz w:val="26"/>
                              <w:szCs w:val="26"/>
                            </w:rPr>
                            <w:fldChar w:fldCharType="end"/>
                          </w:r>
                          <w:r>
                            <w:rPr>
                              <w:rStyle w:val="40"/>
                              <w:rFonts w:hint="eastAsia" w:ascii="宋体" w:hAnsi="宋体"/>
                              <w:sz w:val="28"/>
                              <w:szCs w:val="28"/>
                            </w:rPr>
                            <w:t>—</w:t>
                          </w:r>
                        </w:p>
                      </w:txbxContent>
                    </wps:txbx>
                    <wps:bodyPr rot="0" vert="horz" wrap="none" lIns="0" tIns="0" rIns="0" bIns="0" anchor="t" anchorCtr="0" upright="1">
                      <a:spAutoFit/>
                    </wps:bodyPr>
                  </wps:wsp>
                </a:graphicData>
              </a:graphic>
            </wp:anchor>
          </w:drawing>
        </mc:Choice>
        <mc:Fallback>
          <w:pict>
            <v:shape id="文本框 3" o:spid="_x0000_s1026" o:spt="202" type="#_x0000_t202" style="position:absolute;left:0pt;margin-top:0pt;height:18.15pt;width:61.05pt;mso-position-horizontal:center;mso-position-horizontal-relative:margin;mso-wrap-style:none;z-index:251660288;mso-width-relative:page;mso-height-relative:page;" filled="f" stroked="f" coordsize="21600,21600" o:gfxdata="UEsDBAoAAAAAAIdO4kAAAAAAAAAAAAAAAAAEAAAAZHJzL1BLAwQUAAAACACHTuJAFTonl9EAAAAE&#10;AQAADwAAAGRycy9kb3ducmV2LnhtbE2PwWrDMBBE74X+g9hCb41sB9LgWM4h0EtvTUuht421sUyl&#10;lZEUx/77Kr20l4Vhhpm3zX52VkwU4uBZQbkqQBB3Xg/cK/h4f3nagogJWaP1TAoWirBv7+8arLW/&#10;8htNx9SLXMKxRgUmpbGWMnaGHMaVH4mzd/bBYcoy9FIHvOZyZ2VVFBvpcOC8YHCkg6Hu+3hxCp7n&#10;T09jpAN9nacumGHZ2tdFqceHstiBSDSnvzDc8DM6tJnp5C+so7AK8iPp9968qipBnBSsN2uQbSP/&#10;w7c/UEsDBBQAAAAIAIdO4kB4jR1DDwIAABAEAAAOAAAAZHJzL2Uyb0RvYy54bWytU0tu2zAQ3Rfo&#10;HQjua8k23BSC5SCN4aJA+gHSHICmKIuoxCGGtCX3AO0Nuuom+57L5+iQkpw03WTRjTAiZ97Me/O4&#10;vOyamh0UOg0m59NJypkyEgptdjm/+7J59YYz54UpRA1G5fyoHL9cvXyxbG2mZlBBXShkBGJc1tqc&#10;V97bLEmcrFQj3ASsMnRZAjbC0y/ukgJFS+hNnczS9HXSAhYWQSrn6HTdX/IBEZ8DCGWppVqD3DfK&#10;+B4VVS08UXKVto6v4rRlqaT/VJZOeVbnnJj6+KUmFG/DN1ktRbZDYSsthxHEc0Z4wqkR2lDTM9Ra&#10;eMH2qP+BarREcFD6iYQm6YlERYjFNH2izW0lrIpcSGpnz6K7/wcrPx4+I9NFzmntRjS08NPPH6df&#10;v0/339k8yNNal1HWraU8372FjkwTqTp7A/KrYwauK2F26goR2kqJgsabhsrkUWmP4wLItv0ABfUR&#10;ew8RqCuxCdqRGozQaTXH82pU55mkw4uLxXy+4EzS1WyeLtJF7CCysdii8+8UNCwEOUfafAQXhxvn&#10;wzAiG1NCLwMbXddx+7X564AS+xMV7TNUByph+p6H77bdIM0WiiORQuitRQ+LggrwG2ct2Srnhl4R&#10;Z/V7Q7IEB44BjsF2DISRVJhzz1kfXvveqXuLelcR7ij8FUm30ZFWGKyfYRCcjBLZDqYOTnz8H7Me&#10;HvL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U6J5fRAAAABAEAAA8AAAAAAAAAAQAgAAAAIgAA&#10;AGRycy9kb3ducmV2LnhtbFBLAQIUABQAAAAIAIdO4kB4jR1DDwIAABAEAAAOAAAAAAAAAAEAIAAA&#10;ACABAABkcnMvZTJvRG9jLnhtbFBLBQYAAAAABgAGAFkBAAChBQAAAAA=&#10;">
              <v:fill on="f" focussize="0,0"/>
              <v:stroke on="f"/>
              <v:imagedata o:title=""/>
              <o:lock v:ext="edit" aspectratio="f"/>
              <v:textbox inset="0mm,0mm,0mm,0mm" style="mso-fit-shape-to-text:t;">
                <w:txbxContent>
                  <w:p w14:paraId="23F6D971">
                    <w:pPr>
                      <w:pStyle w:val="26"/>
                      <w:rPr>
                        <w:rStyle w:val="40"/>
                        <w:rFonts w:ascii="宋体" w:hAnsi="宋体"/>
                        <w:sz w:val="28"/>
                        <w:szCs w:val="28"/>
                      </w:rPr>
                    </w:pPr>
                    <w:r>
                      <w:rPr>
                        <w:rStyle w:val="40"/>
                        <w:rFonts w:hint="eastAsia" w:ascii="宋体" w:hAnsi="宋体"/>
                        <w:sz w:val="28"/>
                        <w:szCs w:val="28"/>
                      </w:rPr>
                      <w:t>—</w:t>
                    </w:r>
                    <w:r>
                      <w:rPr>
                        <w:rFonts w:ascii="宋体" w:hAnsi="宋体"/>
                        <w:sz w:val="26"/>
                        <w:szCs w:val="26"/>
                      </w:rPr>
                      <w:fldChar w:fldCharType="begin"/>
                    </w:r>
                    <w:r>
                      <w:rPr>
                        <w:rStyle w:val="40"/>
                        <w:rFonts w:ascii="宋体" w:hAnsi="宋体"/>
                        <w:sz w:val="26"/>
                        <w:szCs w:val="26"/>
                      </w:rPr>
                      <w:instrText xml:space="preserve">PAGE  </w:instrText>
                    </w:r>
                    <w:r>
                      <w:rPr>
                        <w:rFonts w:ascii="宋体" w:hAnsi="宋体"/>
                        <w:sz w:val="26"/>
                        <w:szCs w:val="26"/>
                      </w:rPr>
                      <w:fldChar w:fldCharType="separate"/>
                    </w:r>
                    <w:r>
                      <w:rPr>
                        <w:rStyle w:val="40"/>
                        <w:rFonts w:ascii="宋体" w:hAnsi="宋体"/>
                        <w:sz w:val="26"/>
                        <w:szCs w:val="26"/>
                      </w:rPr>
                      <w:t>89</w:t>
                    </w:r>
                    <w:r>
                      <w:rPr>
                        <w:rFonts w:ascii="宋体" w:hAnsi="宋体"/>
                        <w:sz w:val="26"/>
                        <w:szCs w:val="26"/>
                      </w:rPr>
                      <w:fldChar w:fldCharType="end"/>
                    </w:r>
                    <w:r>
                      <w:rPr>
                        <w:rStyle w:val="40"/>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CA85C5"/>
    <w:multiLevelType w:val="singleLevel"/>
    <w:tmpl w:val="87CA85C5"/>
    <w:lvl w:ilvl="0" w:tentative="0">
      <w:start w:val="1"/>
      <w:numFmt w:val="bullet"/>
      <w:pStyle w:val="23"/>
      <w:lvlText w:val=""/>
      <w:lvlJc w:val="left"/>
      <w:pPr>
        <w:tabs>
          <w:tab w:val="left" w:pos="2040"/>
        </w:tabs>
        <w:ind w:left="2040" w:hanging="360"/>
      </w:pPr>
      <w:rPr>
        <w:rFonts w:hint="default" w:ascii="Wingdings" w:hAnsi="Wingdings"/>
      </w:rPr>
    </w:lvl>
  </w:abstractNum>
  <w:abstractNum w:abstractNumId="1">
    <w:nsid w:val="98D53761"/>
    <w:multiLevelType w:val="singleLevel"/>
    <w:tmpl w:val="98D53761"/>
    <w:lvl w:ilvl="0" w:tentative="0">
      <w:start w:val="1"/>
      <w:numFmt w:val="decimal"/>
      <w:pStyle w:val="14"/>
      <w:lvlText w:val="%1."/>
      <w:lvlJc w:val="left"/>
      <w:pPr>
        <w:tabs>
          <w:tab w:val="left" w:pos="360"/>
        </w:tabs>
        <w:ind w:left="360" w:hanging="360"/>
      </w:pPr>
    </w:lvl>
  </w:abstractNum>
  <w:abstractNum w:abstractNumId="2">
    <w:nsid w:val="F80F0CE6"/>
    <w:multiLevelType w:val="singleLevel"/>
    <w:tmpl w:val="F80F0CE6"/>
    <w:lvl w:ilvl="0" w:tentative="0">
      <w:start w:val="1"/>
      <w:numFmt w:val="bullet"/>
      <w:pStyle w:val="10"/>
      <w:lvlText w:val=""/>
      <w:lvlJc w:val="left"/>
      <w:pPr>
        <w:tabs>
          <w:tab w:val="left" w:pos="780"/>
        </w:tabs>
        <w:ind w:left="780" w:hanging="360"/>
      </w:pPr>
      <w:rPr>
        <w:rFonts w:hint="default" w:ascii="Wingdings" w:hAnsi="Wingdings"/>
      </w:rPr>
    </w:lvl>
  </w:abstractNum>
  <w:abstractNum w:abstractNumId="3">
    <w:nsid w:val="00452546"/>
    <w:multiLevelType w:val="singleLevel"/>
    <w:tmpl w:val="00452546"/>
    <w:lvl w:ilvl="0" w:tentative="0">
      <w:start w:val="1"/>
      <w:numFmt w:val="decimal"/>
      <w:suff w:val="nothing"/>
      <w:lvlText w:val="%1、"/>
      <w:lvlJc w:val="left"/>
      <w:pPr>
        <w:ind w:left="-62"/>
      </w:pPr>
    </w:lvl>
  </w:abstractNum>
  <w:abstractNum w:abstractNumId="4">
    <w:nsid w:val="41993828"/>
    <w:multiLevelType w:val="singleLevel"/>
    <w:tmpl w:val="41993828"/>
    <w:lvl w:ilvl="0" w:tentative="0">
      <w:start w:val="1"/>
      <w:numFmt w:val="chineseCounting"/>
      <w:suff w:val="nothing"/>
      <w:lvlText w:val="%1、"/>
      <w:lvlJc w:val="left"/>
      <w:pPr>
        <w:ind w:left="148"/>
      </w:pPr>
      <w:rPr>
        <w:rFonts w:hint="eastAsia"/>
      </w:rPr>
    </w:lvl>
  </w:abstractNum>
  <w:abstractNum w:abstractNumId="5">
    <w:nsid w:val="5631E1A8"/>
    <w:multiLevelType w:val="singleLevel"/>
    <w:tmpl w:val="5631E1A8"/>
    <w:lvl w:ilvl="0" w:tentative="0">
      <w:start w:val="1"/>
      <w:numFmt w:val="decimal"/>
      <w:suff w:val="nothing"/>
      <w:lvlText w:val="（%1）"/>
      <w:lvlJc w:val="left"/>
    </w:lvl>
  </w:abstractNum>
  <w:abstractNum w:abstractNumId="6">
    <w:nsid w:val="66C3EE82"/>
    <w:multiLevelType w:val="singleLevel"/>
    <w:tmpl w:val="66C3EE82"/>
    <w:lvl w:ilvl="0" w:tentative="0">
      <w:start w:val="1"/>
      <w:numFmt w:val="decimal"/>
      <w:suff w:val="nothing"/>
      <w:lvlText w:val="（%1）"/>
      <w:lvlJc w:val="left"/>
      <w:pPr>
        <w:ind w:left="-62"/>
      </w:pPr>
    </w:lvl>
  </w:abstractNum>
  <w:abstractNum w:abstractNumId="7">
    <w:nsid w:val="793DA312"/>
    <w:multiLevelType w:val="singleLevel"/>
    <w:tmpl w:val="793DA312"/>
    <w:lvl w:ilvl="0" w:tentative="0">
      <w:start w:val="1"/>
      <w:numFmt w:val="decimal"/>
      <w:suff w:val="nothing"/>
      <w:lvlText w:val="（%1）"/>
      <w:lvlJc w:val="left"/>
      <w:pPr>
        <w:ind w:left="150"/>
      </w:pPr>
    </w:lvl>
  </w:abstractNum>
  <w:num w:numId="1">
    <w:abstractNumId w:val="2"/>
  </w:num>
  <w:num w:numId="2">
    <w:abstractNumId w:val="1"/>
  </w:num>
  <w:num w:numId="3">
    <w:abstractNumId w:val="0"/>
  </w:num>
  <w:num w:numId="4">
    <w:abstractNumId w:val="4"/>
  </w:num>
  <w:num w:numId="5">
    <w:abstractNumId w:val="5"/>
  </w:num>
  <w:num w:numId="6">
    <w:abstractNumId w:val="6"/>
  </w:num>
  <w:num w:numId="7">
    <w:abstractNumId w:val="3"/>
  </w:num>
  <w:num w:numId="8">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XM">
    <w15:presenceInfo w15:providerId="WPS Office" w15:userId="10175191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isplayBackgroundShape w:val="1"/>
  <w:bordersDoNotSurroundHeader w:val="0"/>
  <w:bordersDoNotSurroundFooter w:val="0"/>
  <w:hideSpellingErrors/>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jMjI0OTBlYzA5YWY2NGM5YmNkZjQ4YTFjZjYxZjkifQ=="/>
    <w:docVar w:name="KSO_WPS_MARK_KEY" w:val="1da30f86-010a-49d3-8368-5f7a2608de0d"/>
  </w:docVars>
  <w:rsids>
    <w:rsidRoot w:val="00172A27"/>
    <w:rsid w:val="00000598"/>
    <w:rsid w:val="000025E4"/>
    <w:rsid w:val="0000285C"/>
    <w:rsid w:val="00003C5C"/>
    <w:rsid w:val="000042AA"/>
    <w:rsid w:val="0000503F"/>
    <w:rsid w:val="000060B3"/>
    <w:rsid w:val="000066F9"/>
    <w:rsid w:val="000077AE"/>
    <w:rsid w:val="000101EF"/>
    <w:rsid w:val="00010B86"/>
    <w:rsid w:val="00010EFD"/>
    <w:rsid w:val="00011A8C"/>
    <w:rsid w:val="000129C7"/>
    <w:rsid w:val="00012A29"/>
    <w:rsid w:val="000131DD"/>
    <w:rsid w:val="00013F90"/>
    <w:rsid w:val="00014171"/>
    <w:rsid w:val="00014E76"/>
    <w:rsid w:val="000150A8"/>
    <w:rsid w:val="00015D67"/>
    <w:rsid w:val="00016175"/>
    <w:rsid w:val="00017042"/>
    <w:rsid w:val="000178C5"/>
    <w:rsid w:val="00020076"/>
    <w:rsid w:val="000202CE"/>
    <w:rsid w:val="00020B3B"/>
    <w:rsid w:val="00020FD5"/>
    <w:rsid w:val="00021111"/>
    <w:rsid w:val="00021EC8"/>
    <w:rsid w:val="00022020"/>
    <w:rsid w:val="00022084"/>
    <w:rsid w:val="0002350D"/>
    <w:rsid w:val="00023892"/>
    <w:rsid w:val="000242A9"/>
    <w:rsid w:val="000252F6"/>
    <w:rsid w:val="00026255"/>
    <w:rsid w:val="0002710B"/>
    <w:rsid w:val="00027ADD"/>
    <w:rsid w:val="0003065B"/>
    <w:rsid w:val="00033101"/>
    <w:rsid w:val="00033A71"/>
    <w:rsid w:val="00034C1F"/>
    <w:rsid w:val="000358FD"/>
    <w:rsid w:val="0003595B"/>
    <w:rsid w:val="00035ABC"/>
    <w:rsid w:val="00035C5F"/>
    <w:rsid w:val="00037CF3"/>
    <w:rsid w:val="0004047C"/>
    <w:rsid w:val="000404C8"/>
    <w:rsid w:val="00040A79"/>
    <w:rsid w:val="00040C07"/>
    <w:rsid w:val="00041321"/>
    <w:rsid w:val="000414B3"/>
    <w:rsid w:val="00041955"/>
    <w:rsid w:val="000426D1"/>
    <w:rsid w:val="0004364B"/>
    <w:rsid w:val="00043656"/>
    <w:rsid w:val="00043EA1"/>
    <w:rsid w:val="00045A4F"/>
    <w:rsid w:val="0004635B"/>
    <w:rsid w:val="00047033"/>
    <w:rsid w:val="0004722E"/>
    <w:rsid w:val="00047FF0"/>
    <w:rsid w:val="00050808"/>
    <w:rsid w:val="00051E98"/>
    <w:rsid w:val="00052481"/>
    <w:rsid w:val="000531EA"/>
    <w:rsid w:val="00053A69"/>
    <w:rsid w:val="00053CE6"/>
    <w:rsid w:val="000541A4"/>
    <w:rsid w:val="00054803"/>
    <w:rsid w:val="00054AD7"/>
    <w:rsid w:val="0005697F"/>
    <w:rsid w:val="00057D2F"/>
    <w:rsid w:val="00060E8C"/>
    <w:rsid w:val="00060E97"/>
    <w:rsid w:val="00061B1F"/>
    <w:rsid w:val="0006400E"/>
    <w:rsid w:val="000663E7"/>
    <w:rsid w:val="00067919"/>
    <w:rsid w:val="00067CE3"/>
    <w:rsid w:val="000726BE"/>
    <w:rsid w:val="000733C4"/>
    <w:rsid w:val="00074783"/>
    <w:rsid w:val="00076864"/>
    <w:rsid w:val="000772CF"/>
    <w:rsid w:val="000779F5"/>
    <w:rsid w:val="0008070B"/>
    <w:rsid w:val="000810AC"/>
    <w:rsid w:val="00081A02"/>
    <w:rsid w:val="00081A36"/>
    <w:rsid w:val="00082231"/>
    <w:rsid w:val="00082F61"/>
    <w:rsid w:val="00083F1B"/>
    <w:rsid w:val="00084D88"/>
    <w:rsid w:val="000861AA"/>
    <w:rsid w:val="000864C2"/>
    <w:rsid w:val="00086852"/>
    <w:rsid w:val="00086976"/>
    <w:rsid w:val="00087EFD"/>
    <w:rsid w:val="000903E1"/>
    <w:rsid w:val="00090756"/>
    <w:rsid w:val="00092D38"/>
    <w:rsid w:val="00093617"/>
    <w:rsid w:val="0009377B"/>
    <w:rsid w:val="0009550E"/>
    <w:rsid w:val="00095581"/>
    <w:rsid w:val="00095F98"/>
    <w:rsid w:val="000966F5"/>
    <w:rsid w:val="000971CC"/>
    <w:rsid w:val="00097BF8"/>
    <w:rsid w:val="000A09C8"/>
    <w:rsid w:val="000A20C9"/>
    <w:rsid w:val="000A2820"/>
    <w:rsid w:val="000A2E25"/>
    <w:rsid w:val="000A32BC"/>
    <w:rsid w:val="000A3540"/>
    <w:rsid w:val="000A3CCD"/>
    <w:rsid w:val="000A4951"/>
    <w:rsid w:val="000A6317"/>
    <w:rsid w:val="000A678E"/>
    <w:rsid w:val="000A6FFF"/>
    <w:rsid w:val="000A7F3A"/>
    <w:rsid w:val="000B058F"/>
    <w:rsid w:val="000B14FB"/>
    <w:rsid w:val="000B2D1B"/>
    <w:rsid w:val="000B4467"/>
    <w:rsid w:val="000B4BC7"/>
    <w:rsid w:val="000B4DB9"/>
    <w:rsid w:val="000B52C0"/>
    <w:rsid w:val="000B5D5A"/>
    <w:rsid w:val="000B5D6F"/>
    <w:rsid w:val="000B6209"/>
    <w:rsid w:val="000B713C"/>
    <w:rsid w:val="000C09AC"/>
    <w:rsid w:val="000C1004"/>
    <w:rsid w:val="000C1593"/>
    <w:rsid w:val="000C2311"/>
    <w:rsid w:val="000C25DF"/>
    <w:rsid w:val="000C43EA"/>
    <w:rsid w:val="000C4862"/>
    <w:rsid w:val="000C4E8E"/>
    <w:rsid w:val="000C4FD0"/>
    <w:rsid w:val="000C5959"/>
    <w:rsid w:val="000C5AB5"/>
    <w:rsid w:val="000C73BB"/>
    <w:rsid w:val="000C74F4"/>
    <w:rsid w:val="000C767F"/>
    <w:rsid w:val="000D09C5"/>
    <w:rsid w:val="000D2C99"/>
    <w:rsid w:val="000D463D"/>
    <w:rsid w:val="000D4886"/>
    <w:rsid w:val="000D4CAF"/>
    <w:rsid w:val="000D5A44"/>
    <w:rsid w:val="000D63D6"/>
    <w:rsid w:val="000D6AE3"/>
    <w:rsid w:val="000D6D09"/>
    <w:rsid w:val="000D7777"/>
    <w:rsid w:val="000E1057"/>
    <w:rsid w:val="000E1735"/>
    <w:rsid w:val="000E317F"/>
    <w:rsid w:val="000E3ED2"/>
    <w:rsid w:val="000E5765"/>
    <w:rsid w:val="000E5A0B"/>
    <w:rsid w:val="000E70DC"/>
    <w:rsid w:val="000E70FA"/>
    <w:rsid w:val="000E7510"/>
    <w:rsid w:val="000E7960"/>
    <w:rsid w:val="000F011A"/>
    <w:rsid w:val="000F1A60"/>
    <w:rsid w:val="000F2A42"/>
    <w:rsid w:val="000F3134"/>
    <w:rsid w:val="000F34B4"/>
    <w:rsid w:val="000F44D4"/>
    <w:rsid w:val="000F450D"/>
    <w:rsid w:val="000F4787"/>
    <w:rsid w:val="000F5A8D"/>
    <w:rsid w:val="000F5C1F"/>
    <w:rsid w:val="000F5E18"/>
    <w:rsid w:val="000F6635"/>
    <w:rsid w:val="000F6A46"/>
    <w:rsid w:val="000F78DF"/>
    <w:rsid w:val="00101A57"/>
    <w:rsid w:val="001024B8"/>
    <w:rsid w:val="00103641"/>
    <w:rsid w:val="00104A27"/>
    <w:rsid w:val="00105C8F"/>
    <w:rsid w:val="001071B2"/>
    <w:rsid w:val="001074D6"/>
    <w:rsid w:val="00107720"/>
    <w:rsid w:val="001102A4"/>
    <w:rsid w:val="00112CFC"/>
    <w:rsid w:val="00114D78"/>
    <w:rsid w:val="001202EC"/>
    <w:rsid w:val="00120428"/>
    <w:rsid w:val="00121178"/>
    <w:rsid w:val="00123444"/>
    <w:rsid w:val="00125F1D"/>
    <w:rsid w:val="00126D67"/>
    <w:rsid w:val="00130B1D"/>
    <w:rsid w:val="00131676"/>
    <w:rsid w:val="00131BDA"/>
    <w:rsid w:val="00131E7F"/>
    <w:rsid w:val="00131F24"/>
    <w:rsid w:val="00131F42"/>
    <w:rsid w:val="00132B21"/>
    <w:rsid w:val="001334A6"/>
    <w:rsid w:val="00133800"/>
    <w:rsid w:val="0013396B"/>
    <w:rsid w:val="001352B2"/>
    <w:rsid w:val="001357F1"/>
    <w:rsid w:val="0013597C"/>
    <w:rsid w:val="00135D21"/>
    <w:rsid w:val="00136398"/>
    <w:rsid w:val="001366C4"/>
    <w:rsid w:val="00136F9A"/>
    <w:rsid w:val="00136FD2"/>
    <w:rsid w:val="0013756E"/>
    <w:rsid w:val="0013782C"/>
    <w:rsid w:val="001378D8"/>
    <w:rsid w:val="00140487"/>
    <w:rsid w:val="00140999"/>
    <w:rsid w:val="00140FA8"/>
    <w:rsid w:val="001414A2"/>
    <w:rsid w:val="001418E7"/>
    <w:rsid w:val="001422D4"/>
    <w:rsid w:val="00142FEB"/>
    <w:rsid w:val="00143A2D"/>
    <w:rsid w:val="00143C28"/>
    <w:rsid w:val="00143CB3"/>
    <w:rsid w:val="00145A41"/>
    <w:rsid w:val="00145B38"/>
    <w:rsid w:val="0014606E"/>
    <w:rsid w:val="001476B6"/>
    <w:rsid w:val="00147DC8"/>
    <w:rsid w:val="00151675"/>
    <w:rsid w:val="00151B5A"/>
    <w:rsid w:val="0015207B"/>
    <w:rsid w:val="00152EEE"/>
    <w:rsid w:val="001532B3"/>
    <w:rsid w:val="00154513"/>
    <w:rsid w:val="00155138"/>
    <w:rsid w:val="0015596C"/>
    <w:rsid w:val="00156272"/>
    <w:rsid w:val="00156E76"/>
    <w:rsid w:val="00157435"/>
    <w:rsid w:val="00160D89"/>
    <w:rsid w:val="00161CF2"/>
    <w:rsid w:val="0016272A"/>
    <w:rsid w:val="00163570"/>
    <w:rsid w:val="00163960"/>
    <w:rsid w:val="00163B6D"/>
    <w:rsid w:val="001647E9"/>
    <w:rsid w:val="00164D33"/>
    <w:rsid w:val="00165565"/>
    <w:rsid w:val="001672FC"/>
    <w:rsid w:val="00167540"/>
    <w:rsid w:val="00170771"/>
    <w:rsid w:val="0017079B"/>
    <w:rsid w:val="00170C40"/>
    <w:rsid w:val="0017187C"/>
    <w:rsid w:val="00172235"/>
    <w:rsid w:val="00172698"/>
    <w:rsid w:val="00172A27"/>
    <w:rsid w:val="001746BD"/>
    <w:rsid w:val="00174B3A"/>
    <w:rsid w:val="0017504D"/>
    <w:rsid w:val="0017671A"/>
    <w:rsid w:val="00177422"/>
    <w:rsid w:val="00177DF2"/>
    <w:rsid w:val="00183177"/>
    <w:rsid w:val="00184590"/>
    <w:rsid w:val="0018497F"/>
    <w:rsid w:val="001870D1"/>
    <w:rsid w:val="001873D2"/>
    <w:rsid w:val="00187638"/>
    <w:rsid w:val="0018781E"/>
    <w:rsid w:val="00187C7E"/>
    <w:rsid w:val="00187E19"/>
    <w:rsid w:val="001917F0"/>
    <w:rsid w:val="00191861"/>
    <w:rsid w:val="0019262D"/>
    <w:rsid w:val="00193FE7"/>
    <w:rsid w:val="001942E3"/>
    <w:rsid w:val="00194681"/>
    <w:rsid w:val="001956FF"/>
    <w:rsid w:val="00197E8D"/>
    <w:rsid w:val="001A1B35"/>
    <w:rsid w:val="001A2040"/>
    <w:rsid w:val="001A48A2"/>
    <w:rsid w:val="001A4A33"/>
    <w:rsid w:val="001A5188"/>
    <w:rsid w:val="001A6E2C"/>
    <w:rsid w:val="001A6F61"/>
    <w:rsid w:val="001A7328"/>
    <w:rsid w:val="001A7B57"/>
    <w:rsid w:val="001B0D13"/>
    <w:rsid w:val="001B12D3"/>
    <w:rsid w:val="001B1847"/>
    <w:rsid w:val="001B194E"/>
    <w:rsid w:val="001B2386"/>
    <w:rsid w:val="001B27F1"/>
    <w:rsid w:val="001B30BD"/>
    <w:rsid w:val="001B715D"/>
    <w:rsid w:val="001B72B8"/>
    <w:rsid w:val="001B763A"/>
    <w:rsid w:val="001C0994"/>
    <w:rsid w:val="001C1BA9"/>
    <w:rsid w:val="001C3494"/>
    <w:rsid w:val="001C3D0F"/>
    <w:rsid w:val="001C6299"/>
    <w:rsid w:val="001C6330"/>
    <w:rsid w:val="001C69B3"/>
    <w:rsid w:val="001C6C39"/>
    <w:rsid w:val="001C78C4"/>
    <w:rsid w:val="001D096B"/>
    <w:rsid w:val="001D1674"/>
    <w:rsid w:val="001D2DD7"/>
    <w:rsid w:val="001D469D"/>
    <w:rsid w:val="001D5595"/>
    <w:rsid w:val="001D628C"/>
    <w:rsid w:val="001D7874"/>
    <w:rsid w:val="001D7BFF"/>
    <w:rsid w:val="001D7F22"/>
    <w:rsid w:val="001E17C8"/>
    <w:rsid w:val="001E26D1"/>
    <w:rsid w:val="001E6C11"/>
    <w:rsid w:val="001F0F17"/>
    <w:rsid w:val="001F11B7"/>
    <w:rsid w:val="001F245C"/>
    <w:rsid w:val="001F30A1"/>
    <w:rsid w:val="001F3347"/>
    <w:rsid w:val="001F49BC"/>
    <w:rsid w:val="001F4D41"/>
    <w:rsid w:val="001F59AB"/>
    <w:rsid w:val="001F69E4"/>
    <w:rsid w:val="001F6E6E"/>
    <w:rsid w:val="001F7C67"/>
    <w:rsid w:val="00200434"/>
    <w:rsid w:val="00203E0E"/>
    <w:rsid w:val="00204DC3"/>
    <w:rsid w:val="00206966"/>
    <w:rsid w:val="0021112C"/>
    <w:rsid w:val="002125B4"/>
    <w:rsid w:val="00213FFB"/>
    <w:rsid w:val="0021405C"/>
    <w:rsid w:val="002155B8"/>
    <w:rsid w:val="002158D5"/>
    <w:rsid w:val="00221E79"/>
    <w:rsid w:val="00222B9C"/>
    <w:rsid w:val="00222EA6"/>
    <w:rsid w:val="00223A10"/>
    <w:rsid w:val="00224326"/>
    <w:rsid w:val="00224839"/>
    <w:rsid w:val="002249B2"/>
    <w:rsid w:val="002259EA"/>
    <w:rsid w:val="0022602D"/>
    <w:rsid w:val="00226574"/>
    <w:rsid w:val="002278EC"/>
    <w:rsid w:val="00227BCE"/>
    <w:rsid w:val="00230531"/>
    <w:rsid w:val="00230701"/>
    <w:rsid w:val="00230C27"/>
    <w:rsid w:val="00231621"/>
    <w:rsid w:val="00231626"/>
    <w:rsid w:val="0023280E"/>
    <w:rsid w:val="002329F3"/>
    <w:rsid w:val="00232D9E"/>
    <w:rsid w:val="00233C44"/>
    <w:rsid w:val="00233CC0"/>
    <w:rsid w:val="00233EC1"/>
    <w:rsid w:val="00234CB9"/>
    <w:rsid w:val="00236A9E"/>
    <w:rsid w:val="002377D1"/>
    <w:rsid w:val="00237C0D"/>
    <w:rsid w:val="002415AF"/>
    <w:rsid w:val="00242D19"/>
    <w:rsid w:val="00243408"/>
    <w:rsid w:val="002437F3"/>
    <w:rsid w:val="00243B0B"/>
    <w:rsid w:val="00244AF6"/>
    <w:rsid w:val="002453CC"/>
    <w:rsid w:val="0024750D"/>
    <w:rsid w:val="00247E7B"/>
    <w:rsid w:val="0025026D"/>
    <w:rsid w:val="002502AE"/>
    <w:rsid w:val="002506BC"/>
    <w:rsid w:val="00250AEE"/>
    <w:rsid w:val="002512A3"/>
    <w:rsid w:val="00251A30"/>
    <w:rsid w:val="002524C0"/>
    <w:rsid w:val="00252CEA"/>
    <w:rsid w:val="00253618"/>
    <w:rsid w:val="00254345"/>
    <w:rsid w:val="0025481C"/>
    <w:rsid w:val="00256D02"/>
    <w:rsid w:val="0025768C"/>
    <w:rsid w:val="002615E4"/>
    <w:rsid w:val="00261BC9"/>
    <w:rsid w:val="00262FF7"/>
    <w:rsid w:val="00263822"/>
    <w:rsid w:val="00263FF3"/>
    <w:rsid w:val="00264557"/>
    <w:rsid w:val="00270400"/>
    <w:rsid w:val="00273614"/>
    <w:rsid w:val="00274419"/>
    <w:rsid w:val="0027461E"/>
    <w:rsid w:val="00276790"/>
    <w:rsid w:val="00276C7C"/>
    <w:rsid w:val="00277A9D"/>
    <w:rsid w:val="002805AB"/>
    <w:rsid w:val="00282700"/>
    <w:rsid w:val="00283A58"/>
    <w:rsid w:val="0028413B"/>
    <w:rsid w:val="00284204"/>
    <w:rsid w:val="00284673"/>
    <w:rsid w:val="0028472A"/>
    <w:rsid w:val="0028625A"/>
    <w:rsid w:val="002864FC"/>
    <w:rsid w:val="00286974"/>
    <w:rsid w:val="00286AC9"/>
    <w:rsid w:val="00286BAF"/>
    <w:rsid w:val="00291773"/>
    <w:rsid w:val="00292317"/>
    <w:rsid w:val="00292A43"/>
    <w:rsid w:val="0029456D"/>
    <w:rsid w:val="002952E3"/>
    <w:rsid w:val="00295837"/>
    <w:rsid w:val="002959D1"/>
    <w:rsid w:val="002978CF"/>
    <w:rsid w:val="00297C22"/>
    <w:rsid w:val="002A0109"/>
    <w:rsid w:val="002A0525"/>
    <w:rsid w:val="002A0C68"/>
    <w:rsid w:val="002A168C"/>
    <w:rsid w:val="002A1868"/>
    <w:rsid w:val="002A1E9C"/>
    <w:rsid w:val="002A2FDF"/>
    <w:rsid w:val="002A3DC7"/>
    <w:rsid w:val="002A51E5"/>
    <w:rsid w:val="002A54AA"/>
    <w:rsid w:val="002A662F"/>
    <w:rsid w:val="002A688D"/>
    <w:rsid w:val="002A6DD7"/>
    <w:rsid w:val="002A7FD3"/>
    <w:rsid w:val="002B2869"/>
    <w:rsid w:val="002B2915"/>
    <w:rsid w:val="002B49E2"/>
    <w:rsid w:val="002B4EF3"/>
    <w:rsid w:val="002B5275"/>
    <w:rsid w:val="002B5873"/>
    <w:rsid w:val="002B6046"/>
    <w:rsid w:val="002B639E"/>
    <w:rsid w:val="002B6615"/>
    <w:rsid w:val="002B7B00"/>
    <w:rsid w:val="002B7C44"/>
    <w:rsid w:val="002C097C"/>
    <w:rsid w:val="002C2B17"/>
    <w:rsid w:val="002C361B"/>
    <w:rsid w:val="002C3CDF"/>
    <w:rsid w:val="002C4360"/>
    <w:rsid w:val="002C5FC7"/>
    <w:rsid w:val="002C7388"/>
    <w:rsid w:val="002C790D"/>
    <w:rsid w:val="002D0D05"/>
    <w:rsid w:val="002D3038"/>
    <w:rsid w:val="002D36A7"/>
    <w:rsid w:val="002D3848"/>
    <w:rsid w:val="002D3DD0"/>
    <w:rsid w:val="002D4DDF"/>
    <w:rsid w:val="002D5055"/>
    <w:rsid w:val="002D6413"/>
    <w:rsid w:val="002D670F"/>
    <w:rsid w:val="002D6DEB"/>
    <w:rsid w:val="002E0244"/>
    <w:rsid w:val="002E0A51"/>
    <w:rsid w:val="002E0AF4"/>
    <w:rsid w:val="002E0E6D"/>
    <w:rsid w:val="002E1137"/>
    <w:rsid w:val="002E13E6"/>
    <w:rsid w:val="002E15E7"/>
    <w:rsid w:val="002E1E7A"/>
    <w:rsid w:val="002E1F3A"/>
    <w:rsid w:val="002E23D8"/>
    <w:rsid w:val="002E298A"/>
    <w:rsid w:val="002E34A5"/>
    <w:rsid w:val="002E4319"/>
    <w:rsid w:val="002E4BD8"/>
    <w:rsid w:val="002E51AF"/>
    <w:rsid w:val="002E54C7"/>
    <w:rsid w:val="002E58BD"/>
    <w:rsid w:val="002E5BCD"/>
    <w:rsid w:val="002E6A9D"/>
    <w:rsid w:val="002E779F"/>
    <w:rsid w:val="002F03A2"/>
    <w:rsid w:val="002F1FDA"/>
    <w:rsid w:val="002F343B"/>
    <w:rsid w:val="002F78A9"/>
    <w:rsid w:val="00300ADE"/>
    <w:rsid w:val="00301978"/>
    <w:rsid w:val="00302F30"/>
    <w:rsid w:val="0030332C"/>
    <w:rsid w:val="00303D2C"/>
    <w:rsid w:val="00304AB9"/>
    <w:rsid w:val="003051C2"/>
    <w:rsid w:val="00305D3D"/>
    <w:rsid w:val="003069F5"/>
    <w:rsid w:val="003113ED"/>
    <w:rsid w:val="00311A49"/>
    <w:rsid w:val="00312296"/>
    <w:rsid w:val="00312A7F"/>
    <w:rsid w:val="00312DF9"/>
    <w:rsid w:val="003130F8"/>
    <w:rsid w:val="0031398E"/>
    <w:rsid w:val="00314F0E"/>
    <w:rsid w:val="00315BB2"/>
    <w:rsid w:val="00315D8A"/>
    <w:rsid w:val="00317672"/>
    <w:rsid w:val="003215B7"/>
    <w:rsid w:val="00321D8E"/>
    <w:rsid w:val="00321FB7"/>
    <w:rsid w:val="00322601"/>
    <w:rsid w:val="003234F6"/>
    <w:rsid w:val="00323CDD"/>
    <w:rsid w:val="0032586F"/>
    <w:rsid w:val="00325928"/>
    <w:rsid w:val="003311B6"/>
    <w:rsid w:val="00332863"/>
    <w:rsid w:val="00332E0C"/>
    <w:rsid w:val="003343FB"/>
    <w:rsid w:val="003349DE"/>
    <w:rsid w:val="00335303"/>
    <w:rsid w:val="00335678"/>
    <w:rsid w:val="0033684D"/>
    <w:rsid w:val="003368EC"/>
    <w:rsid w:val="00337B42"/>
    <w:rsid w:val="00341B42"/>
    <w:rsid w:val="00341CDE"/>
    <w:rsid w:val="0034234A"/>
    <w:rsid w:val="00342DD3"/>
    <w:rsid w:val="003431E2"/>
    <w:rsid w:val="0034348F"/>
    <w:rsid w:val="0034553C"/>
    <w:rsid w:val="00350CA3"/>
    <w:rsid w:val="00353645"/>
    <w:rsid w:val="0035400A"/>
    <w:rsid w:val="0035527F"/>
    <w:rsid w:val="00355694"/>
    <w:rsid w:val="00355D4D"/>
    <w:rsid w:val="00356630"/>
    <w:rsid w:val="00356653"/>
    <w:rsid w:val="00356BEB"/>
    <w:rsid w:val="0035743F"/>
    <w:rsid w:val="00357529"/>
    <w:rsid w:val="00357548"/>
    <w:rsid w:val="00357BE2"/>
    <w:rsid w:val="00357C07"/>
    <w:rsid w:val="00361183"/>
    <w:rsid w:val="0036170C"/>
    <w:rsid w:val="00363ACF"/>
    <w:rsid w:val="003641C0"/>
    <w:rsid w:val="003666A9"/>
    <w:rsid w:val="00366A88"/>
    <w:rsid w:val="00366E0F"/>
    <w:rsid w:val="00371130"/>
    <w:rsid w:val="003724BC"/>
    <w:rsid w:val="00372DE0"/>
    <w:rsid w:val="00372E50"/>
    <w:rsid w:val="00373843"/>
    <w:rsid w:val="00374483"/>
    <w:rsid w:val="0037541C"/>
    <w:rsid w:val="00376B73"/>
    <w:rsid w:val="0037732F"/>
    <w:rsid w:val="00377C65"/>
    <w:rsid w:val="00377D7B"/>
    <w:rsid w:val="00377DD2"/>
    <w:rsid w:val="00380645"/>
    <w:rsid w:val="00381A72"/>
    <w:rsid w:val="00382857"/>
    <w:rsid w:val="00383349"/>
    <w:rsid w:val="003841EB"/>
    <w:rsid w:val="00384676"/>
    <w:rsid w:val="00384BE5"/>
    <w:rsid w:val="0038529A"/>
    <w:rsid w:val="003858FC"/>
    <w:rsid w:val="00385AF0"/>
    <w:rsid w:val="00385CA8"/>
    <w:rsid w:val="00386B1C"/>
    <w:rsid w:val="003870F4"/>
    <w:rsid w:val="0038750D"/>
    <w:rsid w:val="00390857"/>
    <w:rsid w:val="00392A45"/>
    <w:rsid w:val="00394100"/>
    <w:rsid w:val="00394818"/>
    <w:rsid w:val="00395086"/>
    <w:rsid w:val="00395FA1"/>
    <w:rsid w:val="003972DC"/>
    <w:rsid w:val="003975F7"/>
    <w:rsid w:val="003A092C"/>
    <w:rsid w:val="003A0F5C"/>
    <w:rsid w:val="003A1CE0"/>
    <w:rsid w:val="003A29DD"/>
    <w:rsid w:val="003A2CA9"/>
    <w:rsid w:val="003A3F39"/>
    <w:rsid w:val="003A441C"/>
    <w:rsid w:val="003A4BF3"/>
    <w:rsid w:val="003A4D4C"/>
    <w:rsid w:val="003A67DC"/>
    <w:rsid w:val="003A7EF2"/>
    <w:rsid w:val="003B1E8E"/>
    <w:rsid w:val="003B1EF8"/>
    <w:rsid w:val="003B232E"/>
    <w:rsid w:val="003B3437"/>
    <w:rsid w:val="003B3CED"/>
    <w:rsid w:val="003B420D"/>
    <w:rsid w:val="003B5820"/>
    <w:rsid w:val="003B5FB3"/>
    <w:rsid w:val="003B64A3"/>
    <w:rsid w:val="003B6D2F"/>
    <w:rsid w:val="003B6E6F"/>
    <w:rsid w:val="003C0FA6"/>
    <w:rsid w:val="003C2032"/>
    <w:rsid w:val="003C27D0"/>
    <w:rsid w:val="003C2D70"/>
    <w:rsid w:val="003C331F"/>
    <w:rsid w:val="003C348F"/>
    <w:rsid w:val="003C3CFE"/>
    <w:rsid w:val="003C5A5B"/>
    <w:rsid w:val="003C67F7"/>
    <w:rsid w:val="003C6C16"/>
    <w:rsid w:val="003C6EF8"/>
    <w:rsid w:val="003C782C"/>
    <w:rsid w:val="003C7DB0"/>
    <w:rsid w:val="003D067E"/>
    <w:rsid w:val="003D0F69"/>
    <w:rsid w:val="003D1C7D"/>
    <w:rsid w:val="003D2420"/>
    <w:rsid w:val="003D26F0"/>
    <w:rsid w:val="003D2B14"/>
    <w:rsid w:val="003D401A"/>
    <w:rsid w:val="003D4C92"/>
    <w:rsid w:val="003D563B"/>
    <w:rsid w:val="003D65CB"/>
    <w:rsid w:val="003D6922"/>
    <w:rsid w:val="003D69B3"/>
    <w:rsid w:val="003D794D"/>
    <w:rsid w:val="003D7C1C"/>
    <w:rsid w:val="003E0535"/>
    <w:rsid w:val="003E0CCF"/>
    <w:rsid w:val="003E1548"/>
    <w:rsid w:val="003E164A"/>
    <w:rsid w:val="003E1CE1"/>
    <w:rsid w:val="003E1FC9"/>
    <w:rsid w:val="003E3058"/>
    <w:rsid w:val="003E31F6"/>
    <w:rsid w:val="003E43E0"/>
    <w:rsid w:val="003E76A9"/>
    <w:rsid w:val="003E7E80"/>
    <w:rsid w:val="003F0809"/>
    <w:rsid w:val="003F2D8C"/>
    <w:rsid w:val="003F37FA"/>
    <w:rsid w:val="003F38B7"/>
    <w:rsid w:val="003F3B65"/>
    <w:rsid w:val="003F43DF"/>
    <w:rsid w:val="003F4CA0"/>
    <w:rsid w:val="003F547C"/>
    <w:rsid w:val="003F59C5"/>
    <w:rsid w:val="003F6A8C"/>
    <w:rsid w:val="003F755C"/>
    <w:rsid w:val="003F78C3"/>
    <w:rsid w:val="003F79B7"/>
    <w:rsid w:val="00400329"/>
    <w:rsid w:val="00400472"/>
    <w:rsid w:val="004005CF"/>
    <w:rsid w:val="0040193F"/>
    <w:rsid w:val="004043D3"/>
    <w:rsid w:val="00405F24"/>
    <w:rsid w:val="00406CB0"/>
    <w:rsid w:val="00406F01"/>
    <w:rsid w:val="00407270"/>
    <w:rsid w:val="00410E9A"/>
    <w:rsid w:val="00411575"/>
    <w:rsid w:val="0041192D"/>
    <w:rsid w:val="00412DF5"/>
    <w:rsid w:val="00415FC7"/>
    <w:rsid w:val="00416D50"/>
    <w:rsid w:val="00416FD5"/>
    <w:rsid w:val="00417772"/>
    <w:rsid w:val="00417869"/>
    <w:rsid w:val="004178A8"/>
    <w:rsid w:val="004207AC"/>
    <w:rsid w:val="00420E6A"/>
    <w:rsid w:val="00421F0A"/>
    <w:rsid w:val="00422638"/>
    <w:rsid w:val="00425A9E"/>
    <w:rsid w:val="004260D6"/>
    <w:rsid w:val="004266A9"/>
    <w:rsid w:val="004269DD"/>
    <w:rsid w:val="00426D6B"/>
    <w:rsid w:val="00426DF2"/>
    <w:rsid w:val="004302E0"/>
    <w:rsid w:val="00431E6C"/>
    <w:rsid w:val="00432CBC"/>
    <w:rsid w:val="00432F84"/>
    <w:rsid w:val="004331A6"/>
    <w:rsid w:val="00433546"/>
    <w:rsid w:val="00433A88"/>
    <w:rsid w:val="00433CE7"/>
    <w:rsid w:val="00440F68"/>
    <w:rsid w:val="004410EF"/>
    <w:rsid w:val="0044190A"/>
    <w:rsid w:val="0044235E"/>
    <w:rsid w:val="00442596"/>
    <w:rsid w:val="004454A5"/>
    <w:rsid w:val="004456DC"/>
    <w:rsid w:val="00446947"/>
    <w:rsid w:val="00447262"/>
    <w:rsid w:val="0045071B"/>
    <w:rsid w:val="0045073E"/>
    <w:rsid w:val="00451371"/>
    <w:rsid w:val="00451613"/>
    <w:rsid w:val="004517B0"/>
    <w:rsid w:val="00452303"/>
    <w:rsid w:val="00452738"/>
    <w:rsid w:val="00452FA7"/>
    <w:rsid w:val="004532F0"/>
    <w:rsid w:val="004535C7"/>
    <w:rsid w:val="004546A9"/>
    <w:rsid w:val="00455A31"/>
    <w:rsid w:val="00455FEC"/>
    <w:rsid w:val="00456005"/>
    <w:rsid w:val="00456091"/>
    <w:rsid w:val="00456EB4"/>
    <w:rsid w:val="00456F46"/>
    <w:rsid w:val="00457798"/>
    <w:rsid w:val="00457D53"/>
    <w:rsid w:val="00457D54"/>
    <w:rsid w:val="0046000C"/>
    <w:rsid w:val="004607D4"/>
    <w:rsid w:val="004612D8"/>
    <w:rsid w:val="004622FA"/>
    <w:rsid w:val="0046290C"/>
    <w:rsid w:val="0046387B"/>
    <w:rsid w:val="00463E46"/>
    <w:rsid w:val="00465052"/>
    <w:rsid w:val="00466321"/>
    <w:rsid w:val="00467018"/>
    <w:rsid w:val="004707FD"/>
    <w:rsid w:val="00470D4E"/>
    <w:rsid w:val="00473574"/>
    <w:rsid w:val="004737FE"/>
    <w:rsid w:val="00473ED2"/>
    <w:rsid w:val="00474C93"/>
    <w:rsid w:val="0047584E"/>
    <w:rsid w:val="00475944"/>
    <w:rsid w:val="0048020B"/>
    <w:rsid w:val="00480F7E"/>
    <w:rsid w:val="004812CD"/>
    <w:rsid w:val="00482EAB"/>
    <w:rsid w:val="00483302"/>
    <w:rsid w:val="004837AC"/>
    <w:rsid w:val="00484B9B"/>
    <w:rsid w:val="00484C1E"/>
    <w:rsid w:val="004855F6"/>
    <w:rsid w:val="0048592F"/>
    <w:rsid w:val="00485CB0"/>
    <w:rsid w:val="0048661E"/>
    <w:rsid w:val="0049299E"/>
    <w:rsid w:val="004933D0"/>
    <w:rsid w:val="00493991"/>
    <w:rsid w:val="00493FC0"/>
    <w:rsid w:val="00494670"/>
    <w:rsid w:val="00494F95"/>
    <w:rsid w:val="00495A02"/>
    <w:rsid w:val="004A055D"/>
    <w:rsid w:val="004A0EDD"/>
    <w:rsid w:val="004A1D83"/>
    <w:rsid w:val="004A2205"/>
    <w:rsid w:val="004A3823"/>
    <w:rsid w:val="004A39DF"/>
    <w:rsid w:val="004A3DF6"/>
    <w:rsid w:val="004A49EC"/>
    <w:rsid w:val="004A5DD7"/>
    <w:rsid w:val="004B0D68"/>
    <w:rsid w:val="004B2053"/>
    <w:rsid w:val="004B2703"/>
    <w:rsid w:val="004B2866"/>
    <w:rsid w:val="004B3318"/>
    <w:rsid w:val="004B4751"/>
    <w:rsid w:val="004B5D2F"/>
    <w:rsid w:val="004B5E12"/>
    <w:rsid w:val="004B67FE"/>
    <w:rsid w:val="004B7457"/>
    <w:rsid w:val="004C035B"/>
    <w:rsid w:val="004C03E1"/>
    <w:rsid w:val="004C0A08"/>
    <w:rsid w:val="004C0E33"/>
    <w:rsid w:val="004C398C"/>
    <w:rsid w:val="004C4060"/>
    <w:rsid w:val="004C75F1"/>
    <w:rsid w:val="004C7F62"/>
    <w:rsid w:val="004D0653"/>
    <w:rsid w:val="004D114E"/>
    <w:rsid w:val="004D1401"/>
    <w:rsid w:val="004D2682"/>
    <w:rsid w:val="004D3505"/>
    <w:rsid w:val="004D3FF8"/>
    <w:rsid w:val="004D51EB"/>
    <w:rsid w:val="004D5919"/>
    <w:rsid w:val="004D5A62"/>
    <w:rsid w:val="004D5AD8"/>
    <w:rsid w:val="004D76BB"/>
    <w:rsid w:val="004E0604"/>
    <w:rsid w:val="004E187F"/>
    <w:rsid w:val="004E26AB"/>
    <w:rsid w:val="004E39EC"/>
    <w:rsid w:val="004E49A9"/>
    <w:rsid w:val="004E606C"/>
    <w:rsid w:val="004E6162"/>
    <w:rsid w:val="004E63F5"/>
    <w:rsid w:val="004E6946"/>
    <w:rsid w:val="004F048F"/>
    <w:rsid w:val="004F0FF6"/>
    <w:rsid w:val="004F10DD"/>
    <w:rsid w:val="004F1133"/>
    <w:rsid w:val="004F1AD8"/>
    <w:rsid w:val="004F23C8"/>
    <w:rsid w:val="004F2D3A"/>
    <w:rsid w:val="004F3746"/>
    <w:rsid w:val="004F416E"/>
    <w:rsid w:val="004F48DB"/>
    <w:rsid w:val="004F5198"/>
    <w:rsid w:val="004F53F2"/>
    <w:rsid w:val="004F6288"/>
    <w:rsid w:val="004F72E5"/>
    <w:rsid w:val="004F7FA1"/>
    <w:rsid w:val="00500059"/>
    <w:rsid w:val="00501D2C"/>
    <w:rsid w:val="0050277E"/>
    <w:rsid w:val="005035FA"/>
    <w:rsid w:val="005039CB"/>
    <w:rsid w:val="00505147"/>
    <w:rsid w:val="0050558F"/>
    <w:rsid w:val="00505896"/>
    <w:rsid w:val="00506286"/>
    <w:rsid w:val="005064F0"/>
    <w:rsid w:val="00506EE4"/>
    <w:rsid w:val="00507D3F"/>
    <w:rsid w:val="00510813"/>
    <w:rsid w:val="00510AA2"/>
    <w:rsid w:val="005115AC"/>
    <w:rsid w:val="00511990"/>
    <w:rsid w:val="00511DE0"/>
    <w:rsid w:val="00512153"/>
    <w:rsid w:val="00512263"/>
    <w:rsid w:val="00513196"/>
    <w:rsid w:val="00513807"/>
    <w:rsid w:val="00514870"/>
    <w:rsid w:val="00514972"/>
    <w:rsid w:val="00514B9B"/>
    <w:rsid w:val="00515485"/>
    <w:rsid w:val="00516197"/>
    <w:rsid w:val="00516311"/>
    <w:rsid w:val="0051789C"/>
    <w:rsid w:val="00517F02"/>
    <w:rsid w:val="005212A0"/>
    <w:rsid w:val="005237BD"/>
    <w:rsid w:val="00524303"/>
    <w:rsid w:val="0052435B"/>
    <w:rsid w:val="00524C29"/>
    <w:rsid w:val="00525373"/>
    <w:rsid w:val="005258A2"/>
    <w:rsid w:val="00526937"/>
    <w:rsid w:val="00526D0D"/>
    <w:rsid w:val="00527755"/>
    <w:rsid w:val="00530F46"/>
    <w:rsid w:val="00531165"/>
    <w:rsid w:val="00532685"/>
    <w:rsid w:val="00532AC7"/>
    <w:rsid w:val="00532D5D"/>
    <w:rsid w:val="00533C40"/>
    <w:rsid w:val="0053468E"/>
    <w:rsid w:val="0053497B"/>
    <w:rsid w:val="00534CA3"/>
    <w:rsid w:val="00535407"/>
    <w:rsid w:val="005370FF"/>
    <w:rsid w:val="005371B1"/>
    <w:rsid w:val="00537ACD"/>
    <w:rsid w:val="005401AE"/>
    <w:rsid w:val="0054072F"/>
    <w:rsid w:val="00541001"/>
    <w:rsid w:val="005425D2"/>
    <w:rsid w:val="00542E07"/>
    <w:rsid w:val="00542E89"/>
    <w:rsid w:val="00543319"/>
    <w:rsid w:val="00545424"/>
    <w:rsid w:val="00545F79"/>
    <w:rsid w:val="005515A5"/>
    <w:rsid w:val="00551C29"/>
    <w:rsid w:val="00552556"/>
    <w:rsid w:val="005526C2"/>
    <w:rsid w:val="00553408"/>
    <w:rsid w:val="005545E5"/>
    <w:rsid w:val="00554A7B"/>
    <w:rsid w:val="00554F56"/>
    <w:rsid w:val="005555F1"/>
    <w:rsid w:val="0055572C"/>
    <w:rsid w:val="00556BD9"/>
    <w:rsid w:val="00560338"/>
    <w:rsid w:val="0056106A"/>
    <w:rsid w:val="00561180"/>
    <w:rsid w:val="005650BE"/>
    <w:rsid w:val="00565FBE"/>
    <w:rsid w:val="005661FE"/>
    <w:rsid w:val="00566642"/>
    <w:rsid w:val="00566B43"/>
    <w:rsid w:val="00567F16"/>
    <w:rsid w:val="005712DD"/>
    <w:rsid w:val="005720AE"/>
    <w:rsid w:val="00572B02"/>
    <w:rsid w:val="0057393B"/>
    <w:rsid w:val="0057398E"/>
    <w:rsid w:val="00573CA7"/>
    <w:rsid w:val="00575BE2"/>
    <w:rsid w:val="00575DC1"/>
    <w:rsid w:val="00576887"/>
    <w:rsid w:val="00576E4B"/>
    <w:rsid w:val="0057797F"/>
    <w:rsid w:val="00580C34"/>
    <w:rsid w:val="00581C2F"/>
    <w:rsid w:val="0058523D"/>
    <w:rsid w:val="005854F9"/>
    <w:rsid w:val="005869EF"/>
    <w:rsid w:val="00586CD7"/>
    <w:rsid w:val="00590BCB"/>
    <w:rsid w:val="0059141D"/>
    <w:rsid w:val="00591DCB"/>
    <w:rsid w:val="00591ED5"/>
    <w:rsid w:val="00592A83"/>
    <w:rsid w:val="00593184"/>
    <w:rsid w:val="00593208"/>
    <w:rsid w:val="00593A8A"/>
    <w:rsid w:val="00594AEA"/>
    <w:rsid w:val="00594D77"/>
    <w:rsid w:val="005952B1"/>
    <w:rsid w:val="00595A94"/>
    <w:rsid w:val="005969E4"/>
    <w:rsid w:val="00596AC6"/>
    <w:rsid w:val="005A0391"/>
    <w:rsid w:val="005A0519"/>
    <w:rsid w:val="005A06B7"/>
    <w:rsid w:val="005A0839"/>
    <w:rsid w:val="005A0D3D"/>
    <w:rsid w:val="005A1759"/>
    <w:rsid w:val="005A1E28"/>
    <w:rsid w:val="005A25E5"/>
    <w:rsid w:val="005A2717"/>
    <w:rsid w:val="005A313E"/>
    <w:rsid w:val="005A34A3"/>
    <w:rsid w:val="005A43E2"/>
    <w:rsid w:val="005A51B7"/>
    <w:rsid w:val="005A5B9B"/>
    <w:rsid w:val="005A5F95"/>
    <w:rsid w:val="005A6312"/>
    <w:rsid w:val="005A6367"/>
    <w:rsid w:val="005A68A7"/>
    <w:rsid w:val="005A73B7"/>
    <w:rsid w:val="005B1688"/>
    <w:rsid w:val="005B26CB"/>
    <w:rsid w:val="005B2A34"/>
    <w:rsid w:val="005B2D2D"/>
    <w:rsid w:val="005B382E"/>
    <w:rsid w:val="005B4350"/>
    <w:rsid w:val="005B5A5E"/>
    <w:rsid w:val="005B64DA"/>
    <w:rsid w:val="005B7411"/>
    <w:rsid w:val="005C0FE9"/>
    <w:rsid w:val="005C10C6"/>
    <w:rsid w:val="005C1DED"/>
    <w:rsid w:val="005C329B"/>
    <w:rsid w:val="005C3AAB"/>
    <w:rsid w:val="005C42E6"/>
    <w:rsid w:val="005C43E8"/>
    <w:rsid w:val="005C51AE"/>
    <w:rsid w:val="005C5329"/>
    <w:rsid w:val="005D05CE"/>
    <w:rsid w:val="005D0C67"/>
    <w:rsid w:val="005D1C97"/>
    <w:rsid w:val="005D21FC"/>
    <w:rsid w:val="005D34C6"/>
    <w:rsid w:val="005D36AB"/>
    <w:rsid w:val="005D36ED"/>
    <w:rsid w:val="005D59AF"/>
    <w:rsid w:val="005D5E1C"/>
    <w:rsid w:val="005D6127"/>
    <w:rsid w:val="005D6581"/>
    <w:rsid w:val="005D6F92"/>
    <w:rsid w:val="005D7442"/>
    <w:rsid w:val="005D7753"/>
    <w:rsid w:val="005E052B"/>
    <w:rsid w:val="005E0549"/>
    <w:rsid w:val="005E091E"/>
    <w:rsid w:val="005E1EFE"/>
    <w:rsid w:val="005E2B45"/>
    <w:rsid w:val="005E2EA2"/>
    <w:rsid w:val="005E3FEA"/>
    <w:rsid w:val="005E4B21"/>
    <w:rsid w:val="005E56AD"/>
    <w:rsid w:val="005E6EA5"/>
    <w:rsid w:val="005F0E41"/>
    <w:rsid w:val="005F15A2"/>
    <w:rsid w:val="005F161A"/>
    <w:rsid w:val="005F1D9F"/>
    <w:rsid w:val="005F24F8"/>
    <w:rsid w:val="005F33AD"/>
    <w:rsid w:val="005F3B20"/>
    <w:rsid w:val="005F44C1"/>
    <w:rsid w:val="005F5021"/>
    <w:rsid w:val="005F5876"/>
    <w:rsid w:val="005F6390"/>
    <w:rsid w:val="005F6402"/>
    <w:rsid w:val="00601045"/>
    <w:rsid w:val="00602564"/>
    <w:rsid w:val="00604B7E"/>
    <w:rsid w:val="00604DFB"/>
    <w:rsid w:val="00607CD3"/>
    <w:rsid w:val="006100D8"/>
    <w:rsid w:val="006109E9"/>
    <w:rsid w:val="00611672"/>
    <w:rsid w:val="00612B38"/>
    <w:rsid w:val="0061381A"/>
    <w:rsid w:val="00614333"/>
    <w:rsid w:val="00615268"/>
    <w:rsid w:val="00615ACB"/>
    <w:rsid w:val="00616D48"/>
    <w:rsid w:val="00616FC9"/>
    <w:rsid w:val="00617CC3"/>
    <w:rsid w:val="00620BD8"/>
    <w:rsid w:val="006220C7"/>
    <w:rsid w:val="0062242B"/>
    <w:rsid w:val="0062354E"/>
    <w:rsid w:val="00623959"/>
    <w:rsid w:val="006244EF"/>
    <w:rsid w:val="00626582"/>
    <w:rsid w:val="0062694E"/>
    <w:rsid w:val="00626B5D"/>
    <w:rsid w:val="006304B1"/>
    <w:rsid w:val="00630621"/>
    <w:rsid w:val="00630D26"/>
    <w:rsid w:val="00634A6C"/>
    <w:rsid w:val="0063509D"/>
    <w:rsid w:val="00637705"/>
    <w:rsid w:val="006377A6"/>
    <w:rsid w:val="00637A3D"/>
    <w:rsid w:val="006408E4"/>
    <w:rsid w:val="0064093A"/>
    <w:rsid w:val="006411EF"/>
    <w:rsid w:val="00641240"/>
    <w:rsid w:val="00641C88"/>
    <w:rsid w:val="00642FB7"/>
    <w:rsid w:val="00644BF0"/>
    <w:rsid w:val="00644E7F"/>
    <w:rsid w:val="006450E2"/>
    <w:rsid w:val="00647178"/>
    <w:rsid w:val="006518D3"/>
    <w:rsid w:val="00652BB0"/>
    <w:rsid w:val="00653180"/>
    <w:rsid w:val="00653CE1"/>
    <w:rsid w:val="00654154"/>
    <w:rsid w:val="00654252"/>
    <w:rsid w:val="00654C4A"/>
    <w:rsid w:val="00655A57"/>
    <w:rsid w:val="006567D8"/>
    <w:rsid w:val="00660277"/>
    <w:rsid w:val="006608CC"/>
    <w:rsid w:val="00660BD2"/>
    <w:rsid w:val="00661192"/>
    <w:rsid w:val="006617D1"/>
    <w:rsid w:val="006623C4"/>
    <w:rsid w:val="00663EF9"/>
    <w:rsid w:val="0066438F"/>
    <w:rsid w:val="0066472E"/>
    <w:rsid w:val="00664D4D"/>
    <w:rsid w:val="00664ED3"/>
    <w:rsid w:val="00665750"/>
    <w:rsid w:val="00665A15"/>
    <w:rsid w:val="0067098F"/>
    <w:rsid w:val="00670F61"/>
    <w:rsid w:val="00673315"/>
    <w:rsid w:val="00674802"/>
    <w:rsid w:val="006748B8"/>
    <w:rsid w:val="006749D2"/>
    <w:rsid w:val="00674C21"/>
    <w:rsid w:val="00675161"/>
    <w:rsid w:val="006756F9"/>
    <w:rsid w:val="00676DB7"/>
    <w:rsid w:val="006775C3"/>
    <w:rsid w:val="00677D78"/>
    <w:rsid w:val="00680134"/>
    <w:rsid w:val="0068021D"/>
    <w:rsid w:val="00680E18"/>
    <w:rsid w:val="00680E3F"/>
    <w:rsid w:val="00682D99"/>
    <w:rsid w:val="00682EE5"/>
    <w:rsid w:val="00683288"/>
    <w:rsid w:val="00686C88"/>
    <w:rsid w:val="00691A7E"/>
    <w:rsid w:val="00691CE3"/>
    <w:rsid w:val="00692165"/>
    <w:rsid w:val="0069290A"/>
    <w:rsid w:val="00692EAC"/>
    <w:rsid w:val="00695A33"/>
    <w:rsid w:val="006962CC"/>
    <w:rsid w:val="006975C2"/>
    <w:rsid w:val="0069775A"/>
    <w:rsid w:val="00697813"/>
    <w:rsid w:val="006A3EE8"/>
    <w:rsid w:val="006A41A6"/>
    <w:rsid w:val="006A6A03"/>
    <w:rsid w:val="006A72BF"/>
    <w:rsid w:val="006A7577"/>
    <w:rsid w:val="006B03F2"/>
    <w:rsid w:val="006B10D0"/>
    <w:rsid w:val="006B2259"/>
    <w:rsid w:val="006B338F"/>
    <w:rsid w:val="006B37DC"/>
    <w:rsid w:val="006B3AF5"/>
    <w:rsid w:val="006B47CD"/>
    <w:rsid w:val="006B4F68"/>
    <w:rsid w:val="006B5283"/>
    <w:rsid w:val="006B6C5C"/>
    <w:rsid w:val="006B70D8"/>
    <w:rsid w:val="006B7535"/>
    <w:rsid w:val="006B7749"/>
    <w:rsid w:val="006C0592"/>
    <w:rsid w:val="006C2205"/>
    <w:rsid w:val="006C272E"/>
    <w:rsid w:val="006C3D33"/>
    <w:rsid w:val="006C400F"/>
    <w:rsid w:val="006C4145"/>
    <w:rsid w:val="006C4374"/>
    <w:rsid w:val="006C44FA"/>
    <w:rsid w:val="006C4574"/>
    <w:rsid w:val="006C5350"/>
    <w:rsid w:val="006C5479"/>
    <w:rsid w:val="006C5C77"/>
    <w:rsid w:val="006C5F4A"/>
    <w:rsid w:val="006C63A6"/>
    <w:rsid w:val="006C64B8"/>
    <w:rsid w:val="006C6895"/>
    <w:rsid w:val="006C6B0C"/>
    <w:rsid w:val="006D13B5"/>
    <w:rsid w:val="006D1430"/>
    <w:rsid w:val="006D1BDC"/>
    <w:rsid w:val="006D25B2"/>
    <w:rsid w:val="006D2C56"/>
    <w:rsid w:val="006D2F36"/>
    <w:rsid w:val="006D3C14"/>
    <w:rsid w:val="006D4005"/>
    <w:rsid w:val="006D4989"/>
    <w:rsid w:val="006D4C0A"/>
    <w:rsid w:val="006D7087"/>
    <w:rsid w:val="006E0632"/>
    <w:rsid w:val="006E0BB0"/>
    <w:rsid w:val="006E0D7C"/>
    <w:rsid w:val="006E12FF"/>
    <w:rsid w:val="006E1808"/>
    <w:rsid w:val="006E1C50"/>
    <w:rsid w:val="006E2C8E"/>
    <w:rsid w:val="006E4AB2"/>
    <w:rsid w:val="006E554B"/>
    <w:rsid w:val="006E5AE2"/>
    <w:rsid w:val="006E607E"/>
    <w:rsid w:val="006E6FD0"/>
    <w:rsid w:val="006F01C2"/>
    <w:rsid w:val="006F0528"/>
    <w:rsid w:val="006F1935"/>
    <w:rsid w:val="006F2243"/>
    <w:rsid w:val="006F32DC"/>
    <w:rsid w:val="006F4329"/>
    <w:rsid w:val="006F53D7"/>
    <w:rsid w:val="006F56A4"/>
    <w:rsid w:val="006F6834"/>
    <w:rsid w:val="006F6E09"/>
    <w:rsid w:val="006F79A2"/>
    <w:rsid w:val="00700696"/>
    <w:rsid w:val="00701251"/>
    <w:rsid w:val="0070185C"/>
    <w:rsid w:val="00701A0A"/>
    <w:rsid w:val="00701ACD"/>
    <w:rsid w:val="00702E34"/>
    <w:rsid w:val="00702FAD"/>
    <w:rsid w:val="007042EF"/>
    <w:rsid w:val="00705448"/>
    <w:rsid w:val="00705EB2"/>
    <w:rsid w:val="00706C5D"/>
    <w:rsid w:val="00707048"/>
    <w:rsid w:val="007072EA"/>
    <w:rsid w:val="00707CF9"/>
    <w:rsid w:val="00707E5F"/>
    <w:rsid w:val="00710F66"/>
    <w:rsid w:val="00711919"/>
    <w:rsid w:val="00714A42"/>
    <w:rsid w:val="00714BAE"/>
    <w:rsid w:val="007170D6"/>
    <w:rsid w:val="0072075B"/>
    <w:rsid w:val="007207FB"/>
    <w:rsid w:val="0072144C"/>
    <w:rsid w:val="0072198E"/>
    <w:rsid w:val="00721AFC"/>
    <w:rsid w:val="00722995"/>
    <w:rsid w:val="00722D6C"/>
    <w:rsid w:val="0072662A"/>
    <w:rsid w:val="00726FAE"/>
    <w:rsid w:val="0072710C"/>
    <w:rsid w:val="0072777C"/>
    <w:rsid w:val="007300D3"/>
    <w:rsid w:val="007303B5"/>
    <w:rsid w:val="00731C34"/>
    <w:rsid w:val="00731FC9"/>
    <w:rsid w:val="007327E8"/>
    <w:rsid w:val="00732922"/>
    <w:rsid w:val="0073366E"/>
    <w:rsid w:val="00733929"/>
    <w:rsid w:val="00733A81"/>
    <w:rsid w:val="00735059"/>
    <w:rsid w:val="00735624"/>
    <w:rsid w:val="007368B5"/>
    <w:rsid w:val="007379B0"/>
    <w:rsid w:val="00737FEA"/>
    <w:rsid w:val="0074118F"/>
    <w:rsid w:val="00741A44"/>
    <w:rsid w:val="00743A7D"/>
    <w:rsid w:val="00743AA2"/>
    <w:rsid w:val="00743CC3"/>
    <w:rsid w:val="007460FC"/>
    <w:rsid w:val="007465C6"/>
    <w:rsid w:val="00747B4C"/>
    <w:rsid w:val="00747FD0"/>
    <w:rsid w:val="00750211"/>
    <w:rsid w:val="0075162E"/>
    <w:rsid w:val="007521B4"/>
    <w:rsid w:val="0075256E"/>
    <w:rsid w:val="0075296C"/>
    <w:rsid w:val="00753C6C"/>
    <w:rsid w:val="00754034"/>
    <w:rsid w:val="0075441D"/>
    <w:rsid w:val="007551A4"/>
    <w:rsid w:val="00755BAD"/>
    <w:rsid w:val="00756556"/>
    <w:rsid w:val="007577EC"/>
    <w:rsid w:val="00760CA3"/>
    <w:rsid w:val="007618C4"/>
    <w:rsid w:val="007654D5"/>
    <w:rsid w:val="00765B81"/>
    <w:rsid w:val="0076640B"/>
    <w:rsid w:val="00766DD7"/>
    <w:rsid w:val="00767732"/>
    <w:rsid w:val="00767980"/>
    <w:rsid w:val="007700AF"/>
    <w:rsid w:val="007706B5"/>
    <w:rsid w:val="00770778"/>
    <w:rsid w:val="00770B19"/>
    <w:rsid w:val="00770B56"/>
    <w:rsid w:val="00770FFB"/>
    <w:rsid w:val="00772E68"/>
    <w:rsid w:val="0077463F"/>
    <w:rsid w:val="007748CF"/>
    <w:rsid w:val="00774900"/>
    <w:rsid w:val="00775022"/>
    <w:rsid w:val="0077573E"/>
    <w:rsid w:val="007772E9"/>
    <w:rsid w:val="0077782E"/>
    <w:rsid w:val="007804B2"/>
    <w:rsid w:val="007819FB"/>
    <w:rsid w:val="007829A8"/>
    <w:rsid w:val="007829AD"/>
    <w:rsid w:val="007836EA"/>
    <w:rsid w:val="0078412F"/>
    <w:rsid w:val="00784B5F"/>
    <w:rsid w:val="00784CDA"/>
    <w:rsid w:val="00786A75"/>
    <w:rsid w:val="00787705"/>
    <w:rsid w:val="00787762"/>
    <w:rsid w:val="007902B2"/>
    <w:rsid w:val="007906C4"/>
    <w:rsid w:val="007911E3"/>
    <w:rsid w:val="0079218E"/>
    <w:rsid w:val="00792684"/>
    <w:rsid w:val="00792B0A"/>
    <w:rsid w:val="007940EA"/>
    <w:rsid w:val="00794E23"/>
    <w:rsid w:val="00795916"/>
    <w:rsid w:val="007967E8"/>
    <w:rsid w:val="00796FC4"/>
    <w:rsid w:val="007970E0"/>
    <w:rsid w:val="00797C9A"/>
    <w:rsid w:val="007A07B0"/>
    <w:rsid w:val="007A0B65"/>
    <w:rsid w:val="007A15F0"/>
    <w:rsid w:val="007A2170"/>
    <w:rsid w:val="007A22BF"/>
    <w:rsid w:val="007A2D3E"/>
    <w:rsid w:val="007A3323"/>
    <w:rsid w:val="007A4229"/>
    <w:rsid w:val="007A535D"/>
    <w:rsid w:val="007A54DF"/>
    <w:rsid w:val="007A55AB"/>
    <w:rsid w:val="007A57F4"/>
    <w:rsid w:val="007A5E65"/>
    <w:rsid w:val="007A6367"/>
    <w:rsid w:val="007A6E94"/>
    <w:rsid w:val="007A6F2D"/>
    <w:rsid w:val="007B1725"/>
    <w:rsid w:val="007B1E52"/>
    <w:rsid w:val="007B22E9"/>
    <w:rsid w:val="007B2BA7"/>
    <w:rsid w:val="007B3188"/>
    <w:rsid w:val="007B33F9"/>
    <w:rsid w:val="007B3E7E"/>
    <w:rsid w:val="007B4001"/>
    <w:rsid w:val="007B5B6C"/>
    <w:rsid w:val="007B5D19"/>
    <w:rsid w:val="007B72B8"/>
    <w:rsid w:val="007B7A58"/>
    <w:rsid w:val="007C061C"/>
    <w:rsid w:val="007C11E0"/>
    <w:rsid w:val="007C1B39"/>
    <w:rsid w:val="007C21B5"/>
    <w:rsid w:val="007C24FC"/>
    <w:rsid w:val="007C3039"/>
    <w:rsid w:val="007C4043"/>
    <w:rsid w:val="007C4ACC"/>
    <w:rsid w:val="007C4F0C"/>
    <w:rsid w:val="007C52D4"/>
    <w:rsid w:val="007C5516"/>
    <w:rsid w:val="007C551D"/>
    <w:rsid w:val="007C58C9"/>
    <w:rsid w:val="007C61ED"/>
    <w:rsid w:val="007C7FD0"/>
    <w:rsid w:val="007D0887"/>
    <w:rsid w:val="007D0C9F"/>
    <w:rsid w:val="007D24BF"/>
    <w:rsid w:val="007D2DC9"/>
    <w:rsid w:val="007D3FE6"/>
    <w:rsid w:val="007D490E"/>
    <w:rsid w:val="007D51C6"/>
    <w:rsid w:val="007D5D11"/>
    <w:rsid w:val="007D61FF"/>
    <w:rsid w:val="007E1A9E"/>
    <w:rsid w:val="007E1B95"/>
    <w:rsid w:val="007E27BF"/>
    <w:rsid w:val="007E33C2"/>
    <w:rsid w:val="007E44E7"/>
    <w:rsid w:val="007E463D"/>
    <w:rsid w:val="007E4BD2"/>
    <w:rsid w:val="007E4C72"/>
    <w:rsid w:val="007E5E71"/>
    <w:rsid w:val="007E6260"/>
    <w:rsid w:val="007E6E44"/>
    <w:rsid w:val="007F0003"/>
    <w:rsid w:val="007F0540"/>
    <w:rsid w:val="007F38CC"/>
    <w:rsid w:val="007F3EB8"/>
    <w:rsid w:val="007F4CCF"/>
    <w:rsid w:val="007F5554"/>
    <w:rsid w:val="007F772A"/>
    <w:rsid w:val="007F797F"/>
    <w:rsid w:val="00801393"/>
    <w:rsid w:val="00802F88"/>
    <w:rsid w:val="00802FD7"/>
    <w:rsid w:val="00803302"/>
    <w:rsid w:val="008038DB"/>
    <w:rsid w:val="008043D9"/>
    <w:rsid w:val="0081056D"/>
    <w:rsid w:val="00811637"/>
    <w:rsid w:val="0081277E"/>
    <w:rsid w:val="0081293E"/>
    <w:rsid w:val="00813A5D"/>
    <w:rsid w:val="00814440"/>
    <w:rsid w:val="00814640"/>
    <w:rsid w:val="0081531B"/>
    <w:rsid w:val="00815465"/>
    <w:rsid w:val="00815FA4"/>
    <w:rsid w:val="008160B9"/>
    <w:rsid w:val="00816907"/>
    <w:rsid w:val="00817E9A"/>
    <w:rsid w:val="00820378"/>
    <w:rsid w:val="008205B3"/>
    <w:rsid w:val="0082065C"/>
    <w:rsid w:val="008212FC"/>
    <w:rsid w:val="008216FA"/>
    <w:rsid w:val="00821E74"/>
    <w:rsid w:val="0082215D"/>
    <w:rsid w:val="008225EA"/>
    <w:rsid w:val="00822B91"/>
    <w:rsid w:val="00822E6D"/>
    <w:rsid w:val="008247CC"/>
    <w:rsid w:val="00824B46"/>
    <w:rsid w:val="008254D0"/>
    <w:rsid w:val="00825B85"/>
    <w:rsid w:val="008306BD"/>
    <w:rsid w:val="00831A37"/>
    <w:rsid w:val="00831A80"/>
    <w:rsid w:val="008320DD"/>
    <w:rsid w:val="00832E4C"/>
    <w:rsid w:val="00833670"/>
    <w:rsid w:val="00833743"/>
    <w:rsid w:val="00833AC7"/>
    <w:rsid w:val="00833F14"/>
    <w:rsid w:val="008340A4"/>
    <w:rsid w:val="008346C1"/>
    <w:rsid w:val="008351CB"/>
    <w:rsid w:val="00835297"/>
    <w:rsid w:val="00836137"/>
    <w:rsid w:val="0083618B"/>
    <w:rsid w:val="008375FA"/>
    <w:rsid w:val="00840F2D"/>
    <w:rsid w:val="00840F77"/>
    <w:rsid w:val="008410AE"/>
    <w:rsid w:val="00841657"/>
    <w:rsid w:val="0084180F"/>
    <w:rsid w:val="00841BDA"/>
    <w:rsid w:val="00842B16"/>
    <w:rsid w:val="00843A00"/>
    <w:rsid w:val="00843AF2"/>
    <w:rsid w:val="00843F6D"/>
    <w:rsid w:val="00850CF2"/>
    <w:rsid w:val="0085116A"/>
    <w:rsid w:val="008529B3"/>
    <w:rsid w:val="008543EE"/>
    <w:rsid w:val="0085523C"/>
    <w:rsid w:val="008552AD"/>
    <w:rsid w:val="00855DC7"/>
    <w:rsid w:val="00861404"/>
    <w:rsid w:val="008622E8"/>
    <w:rsid w:val="00862704"/>
    <w:rsid w:val="00864698"/>
    <w:rsid w:val="00864856"/>
    <w:rsid w:val="00865A53"/>
    <w:rsid w:val="00865BC9"/>
    <w:rsid w:val="00866163"/>
    <w:rsid w:val="00867952"/>
    <w:rsid w:val="00867A86"/>
    <w:rsid w:val="00867F78"/>
    <w:rsid w:val="0087135F"/>
    <w:rsid w:val="0087185E"/>
    <w:rsid w:val="00872D94"/>
    <w:rsid w:val="0087567C"/>
    <w:rsid w:val="00876E83"/>
    <w:rsid w:val="00877767"/>
    <w:rsid w:val="00880364"/>
    <w:rsid w:val="00880574"/>
    <w:rsid w:val="00880870"/>
    <w:rsid w:val="00881895"/>
    <w:rsid w:val="0088290B"/>
    <w:rsid w:val="00882FDC"/>
    <w:rsid w:val="008862C2"/>
    <w:rsid w:val="00886801"/>
    <w:rsid w:val="00886BE7"/>
    <w:rsid w:val="00886CC4"/>
    <w:rsid w:val="00886CDC"/>
    <w:rsid w:val="00887D12"/>
    <w:rsid w:val="00891592"/>
    <w:rsid w:val="00891E9E"/>
    <w:rsid w:val="0089239F"/>
    <w:rsid w:val="00892C43"/>
    <w:rsid w:val="0089424C"/>
    <w:rsid w:val="00895036"/>
    <w:rsid w:val="008959FC"/>
    <w:rsid w:val="00896404"/>
    <w:rsid w:val="008965F3"/>
    <w:rsid w:val="008969F7"/>
    <w:rsid w:val="00896DC0"/>
    <w:rsid w:val="008A1644"/>
    <w:rsid w:val="008A19E8"/>
    <w:rsid w:val="008A2E44"/>
    <w:rsid w:val="008A2F68"/>
    <w:rsid w:val="008A3009"/>
    <w:rsid w:val="008A3ADE"/>
    <w:rsid w:val="008A3BA9"/>
    <w:rsid w:val="008A44A1"/>
    <w:rsid w:val="008A50E1"/>
    <w:rsid w:val="008A6382"/>
    <w:rsid w:val="008A78DC"/>
    <w:rsid w:val="008A7E38"/>
    <w:rsid w:val="008B027E"/>
    <w:rsid w:val="008B0867"/>
    <w:rsid w:val="008B147A"/>
    <w:rsid w:val="008B1836"/>
    <w:rsid w:val="008B2091"/>
    <w:rsid w:val="008B22AB"/>
    <w:rsid w:val="008B27B8"/>
    <w:rsid w:val="008B2CFC"/>
    <w:rsid w:val="008B4A27"/>
    <w:rsid w:val="008B4FA6"/>
    <w:rsid w:val="008B5282"/>
    <w:rsid w:val="008B785B"/>
    <w:rsid w:val="008B7C17"/>
    <w:rsid w:val="008C0F52"/>
    <w:rsid w:val="008C2D01"/>
    <w:rsid w:val="008C40E6"/>
    <w:rsid w:val="008C42DA"/>
    <w:rsid w:val="008C48DF"/>
    <w:rsid w:val="008C4B8D"/>
    <w:rsid w:val="008C5711"/>
    <w:rsid w:val="008C5C83"/>
    <w:rsid w:val="008C5D58"/>
    <w:rsid w:val="008C60CA"/>
    <w:rsid w:val="008C6A02"/>
    <w:rsid w:val="008C712E"/>
    <w:rsid w:val="008C72CC"/>
    <w:rsid w:val="008C72DB"/>
    <w:rsid w:val="008C740D"/>
    <w:rsid w:val="008D0F55"/>
    <w:rsid w:val="008D0F7A"/>
    <w:rsid w:val="008D1CE5"/>
    <w:rsid w:val="008D2C80"/>
    <w:rsid w:val="008D392D"/>
    <w:rsid w:val="008D544C"/>
    <w:rsid w:val="008D60B7"/>
    <w:rsid w:val="008D68E4"/>
    <w:rsid w:val="008D6C0D"/>
    <w:rsid w:val="008E0506"/>
    <w:rsid w:val="008E0792"/>
    <w:rsid w:val="008E0CFF"/>
    <w:rsid w:val="008E29C8"/>
    <w:rsid w:val="008E3CA7"/>
    <w:rsid w:val="008E46F1"/>
    <w:rsid w:val="008E476C"/>
    <w:rsid w:val="008E51E8"/>
    <w:rsid w:val="008E5D6B"/>
    <w:rsid w:val="008E6378"/>
    <w:rsid w:val="008E76F0"/>
    <w:rsid w:val="008F15FE"/>
    <w:rsid w:val="008F16E4"/>
    <w:rsid w:val="008F2D29"/>
    <w:rsid w:val="008F326A"/>
    <w:rsid w:val="008F3D8F"/>
    <w:rsid w:val="008F3DB0"/>
    <w:rsid w:val="008F3EF0"/>
    <w:rsid w:val="008F475A"/>
    <w:rsid w:val="008F4827"/>
    <w:rsid w:val="008F4A68"/>
    <w:rsid w:val="008F5187"/>
    <w:rsid w:val="008F5460"/>
    <w:rsid w:val="008F5D6B"/>
    <w:rsid w:val="008F60D8"/>
    <w:rsid w:val="00901A80"/>
    <w:rsid w:val="00901E32"/>
    <w:rsid w:val="00902727"/>
    <w:rsid w:val="00902778"/>
    <w:rsid w:val="0090312B"/>
    <w:rsid w:val="00904711"/>
    <w:rsid w:val="0090487D"/>
    <w:rsid w:val="00904EB5"/>
    <w:rsid w:val="00911B84"/>
    <w:rsid w:val="00912A30"/>
    <w:rsid w:val="00915070"/>
    <w:rsid w:val="009150AD"/>
    <w:rsid w:val="00916483"/>
    <w:rsid w:val="0091701F"/>
    <w:rsid w:val="0091705B"/>
    <w:rsid w:val="0091736D"/>
    <w:rsid w:val="00920456"/>
    <w:rsid w:val="00922F27"/>
    <w:rsid w:val="009233BC"/>
    <w:rsid w:val="00923534"/>
    <w:rsid w:val="00924B58"/>
    <w:rsid w:val="0092551A"/>
    <w:rsid w:val="0092582F"/>
    <w:rsid w:val="0092641E"/>
    <w:rsid w:val="00926756"/>
    <w:rsid w:val="00926D13"/>
    <w:rsid w:val="00926F03"/>
    <w:rsid w:val="009273BA"/>
    <w:rsid w:val="00927C51"/>
    <w:rsid w:val="0093037A"/>
    <w:rsid w:val="009310F5"/>
    <w:rsid w:val="00931D06"/>
    <w:rsid w:val="0093232A"/>
    <w:rsid w:val="00933E1A"/>
    <w:rsid w:val="00935EAD"/>
    <w:rsid w:val="009367E1"/>
    <w:rsid w:val="00936FC3"/>
    <w:rsid w:val="0093773C"/>
    <w:rsid w:val="00937D5A"/>
    <w:rsid w:val="009402BB"/>
    <w:rsid w:val="009404F1"/>
    <w:rsid w:val="0094154D"/>
    <w:rsid w:val="009425DB"/>
    <w:rsid w:val="009434EC"/>
    <w:rsid w:val="0094425E"/>
    <w:rsid w:val="00946099"/>
    <w:rsid w:val="0094699D"/>
    <w:rsid w:val="00947933"/>
    <w:rsid w:val="0095155F"/>
    <w:rsid w:val="009518AB"/>
    <w:rsid w:val="00951FDC"/>
    <w:rsid w:val="009520D4"/>
    <w:rsid w:val="0095282D"/>
    <w:rsid w:val="00954429"/>
    <w:rsid w:val="009555D3"/>
    <w:rsid w:val="00956087"/>
    <w:rsid w:val="009563CE"/>
    <w:rsid w:val="00957230"/>
    <w:rsid w:val="00957D84"/>
    <w:rsid w:val="00960263"/>
    <w:rsid w:val="00960E73"/>
    <w:rsid w:val="00961931"/>
    <w:rsid w:val="00961E07"/>
    <w:rsid w:val="00962C3C"/>
    <w:rsid w:val="0096394C"/>
    <w:rsid w:val="00963B79"/>
    <w:rsid w:val="00963CF2"/>
    <w:rsid w:val="009643FA"/>
    <w:rsid w:val="00965CF3"/>
    <w:rsid w:val="00966E60"/>
    <w:rsid w:val="0096756A"/>
    <w:rsid w:val="009702CB"/>
    <w:rsid w:val="00971913"/>
    <w:rsid w:val="00972565"/>
    <w:rsid w:val="00973DE2"/>
    <w:rsid w:val="00976328"/>
    <w:rsid w:val="0097680D"/>
    <w:rsid w:val="009772D1"/>
    <w:rsid w:val="0097743B"/>
    <w:rsid w:val="00977E26"/>
    <w:rsid w:val="00980639"/>
    <w:rsid w:val="00982438"/>
    <w:rsid w:val="00982696"/>
    <w:rsid w:val="00982A06"/>
    <w:rsid w:val="0098404C"/>
    <w:rsid w:val="009844EC"/>
    <w:rsid w:val="00984D01"/>
    <w:rsid w:val="00985283"/>
    <w:rsid w:val="009852C8"/>
    <w:rsid w:val="0098544E"/>
    <w:rsid w:val="009855C4"/>
    <w:rsid w:val="009857C9"/>
    <w:rsid w:val="009861FA"/>
    <w:rsid w:val="00990106"/>
    <w:rsid w:val="0099193C"/>
    <w:rsid w:val="0099308E"/>
    <w:rsid w:val="00993DFD"/>
    <w:rsid w:val="00994C10"/>
    <w:rsid w:val="00995992"/>
    <w:rsid w:val="00995F2F"/>
    <w:rsid w:val="009965AD"/>
    <w:rsid w:val="00996AA3"/>
    <w:rsid w:val="009A03E5"/>
    <w:rsid w:val="009A05CB"/>
    <w:rsid w:val="009A0EBE"/>
    <w:rsid w:val="009A0F3B"/>
    <w:rsid w:val="009A160D"/>
    <w:rsid w:val="009A1BB4"/>
    <w:rsid w:val="009A2025"/>
    <w:rsid w:val="009A2628"/>
    <w:rsid w:val="009A3200"/>
    <w:rsid w:val="009A3C77"/>
    <w:rsid w:val="009A4EC8"/>
    <w:rsid w:val="009A5282"/>
    <w:rsid w:val="009A5362"/>
    <w:rsid w:val="009A5D2C"/>
    <w:rsid w:val="009A63C6"/>
    <w:rsid w:val="009A7F54"/>
    <w:rsid w:val="009B03D1"/>
    <w:rsid w:val="009B0897"/>
    <w:rsid w:val="009B0C13"/>
    <w:rsid w:val="009B109B"/>
    <w:rsid w:val="009B1142"/>
    <w:rsid w:val="009B1420"/>
    <w:rsid w:val="009B14FF"/>
    <w:rsid w:val="009B1633"/>
    <w:rsid w:val="009B1E26"/>
    <w:rsid w:val="009B46E8"/>
    <w:rsid w:val="009B5752"/>
    <w:rsid w:val="009B5D38"/>
    <w:rsid w:val="009B7233"/>
    <w:rsid w:val="009B7BD9"/>
    <w:rsid w:val="009C1C4D"/>
    <w:rsid w:val="009C2DCD"/>
    <w:rsid w:val="009C3218"/>
    <w:rsid w:val="009C3FDE"/>
    <w:rsid w:val="009C48AA"/>
    <w:rsid w:val="009C6D10"/>
    <w:rsid w:val="009C6F55"/>
    <w:rsid w:val="009C735B"/>
    <w:rsid w:val="009C7ABE"/>
    <w:rsid w:val="009C7DD5"/>
    <w:rsid w:val="009D1A63"/>
    <w:rsid w:val="009D285C"/>
    <w:rsid w:val="009D3AA5"/>
    <w:rsid w:val="009D3EFB"/>
    <w:rsid w:val="009D78F9"/>
    <w:rsid w:val="009D7905"/>
    <w:rsid w:val="009E0268"/>
    <w:rsid w:val="009E227D"/>
    <w:rsid w:val="009E2AB1"/>
    <w:rsid w:val="009E3CA2"/>
    <w:rsid w:val="009E4204"/>
    <w:rsid w:val="009E4352"/>
    <w:rsid w:val="009E5019"/>
    <w:rsid w:val="009E6F09"/>
    <w:rsid w:val="009F0165"/>
    <w:rsid w:val="009F0707"/>
    <w:rsid w:val="009F1853"/>
    <w:rsid w:val="009F1927"/>
    <w:rsid w:val="009F3D87"/>
    <w:rsid w:val="009F4426"/>
    <w:rsid w:val="009F45F6"/>
    <w:rsid w:val="009F474E"/>
    <w:rsid w:val="009F5B64"/>
    <w:rsid w:val="009F619F"/>
    <w:rsid w:val="009F7E62"/>
    <w:rsid w:val="00A00E20"/>
    <w:rsid w:val="00A01E96"/>
    <w:rsid w:val="00A0432E"/>
    <w:rsid w:val="00A04F1B"/>
    <w:rsid w:val="00A0501B"/>
    <w:rsid w:val="00A0552E"/>
    <w:rsid w:val="00A05EB0"/>
    <w:rsid w:val="00A05EC1"/>
    <w:rsid w:val="00A06BA7"/>
    <w:rsid w:val="00A107B2"/>
    <w:rsid w:val="00A119C9"/>
    <w:rsid w:val="00A124CA"/>
    <w:rsid w:val="00A12844"/>
    <w:rsid w:val="00A12CAF"/>
    <w:rsid w:val="00A13BC8"/>
    <w:rsid w:val="00A14947"/>
    <w:rsid w:val="00A15194"/>
    <w:rsid w:val="00A15C84"/>
    <w:rsid w:val="00A15E03"/>
    <w:rsid w:val="00A16387"/>
    <w:rsid w:val="00A22DD3"/>
    <w:rsid w:val="00A2583E"/>
    <w:rsid w:val="00A25A42"/>
    <w:rsid w:val="00A27680"/>
    <w:rsid w:val="00A3038E"/>
    <w:rsid w:val="00A3077A"/>
    <w:rsid w:val="00A30AAB"/>
    <w:rsid w:val="00A30B73"/>
    <w:rsid w:val="00A32586"/>
    <w:rsid w:val="00A328C1"/>
    <w:rsid w:val="00A32A83"/>
    <w:rsid w:val="00A32C77"/>
    <w:rsid w:val="00A34502"/>
    <w:rsid w:val="00A34F53"/>
    <w:rsid w:val="00A368DB"/>
    <w:rsid w:val="00A37929"/>
    <w:rsid w:val="00A40718"/>
    <w:rsid w:val="00A409DB"/>
    <w:rsid w:val="00A41A7D"/>
    <w:rsid w:val="00A423AA"/>
    <w:rsid w:val="00A43169"/>
    <w:rsid w:val="00A431ED"/>
    <w:rsid w:val="00A43402"/>
    <w:rsid w:val="00A44B76"/>
    <w:rsid w:val="00A47734"/>
    <w:rsid w:val="00A47B9B"/>
    <w:rsid w:val="00A47F34"/>
    <w:rsid w:val="00A501C6"/>
    <w:rsid w:val="00A5037C"/>
    <w:rsid w:val="00A5089A"/>
    <w:rsid w:val="00A518D3"/>
    <w:rsid w:val="00A52551"/>
    <w:rsid w:val="00A534FB"/>
    <w:rsid w:val="00A53EC6"/>
    <w:rsid w:val="00A55C0F"/>
    <w:rsid w:val="00A56180"/>
    <w:rsid w:val="00A56C18"/>
    <w:rsid w:val="00A575FB"/>
    <w:rsid w:val="00A5788D"/>
    <w:rsid w:val="00A60B43"/>
    <w:rsid w:val="00A634F1"/>
    <w:rsid w:val="00A65500"/>
    <w:rsid w:val="00A657FB"/>
    <w:rsid w:val="00A70261"/>
    <w:rsid w:val="00A70B2B"/>
    <w:rsid w:val="00A71051"/>
    <w:rsid w:val="00A715FE"/>
    <w:rsid w:val="00A7224B"/>
    <w:rsid w:val="00A723A8"/>
    <w:rsid w:val="00A729AF"/>
    <w:rsid w:val="00A73666"/>
    <w:rsid w:val="00A73B53"/>
    <w:rsid w:val="00A740A3"/>
    <w:rsid w:val="00A7441C"/>
    <w:rsid w:val="00A74E88"/>
    <w:rsid w:val="00A760F6"/>
    <w:rsid w:val="00A779F0"/>
    <w:rsid w:val="00A779F6"/>
    <w:rsid w:val="00A800EC"/>
    <w:rsid w:val="00A81295"/>
    <w:rsid w:val="00A8274F"/>
    <w:rsid w:val="00A8288A"/>
    <w:rsid w:val="00A82A2D"/>
    <w:rsid w:val="00A82BD2"/>
    <w:rsid w:val="00A83796"/>
    <w:rsid w:val="00A85025"/>
    <w:rsid w:val="00A85751"/>
    <w:rsid w:val="00A85FC9"/>
    <w:rsid w:val="00A8713F"/>
    <w:rsid w:val="00A90BA1"/>
    <w:rsid w:val="00A90F81"/>
    <w:rsid w:val="00A931FD"/>
    <w:rsid w:val="00A96C9F"/>
    <w:rsid w:val="00A972C0"/>
    <w:rsid w:val="00A97686"/>
    <w:rsid w:val="00A97A9A"/>
    <w:rsid w:val="00AA017E"/>
    <w:rsid w:val="00AA0671"/>
    <w:rsid w:val="00AA10EC"/>
    <w:rsid w:val="00AA18BD"/>
    <w:rsid w:val="00AA19AF"/>
    <w:rsid w:val="00AA2531"/>
    <w:rsid w:val="00AA25D0"/>
    <w:rsid w:val="00AA3144"/>
    <w:rsid w:val="00AA4373"/>
    <w:rsid w:val="00AA4AA1"/>
    <w:rsid w:val="00AA4C44"/>
    <w:rsid w:val="00AA51C4"/>
    <w:rsid w:val="00AA560E"/>
    <w:rsid w:val="00AA62FA"/>
    <w:rsid w:val="00AA6B65"/>
    <w:rsid w:val="00AA6C9E"/>
    <w:rsid w:val="00AA7222"/>
    <w:rsid w:val="00AA7DDF"/>
    <w:rsid w:val="00AB0326"/>
    <w:rsid w:val="00AB06BB"/>
    <w:rsid w:val="00AB0A69"/>
    <w:rsid w:val="00AB1291"/>
    <w:rsid w:val="00AB152F"/>
    <w:rsid w:val="00AB1696"/>
    <w:rsid w:val="00AB1E09"/>
    <w:rsid w:val="00AB2855"/>
    <w:rsid w:val="00AB33C5"/>
    <w:rsid w:val="00AB4169"/>
    <w:rsid w:val="00AB5330"/>
    <w:rsid w:val="00AB55CB"/>
    <w:rsid w:val="00AB62F3"/>
    <w:rsid w:val="00AB6980"/>
    <w:rsid w:val="00AB6B44"/>
    <w:rsid w:val="00AB737B"/>
    <w:rsid w:val="00AB73CB"/>
    <w:rsid w:val="00AB7747"/>
    <w:rsid w:val="00AC0E2F"/>
    <w:rsid w:val="00AC0F7C"/>
    <w:rsid w:val="00AC14CE"/>
    <w:rsid w:val="00AC1DA3"/>
    <w:rsid w:val="00AC1F51"/>
    <w:rsid w:val="00AC2A56"/>
    <w:rsid w:val="00AC3075"/>
    <w:rsid w:val="00AC3697"/>
    <w:rsid w:val="00AC4022"/>
    <w:rsid w:val="00AC46DB"/>
    <w:rsid w:val="00AC53F0"/>
    <w:rsid w:val="00AC6444"/>
    <w:rsid w:val="00AC6643"/>
    <w:rsid w:val="00AC715F"/>
    <w:rsid w:val="00AC7862"/>
    <w:rsid w:val="00AD0482"/>
    <w:rsid w:val="00AD055E"/>
    <w:rsid w:val="00AD12C7"/>
    <w:rsid w:val="00AD181E"/>
    <w:rsid w:val="00AD1D9C"/>
    <w:rsid w:val="00AD4546"/>
    <w:rsid w:val="00AD47A7"/>
    <w:rsid w:val="00AD69F0"/>
    <w:rsid w:val="00AD7340"/>
    <w:rsid w:val="00AE1265"/>
    <w:rsid w:val="00AE1A1F"/>
    <w:rsid w:val="00AE1A94"/>
    <w:rsid w:val="00AE3A64"/>
    <w:rsid w:val="00AE3C04"/>
    <w:rsid w:val="00AE463B"/>
    <w:rsid w:val="00AE493A"/>
    <w:rsid w:val="00AE50E0"/>
    <w:rsid w:val="00AE5726"/>
    <w:rsid w:val="00AE7651"/>
    <w:rsid w:val="00AE7A1D"/>
    <w:rsid w:val="00AF0453"/>
    <w:rsid w:val="00AF0CBF"/>
    <w:rsid w:val="00AF11F2"/>
    <w:rsid w:val="00AF257F"/>
    <w:rsid w:val="00AF33CF"/>
    <w:rsid w:val="00AF4D50"/>
    <w:rsid w:val="00AF5291"/>
    <w:rsid w:val="00AF532D"/>
    <w:rsid w:val="00AF6179"/>
    <w:rsid w:val="00AF6496"/>
    <w:rsid w:val="00AF66D2"/>
    <w:rsid w:val="00AF68AB"/>
    <w:rsid w:val="00AF6B44"/>
    <w:rsid w:val="00AF7006"/>
    <w:rsid w:val="00AF759B"/>
    <w:rsid w:val="00AF7834"/>
    <w:rsid w:val="00B00D14"/>
    <w:rsid w:val="00B0168D"/>
    <w:rsid w:val="00B01C6F"/>
    <w:rsid w:val="00B024C4"/>
    <w:rsid w:val="00B03CC7"/>
    <w:rsid w:val="00B0511C"/>
    <w:rsid w:val="00B05390"/>
    <w:rsid w:val="00B0768E"/>
    <w:rsid w:val="00B07B7A"/>
    <w:rsid w:val="00B102B2"/>
    <w:rsid w:val="00B10753"/>
    <w:rsid w:val="00B11518"/>
    <w:rsid w:val="00B11C14"/>
    <w:rsid w:val="00B1295A"/>
    <w:rsid w:val="00B12D87"/>
    <w:rsid w:val="00B15663"/>
    <w:rsid w:val="00B15E31"/>
    <w:rsid w:val="00B15E73"/>
    <w:rsid w:val="00B16362"/>
    <w:rsid w:val="00B16572"/>
    <w:rsid w:val="00B16ECE"/>
    <w:rsid w:val="00B17377"/>
    <w:rsid w:val="00B17424"/>
    <w:rsid w:val="00B17C7C"/>
    <w:rsid w:val="00B20A45"/>
    <w:rsid w:val="00B21050"/>
    <w:rsid w:val="00B21EF6"/>
    <w:rsid w:val="00B22C5C"/>
    <w:rsid w:val="00B23BE3"/>
    <w:rsid w:val="00B24A4F"/>
    <w:rsid w:val="00B24F30"/>
    <w:rsid w:val="00B2512A"/>
    <w:rsid w:val="00B25B2E"/>
    <w:rsid w:val="00B26AD1"/>
    <w:rsid w:val="00B273A3"/>
    <w:rsid w:val="00B30C94"/>
    <w:rsid w:val="00B31ABF"/>
    <w:rsid w:val="00B33628"/>
    <w:rsid w:val="00B33B67"/>
    <w:rsid w:val="00B33BE3"/>
    <w:rsid w:val="00B34BF2"/>
    <w:rsid w:val="00B35573"/>
    <w:rsid w:val="00B35EFD"/>
    <w:rsid w:val="00B36131"/>
    <w:rsid w:val="00B36266"/>
    <w:rsid w:val="00B36934"/>
    <w:rsid w:val="00B37EC3"/>
    <w:rsid w:val="00B404E9"/>
    <w:rsid w:val="00B43E38"/>
    <w:rsid w:val="00B43EBB"/>
    <w:rsid w:val="00B44962"/>
    <w:rsid w:val="00B44E2C"/>
    <w:rsid w:val="00B451FA"/>
    <w:rsid w:val="00B47306"/>
    <w:rsid w:val="00B5206E"/>
    <w:rsid w:val="00B52858"/>
    <w:rsid w:val="00B528DE"/>
    <w:rsid w:val="00B53B5D"/>
    <w:rsid w:val="00B5513A"/>
    <w:rsid w:val="00B57635"/>
    <w:rsid w:val="00B60175"/>
    <w:rsid w:val="00B603B3"/>
    <w:rsid w:val="00B603CF"/>
    <w:rsid w:val="00B6055E"/>
    <w:rsid w:val="00B61595"/>
    <w:rsid w:val="00B621D0"/>
    <w:rsid w:val="00B6317D"/>
    <w:rsid w:val="00B639D5"/>
    <w:rsid w:val="00B64581"/>
    <w:rsid w:val="00B6543B"/>
    <w:rsid w:val="00B704E9"/>
    <w:rsid w:val="00B708A3"/>
    <w:rsid w:val="00B708E3"/>
    <w:rsid w:val="00B72014"/>
    <w:rsid w:val="00B72958"/>
    <w:rsid w:val="00B7304B"/>
    <w:rsid w:val="00B74671"/>
    <w:rsid w:val="00B756D4"/>
    <w:rsid w:val="00B76023"/>
    <w:rsid w:val="00B7603A"/>
    <w:rsid w:val="00B76BD5"/>
    <w:rsid w:val="00B76E6C"/>
    <w:rsid w:val="00B7723F"/>
    <w:rsid w:val="00B7724D"/>
    <w:rsid w:val="00B77763"/>
    <w:rsid w:val="00B7783A"/>
    <w:rsid w:val="00B80534"/>
    <w:rsid w:val="00B82C3E"/>
    <w:rsid w:val="00B82E12"/>
    <w:rsid w:val="00B8315A"/>
    <w:rsid w:val="00B838A9"/>
    <w:rsid w:val="00B83936"/>
    <w:rsid w:val="00B8433C"/>
    <w:rsid w:val="00B854B4"/>
    <w:rsid w:val="00B87491"/>
    <w:rsid w:val="00B8751F"/>
    <w:rsid w:val="00B87F05"/>
    <w:rsid w:val="00B90A24"/>
    <w:rsid w:val="00B91CBE"/>
    <w:rsid w:val="00B93DB8"/>
    <w:rsid w:val="00B95777"/>
    <w:rsid w:val="00B957B7"/>
    <w:rsid w:val="00B95880"/>
    <w:rsid w:val="00B97208"/>
    <w:rsid w:val="00B9771A"/>
    <w:rsid w:val="00BA19EC"/>
    <w:rsid w:val="00BA1E7B"/>
    <w:rsid w:val="00BA1F3E"/>
    <w:rsid w:val="00BA2429"/>
    <w:rsid w:val="00BA29E9"/>
    <w:rsid w:val="00BA3B67"/>
    <w:rsid w:val="00BA3FF1"/>
    <w:rsid w:val="00BA4044"/>
    <w:rsid w:val="00BA4B2D"/>
    <w:rsid w:val="00BA7142"/>
    <w:rsid w:val="00BA73F7"/>
    <w:rsid w:val="00BA7A31"/>
    <w:rsid w:val="00BB0F70"/>
    <w:rsid w:val="00BB237C"/>
    <w:rsid w:val="00BB24C1"/>
    <w:rsid w:val="00BB2D9C"/>
    <w:rsid w:val="00BB2F42"/>
    <w:rsid w:val="00BB38B6"/>
    <w:rsid w:val="00BB3ADD"/>
    <w:rsid w:val="00BB41A3"/>
    <w:rsid w:val="00BB5431"/>
    <w:rsid w:val="00BB5707"/>
    <w:rsid w:val="00BB605D"/>
    <w:rsid w:val="00BB6545"/>
    <w:rsid w:val="00BB6D03"/>
    <w:rsid w:val="00BB7AF1"/>
    <w:rsid w:val="00BB7F8F"/>
    <w:rsid w:val="00BC0925"/>
    <w:rsid w:val="00BC0F11"/>
    <w:rsid w:val="00BC0FFE"/>
    <w:rsid w:val="00BC1029"/>
    <w:rsid w:val="00BC32DC"/>
    <w:rsid w:val="00BC35B6"/>
    <w:rsid w:val="00BC49DE"/>
    <w:rsid w:val="00BC4B15"/>
    <w:rsid w:val="00BC60E0"/>
    <w:rsid w:val="00BC6933"/>
    <w:rsid w:val="00BC6B47"/>
    <w:rsid w:val="00BD146C"/>
    <w:rsid w:val="00BD18DD"/>
    <w:rsid w:val="00BD1B51"/>
    <w:rsid w:val="00BD2720"/>
    <w:rsid w:val="00BD32FA"/>
    <w:rsid w:val="00BD3338"/>
    <w:rsid w:val="00BD41AA"/>
    <w:rsid w:val="00BD4596"/>
    <w:rsid w:val="00BD54FC"/>
    <w:rsid w:val="00BD574E"/>
    <w:rsid w:val="00BD6173"/>
    <w:rsid w:val="00BD6264"/>
    <w:rsid w:val="00BD653E"/>
    <w:rsid w:val="00BD7FCF"/>
    <w:rsid w:val="00BE0E12"/>
    <w:rsid w:val="00BE1391"/>
    <w:rsid w:val="00BE1405"/>
    <w:rsid w:val="00BE1481"/>
    <w:rsid w:val="00BE1767"/>
    <w:rsid w:val="00BE199D"/>
    <w:rsid w:val="00BE312D"/>
    <w:rsid w:val="00BE35D4"/>
    <w:rsid w:val="00BE46F0"/>
    <w:rsid w:val="00BE4A5E"/>
    <w:rsid w:val="00BE4E10"/>
    <w:rsid w:val="00BE553C"/>
    <w:rsid w:val="00BE5E05"/>
    <w:rsid w:val="00BE730B"/>
    <w:rsid w:val="00BE77D7"/>
    <w:rsid w:val="00BF0B2E"/>
    <w:rsid w:val="00BF1220"/>
    <w:rsid w:val="00BF1C20"/>
    <w:rsid w:val="00BF1F1A"/>
    <w:rsid w:val="00BF30CF"/>
    <w:rsid w:val="00BF30E1"/>
    <w:rsid w:val="00BF3645"/>
    <w:rsid w:val="00BF3A25"/>
    <w:rsid w:val="00BF3FDD"/>
    <w:rsid w:val="00BF471B"/>
    <w:rsid w:val="00BF4CBC"/>
    <w:rsid w:val="00BF519A"/>
    <w:rsid w:val="00BF56B4"/>
    <w:rsid w:val="00BF6A5D"/>
    <w:rsid w:val="00BF71B8"/>
    <w:rsid w:val="00BF73C4"/>
    <w:rsid w:val="00BF7CC0"/>
    <w:rsid w:val="00C0203E"/>
    <w:rsid w:val="00C0284B"/>
    <w:rsid w:val="00C02D51"/>
    <w:rsid w:val="00C03AAB"/>
    <w:rsid w:val="00C04571"/>
    <w:rsid w:val="00C04DFA"/>
    <w:rsid w:val="00C05784"/>
    <w:rsid w:val="00C05BD6"/>
    <w:rsid w:val="00C0647B"/>
    <w:rsid w:val="00C06712"/>
    <w:rsid w:val="00C06CC6"/>
    <w:rsid w:val="00C07595"/>
    <w:rsid w:val="00C07801"/>
    <w:rsid w:val="00C10578"/>
    <w:rsid w:val="00C12135"/>
    <w:rsid w:val="00C135BC"/>
    <w:rsid w:val="00C138BB"/>
    <w:rsid w:val="00C145B2"/>
    <w:rsid w:val="00C146D0"/>
    <w:rsid w:val="00C15C95"/>
    <w:rsid w:val="00C168EC"/>
    <w:rsid w:val="00C20699"/>
    <w:rsid w:val="00C21A7E"/>
    <w:rsid w:val="00C22129"/>
    <w:rsid w:val="00C224C3"/>
    <w:rsid w:val="00C22862"/>
    <w:rsid w:val="00C2299B"/>
    <w:rsid w:val="00C22D71"/>
    <w:rsid w:val="00C236D7"/>
    <w:rsid w:val="00C23BC6"/>
    <w:rsid w:val="00C23D0E"/>
    <w:rsid w:val="00C24437"/>
    <w:rsid w:val="00C2596A"/>
    <w:rsid w:val="00C27537"/>
    <w:rsid w:val="00C3043D"/>
    <w:rsid w:val="00C3255C"/>
    <w:rsid w:val="00C328FE"/>
    <w:rsid w:val="00C32A8D"/>
    <w:rsid w:val="00C33507"/>
    <w:rsid w:val="00C3420E"/>
    <w:rsid w:val="00C35C01"/>
    <w:rsid w:val="00C3633F"/>
    <w:rsid w:val="00C36434"/>
    <w:rsid w:val="00C36791"/>
    <w:rsid w:val="00C36CA7"/>
    <w:rsid w:val="00C36CB4"/>
    <w:rsid w:val="00C40029"/>
    <w:rsid w:val="00C4118F"/>
    <w:rsid w:val="00C41619"/>
    <w:rsid w:val="00C41AA6"/>
    <w:rsid w:val="00C422B0"/>
    <w:rsid w:val="00C42588"/>
    <w:rsid w:val="00C429C2"/>
    <w:rsid w:val="00C42F2F"/>
    <w:rsid w:val="00C438CE"/>
    <w:rsid w:val="00C43F12"/>
    <w:rsid w:val="00C4409D"/>
    <w:rsid w:val="00C4417A"/>
    <w:rsid w:val="00C44373"/>
    <w:rsid w:val="00C44E72"/>
    <w:rsid w:val="00C44F15"/>
    <w:rsid w:val="00C45651"/>
    <w:rsid w:val="00C45A06"/>
    <w:rsid w:val="00C47098"/>
    <w:rsid w:val="00C47D26"/>
    <w:rsid w:val="00C47E5B"/>
    <w:rsid w:val="00C5029A"/>
    <w:rsid w:val="00C50F49"/>
    <w:rsid w:val="00C5170F"/>
    <w:rsid w:val="00C51CEA"/>
    <w:rsid w:val="00C52225"/>
    <w:rsid w:val="00C52933"/>
    <w:rsid w:val="00C53D74"/>
    <w:rsid w:val="00C54E4D"/>
    <w:rsid w:val="00C555BE"/>
    <w:rsid w:val="00C6057B"/>
    <w:rsid w:val="00C60D8C"/>
    <w:rsid w:val="00C61ACE"/>
    <w:rsid w:val="00C61E4B"/>
    <w:rsid w:val="00C62F57"/>
    <w:rsid w:val="00C644A9"/>
    <w:rsid w:val="00C64A95"/>
    <w:rsid w:val="00C64BFF"/>
    <w:rsid w:val="00C64D24"/>
    <w:rsid w:val="00C64E2F"/>
    <w:rsid w:val="00C653D2"/>
    <w:rsid w:val="00C66716"/>
    <w:rsid w:val="00C66B94"/>
    <w:rsid w:val="00C675AD"/>
    <w:rsid w:val="00C67B84"/>
    <w:rsid w:val="00C704E9"/>
    <w:rsid w:val="00C7050F"/>
    <w:rsid w:val="00C70993"/>
    <w:rsid w:val="00C71E6B"/>
    <w:rsid w:val="00C754A0"/>
    <w:rsid w:val="00C758C2"/>
    <w:rsid w:val="00C763C9"/>
    <w:rsid w:val="00C76B51"/>
    <w:rsid w:val="00C77045"/>
    <w:rsid w:val="00C77C5E"/>
    <w:rsid w:val="00C80057"/>
    <w:rsid w:val="00C81287"/>
    <w:rsid w:val="00C82232"/>
    <w:rsid w:val="00C82913"/>
    <w:rsid w:val="00C84FFF"/>
    <w:rsid w:val="00C854C3"/>
    <w:rsid w:val="00C8592F"/>
    <w:rsid w:val="00C8736E"/>
    <w:rsid w:val="00C87E80"/>
    <w:rsid w:val="00C907D2"/>
    <w:rsid w:val="00C90F54"/>
    <w:rsid w:val="00C9164E"/>
    <w:rsid w:val="00C92196"/>
    <w:rsid w:val="00C92D81"/>
    <w:rsid w:val="00C9389A"/>
    <w:rsid w:val="00C93E73"/>
    <w:rsid w:val="00C94555"/>
    <w:rsid w:val="00C95478"/>
    <w:rsid w:val="00C95F08"/>
    <w:rsid w:val="00C972B1"/>
    <w:rsid w:val="00CA0034"/>
    <w:rsid w:val="00CA0B64"/>
    <w:rsid w:val="00CA2CCE"/>
    <w:rsid w:val="00CA2DAA"/>
    <w:rsid w:val="00CA2EDB"/>
    <w:rsid w:val="00CA43FD"/>
    <w:rsid w:val="00CA4D7E"/>
    <w:rsid w:val="00CA7EF8"/>
    <w:rsid w:val="00CB29A3"/>
    <w:rsid w:val="00CB317C"/>
    <w:rsid w:val="00CB31F9"/>
    <w:rsid w:val="00CB37B6"/>
    <w:rsid w:val="00CB40A0"/>
    <w:rsid w:val="00CB4795"/>
    <w:rsid w:val="00CB5116"/>
    <w:rsid w:val="00CB5AFB"/>
    <w:rsid w:val="00CB5E0F"/>
    <w:rsid w:val="00CB76F0"/>
    <w:rsid w:val="00CB77E3"/>
    <w:rsid w:val="00CC0288"/>
    <w:rsid w:val="00CC0852"/>
    <w:rsid w:val="00CC25CF"/>
    <w:rsid w:val="00CC2991"/>
    <w:rsid w:val="00CC4489"/>
    <w:rsid w:val="00CC489B"/>
    <w:rsid w:val="00CD0233"/>
    <w:rsid w:val="00CD11CE"/>
    <w:rsid w:val="00CD173B"/>
    <w:rsid w:val="00CD19FA"/>
    <w:rsid w:val="00CD28F6"/>
    <w:rsid w:val="00CD2BCD"/>
    <w:rsid w:val="00CD2D5D"/>
    <w:rsid w:val="00CD2F07"/>
    <w:rsid w:val="00CD307C"/>
    <w:rsid w:val="00CD3530"/>
    <w:rsid w:val="00CD3A4C"/>
    <w:rsid w:val="00CD456E"/>
    <w:rsid w:val="00CD5F6C"/>
    <w:rsid w:val="00CD63E2"/>
    <w:rsid w:val="00CD78DE"/>
    <w:rsid w:val="00CD79F3"/>
    <w:rsid w:val="00CE0B47"/>
    <w:rsid w:val="00CE10E9"/>
    <w:rsid w:val="00CE19F5"/>
    <w:rsid w:val="00CE1DB9"/>
    <w:rsid w:val="00CE20DE"/>
    <w:rsid w:val="00CE2420"/>
    <w:rsid w:val="00CE2910"/>
    <w:rsid w:val="00CE320D"/>
    <w:rsid w:val="00CE394D"/>
    <w:rsid w:val="00CE422F"/>
    <w:rsid w:val="00CE4A12"/>
    <w:rsid w:val="00CE5270"/>
    <w:rsid w:val="00CE52B8"/>
    <w:rsid w:val="00CE5334"/>
    <w:rsid w:val="00CE5393"/>
    <w:rsid w:val="00CE5DB9"/>
    <w:rsid w:val="00CE63BA"/>
    <w:rsid w:val="00CE6668"/>
    <w:rsid w:val="00CE7A97"/>
    <w:rsid w:val="00CF0145"/>
    <w:rsid w:val="00CF30D7"/>
    <w:rsid w:val="00CF3255"/>
    <w:rsid w:val="00CF36BE"/>
    <w:rsid w:val="00CF40DD"/>
    <w:rsid w:val="00CF539D"/>
    <w:rsid w:val="00CF5790"/>
    <w:rsid w:val="00CF6000"/>
    <w:rsid w:val="00CF6516"/>
    <w:rsid w:val="00CF772D"/>
    <w:rsid w:val="00CF7F2A"/>
    <w:rsid w:val="00D003F3"/>
    <w:rsid w:val="00D00A86"/>
    <w:rsid w:val="00D00ACB"/>
    <w:rsid w:val="00D00CB2"/>
    <w:rsid w:val="00D01C26"/>
    <w:rsid w:val="00D01C9F"/>
    <w:rsid w:val="00D02267"/>
    <w:rsid w:val="00D02919"/>
    <w:rsid w:val="00D02B18"/>
    <w:rsid w:val="00D0352D"/>
    <w:rsid w:val="00D0364F"/>
    <w:rsid w:val="00D048C5"/>
    <w:rsid w:val="00D04DB7"/>
    <w:rsid w:val="00D06834"/>
    <w:rsid w:val="00D06AF7"/>
    <w:rsid w:val="00D07487"/>
    <w:rsid w:val="00D0785B"/>
    <w:rsid w:val="00D107D9"/>
    <w:rsid w:val="00D1155B"/>
    <w:rsid w:val="00D11A41"/>
    <w:rsid w:val="00D120D5"/>
    <w:rsid w:val="00D13C66"/>
    <w:rsid w:val="00D165D6"/>
    <w:rsid w:val="00D16D7B"/>
    <w:rsid w:val="00D16E8C"/>
    <w:rsid w:val="00D20B71"/>
    <w:rsid w:val="00D2114B"/>
    <w:rsid w:val="00D212FD"/>
    <w:rsid w:val="00D225D8"/>
    <w:rsid w:val="00D22930"/>
    <w:rsid w:val="00D22F15"/>
    <w:rsid w:val="00D2386A"/>
    <w:rsid w:val="00D23A85"/>
    <w:rsid w:val="00D264A4"/>
    <w:rsid w:val="00D26C55"/>
    <w:rsid w:val="00D275F6"/>
    <w:rsid w:val="00D300E2"/>
    <w:rsid w:val="00D308ED"/>
    <w:rsid w:val="00D31DFF"/>
    <w:rsid w:val="00D32874"/>
    <w:rsid w:val="00D33E3A"/>
    <w:rsid w:val="00D34DB5"/>
    <w:rsid w:val="00D35307"/>
    <w:rsid w:val="00D357CF"/>
    <w:rsid w:val="00D369D1"/>
    <w:rsid w:val="00D36D86"/>
    <w:rsid w:val="00D3763A"/>
    <w:rsid w:val="00D40632"/>
    <w:rsid w:val="00D407B2"/>
    <w:rsid w:val="00D417FA"/>
    <w:rsid w:val="00D42687"/>
    <w:rsid w:val="00D426E1"/>
    <w:rsid w:val="00D428AA"/>
    <w:rsid w:val="00D43A60"/>
    <w:rsid w:val="00D44661"/>
    <w:rsid w:val="00D45243"/>
    <w:rsid w:val="00D45FA2"/>
    <w:rsid w:val="00D465F3"/>
    <w:rsid w:val="00D471D7"/>
    <w:rsid w:val="00D47692"/>
    <w:rsid w:val="00D50777"/>
    <w:rsid w:val="00D50A34"/>
    <w:rsid w:val="00D50E73"/>
    <w:rsid w:val="00D51402"/>
    <w:rsid w:val="00D51793"/>
    <w:rsid w:val="00D51DBF"/>
    <w:rsid w:val="00D53EFA"/>
    <w:rsid w:val="00D540A9"/>
    <w:rsid w:val="00D54272"/>
    <w:rsid w:val="00D54427"/>
    <w:rsid w:val="00D54CA7"/>
    <w:rsid w:val="00D5583C"/>
    <w:rsid w:val="00D562EA"/>
    <w:rsid w:val="00D5683A"/>
    <w:rsid w:val="00D56A74"/>
    <w:rsid w:val="00D5765D"/>
    <w:rsid w:val="00D577A3"/>
    <w:rsid w:val="00D577FA"/>
    <w:rsid w:val="00D60A30"/>
    <w:rsid w:val="00D62374"/>
    <w:rsid w:val="00D62763"/>
    <w:rsid w:val="00D629F4"/>
    <w:rsid w:val="00D62EBA"/>
    <w:rsid w:val="00D62F32"/>
    <w:rsid w:val="00D64154"/>
    <w:rsid w:val="00D6444B"/>
    <w:rsid w:val="00D66335"/>
    <w:rsid w:val="00D66857"/>
    <w:rsid w:val="00D66ECA"/>
    <w:rsid w:val="00D67F33"/>
    <w:rsid w:val="00D7017E"/>
    <w:rsid w:val="00D703CB"/>
    <w:rsid w:val="00D70EC5"/>
    <w:rsid w:val="00D713DC"/>
    <w:rsid w:val="00D71C6B"/>
    <w:rsid w:val="00D71D60"/>
    <w:rsid w:val="00D71FA6"/>
    <w:rsid w:val="00D72601"/>
    <w:rsid w:val="00D72B4C"/>
    <w:rsid w:val="00D72C1C"/>
    <w:rsid w:val="00D72CAA"/>
    <w:rsid w:val="00D74342"/>
    <w:rsid w:val="00D74BD6"/>
    <w:rsid w:val="00D755C1"/>
    <w:rsid w:val="00D762DE"/>
    <w:rsid w:val="00D80901"/>
    <w:rsid w:val="00D81422"/>
    <w:rsid w:val="00D8194E"/>
    <w:rsid w:val="00D81A4A"/>
    <w:rsid w:val="00D83660"/>
    <w:rsid w:val="00D8458C"/>
    <w:rsid w:val="00D86FED"/>
    <w:rsid w:val="00D8712A"/>
    <w:rsid w:val="00D875D5"/>
    <w:rsid w:val="00D87ECC"/>
    <w:rsid w:val="00D907DE"/>
    <w:rsid w:val="00D90D1D"/>
    <w:rsid w:val="00D91175"/>
    <w:rsid w:val="00D9158D"/>
    <w:rsid w:val="00D91E36"/>
    <w:rsid w:val="00D92CBC"/>
    <w:rsid w:val="00D9400C"/>
    <w:rsid w:val="00D948E6"/>
    <w:rsid w:val="00D94A7C"/>
    <w:rsid w:val="00D953E2"/>
    <w:rsid w:val="00D95896"/>
    <w:rsid w:val="00DA12C1"/>
    <w:rsid w:val="00DA169E"/>
    <w:rsid w:val="00DA17CC"/>
    <w:rsid w:val="00DA2572"/>
    <w:rsid w:val="00DA3BAA"/>
    <w:rsid w:val="00DA43CD"/>
    <w:rsid w:val="00DA4DFB"/>
    <w:rsid w:val="00DA5D6D"/>
    <w:rsid w:val="00DA7A90"/>
    <w:rsid w:val="00DB01F8"/>
    <w:rsid w:val="00DB0208"/>
    <w:rsid w:val="00DB11FE"/>
    <w:rsid w:val="00DB2983"/>
    <w:rsid w:val="00DB39F8"/>
    <w:rsid w:val="00DB423D"/>
    <w:rsid w:val="00DB5D84"/>
    <w:rsid w:val="00DB7339"/>
    <w:rsid w:val="00DB7656"/>
    <w:rsid w:val="00DC03AD"/>
    <w:rsid w:val="00DC0769"/>
    <w:rsid w:val="00DC1257"/>
    <w:rsid w:val="00DC1C6D"/>
    <w:rsid w:val="00DC24F1"/>
    <w:rsid w:val="00DC2724"/>
    <w:rsid w:val="00DC2BD3"/>
    <w:rsid w:val="00DC2DB9"/>
    <w:rsid w:val="00DC2FD8"/>
    <w:rsid w:val="00DC3DC0"/>
    <w:rsid w:val="00DC48EC"/>
    <w:rsid w:val="00DC5B2B"/>
    <w:rsid w:val="00DC5CE9"/>
    <w:rsid w:val="00DC6AD4"/>
    <w:rsid w:val="00DC7196"/>
    <w:rsid w:val="00DD0749"/>
    <w:rsid w:val="00DD0A54"/>
    <w:rsid w:val="00DD1883"/>
    <w:rsid w:val="00DD1D38"/>
    <w:rsid w:val="00DD1F6A"/>
    <w:rsid w:val="00DD1F8B"/>
    <w:rsid w:val="00DD2719"/>
    <w:rsid w:val="00DD318D"/>
    <w:rsid w:val="00DD3713"/>
    <w:rsid w:val="00DD3C51"/>
    <w:rsid w:val="00DD4DCB"/>
    <w:rsid w:val="00DD5ECA"/>
    <w:rsid w:val="00DD5EDB"/>
    <w:rsid w:val="00DD62B1"/>
    <w:rsid w:val="00DD6B8B"/>
    <w:rsid w:val="00DE00C2"/>
    <w:rsid w:val="00DE16D6"/>
    <w:rsid w:val="00DE1D07"/>
    <w:rsid w:val="00DE1FA3"/>
    <w:rsid w:val="00DE2549"/>
    <w:rsid w:val="00DE2B5B"/>
    <w:rsid w:val="00DE3924"/>
    <w:rsid w:val="00DE3B10"/>
    <w:rsid w:val="00DE4296"/>
    <w:rsid w:val="00DE5C58"/>
    <w:rsid w:val="00DE6D2D"/>
    <w:rsid w:val="00DE7BA8"/>
    <w:rsid w:val="00DE7E9F"/>
    <w:rsid w:val="00DF000C"/>
    <w:rsid w:val="00DF2E12"/>
    <w:rsid w:val="00DF4DFC"/>
    <w:rsid w:val="00DF4F70"/>
    <w:rsid w:val="00DF514A"/>
    <w:rsid w:val="00DF5B4E"/>
    <w:rsid w:val="00DF5C2B"/>
    <w:rsid w:val="00DF5E7C"/>
    <w:rsid w:val="00DF6690"/>
    <w:rsid w:val="00DF6804"/>
    <w:rsid w:val="00E020C3"/>
    <w:rsid w:val="00E0213A"/>
    <w:rsid w:val="00E0358D"/>
    <w:rsid w:val="00E0416C"/>
    <w:rsid w:val="00E04323"/>
    <w:rsid w:val="00E06557"/>
    <w:rsid w:val="00E070A2"/>
    <w:rsid w:val="00E10656"/>
    <w:rsid w:val="00E11410"/>
    <w:rsid w:val="00E122BF"/>
    <w:rsid w:val="00E12316"/>
    <w:rsid w:val="00E13695"/>
    <w:rsid w:val="00E150D9"/>
    <w:rsid w:val="00E155C8"/>
    <w:rsid w:val="00E16B3A"/>
    <w:rsid w:val="00E16F10"/>
    <w:rsid w:val="00E1726C"/>
    <w:rsid w:val="00E17828"/>
    <w:rsid w:val="00E17B89"/>
    <w:rsid w:val="00E2044B"/>
    <w:rsid w:val="00E21D19"/>
    <w:rsid w:val="00E22615"/>
    <w:rsid w:val="00E22B40"/>
    <w:rsid w:val="00E2434D"/>
    <w:rsid w:val="00E246E6"/>
    <w:rsid w:val="00E2480D"/>
    <w:rsid w:val="00E25208"/>
    <w:rsid w:val="00E25326"/>
    <w:rsid w:val="00E2592F"/>
    <w:rsid w:val="00E259CC"/>
    <w:rsid w:val="00E2656A"/>
    <w:rsid w:val="00E2675F"/>
    <w:rsid w:val="00E301BC"/>
    <w:rsid w:val="00E30DBB"/>
    <w:rsid w:val="00E3109B"/>
    <w:rsid w:val="00E34C93"/>
    <w:rsid w:val="00E34D79"/>
    <w:rsid w:val="00E34FA8"/>
    <w:rsid w:val="00E35E53"/>
    <w:rsid w:val="00E36E60"/>
    <w:rsid w:val="00E37073"/>
    <w:rsid w:val="00E37756"/>
    <w:rsid w:val="00E40155"/>
    <w:rsid w:val="00E4027A"/>
    <w:rsid w:val="00E4087E"/>
    <w:rsid w:val="00E41161"/>
    <w:rsid w:val="00E412D0"/>
    <w:rsid w:val="00E41669"/>
    <w:rsid w:val="00E4172F"/>
    <w:rsid w:val="00E417B1"/>
    <w:rsid w:val="00E44AAF"/>
    <w:rsid w:val="00E46061"/>
    <w:rsid w:val="00E4620D"/>
    <w:rsid w:val="00E478E5"/>
    <w:rsid w:val="00E47C59"/>
    <w:rsid w:val="00E504BA"/>
    <w:rsid w:val="00E50A33"/>
    <w:rsid w:val="00E51F68"/>
    <w:rsid w:val="00E5236B"/>
    <w:rsid w:val="00E53661"/>
    <w:rsid w:val="00E53BE6"/>
    <w:rsid w:val="00E54260"/>
    <w:rsid w:val="00E54452"/>
    <w:rsid w:val="00E547F2"/>
    <w:rsid w:val="00E54BD2"/>
    <w:rsid w:val="00E55596"/>
    <w:rsid w:val="00E55863"/>
    <w:rsid w:val="00E55D15"/>
    <w:rsid w:val="00E56322"/>
    <w:rsid w:val="00E56D81"/>
    <w:rsid w:val="00E60982"/>
    <w:rsid w:val="00E60B7B"/>
    <w:rsid w:val="00E61184"/>
    <w:rsid w:val="00E61570"/>
    <w:rsid w:val="00E62911"/>
    <w:rsid w:val="00E62C62"/>
    <w:rsid w:val="00E64128"/>
    <w:rsid w:val="00E654C1"/>
    <w:rsid w:val="00E65D97"/>
    <w:rsid w:val="00E66646"/>
    <w:rsid w:val="00E666A9"/>
    <w:rsid w:val="00E66CAB"/>
    <w:rsid w:val="00E70B99"/>
    <w:rsid w:val="00E70D83"/>
    <w:rsid w:val="00E717F0"/>
    <w:rsid w:val="00E72A5A"/>
    <w:rsid w:val="00E73354"/>
    <w:rsid w:val="00E73DFC"/>
    <w:rsid w:val="00E73F3F"/>
    <w:rsid w:val="00E741F5"/>
    <w:rsid w:val="00E743B1"/>
    <w:rsid w:val="00E74680"/>
    <w:rsid w:val="00E747FC"/>
    <w:rsid w:val="00E74D2A"/>
    <w:rsid w:val="00E75232"/>
    <w:rsid w:val="00E7534C"/>
    <w:rsid w:val="00E75503"/>
    <w:rsid w:val="00E75D73"/>
    <w:rsid w:val="00E766BA"/>
    <w:rsid w:val="00E76A21"/>
    <w:rsid w:val="00E77009"/>
    <w:rsid w:val="00E7701B"/>
    <w:rsid w:val="00E77734"/>
    <w:rsid w:val="00E81E0E"/>
    <w:rsid w:val="00E82A3C"/>
    <w:rsid w:val="00E82E66"/>
    <w:rsid w:val="00E82F30"/>
    <w:rsid w:val="00E83280"/>
    <w:rsid w:val="00E83529"/>
    <w:rsid w:val="00E849EC"/>
    <w:rsid w:val="00E8645B"/>
    <w:rsid w:val="00E864AC"/>
    <w:rsid w:val="00E869A7"/>
    <w:rsid w:val="00E9242D"/>
    <w:rsid w:val="00E927DE"/>
    <w:rsid w:val="00E933ED"/>
    <w:rsid w:val="00E94A3E"/>
    <w:rsid w:val="00E95A3B"/>
    <w:rsid w:val="00E9629C"/>
    <w:rsid w:val="00E96634"/>
    <w:rsid w:val="00E967EC"/>
    <w:rsid w:val="00EA19F0"/>
    <w:rsid w:val="00EA2B6E"/>
    <w:rsid w:val="00EA3C7D"/>
    <w:rsid w:val="00EA55EB"/>
    <w:rsid w:val="00EA7CA4"/>
    <w:rsid w:val="00EA7E07"/>
    <w:rsid w:val="00EB0559"/>
    <w:rsid w:val="00EB1CDB"/>
    <w:rsid w:val="00EB281B"/>
    <w:rsid w:val="00EB5255"/>
    <w:rsid w:val="00EB5C39"/>
    <w:rsid w:val="00EB5C47"/>
    <w:rsid w:val="00EB67BD"/>
    <w:rsid w:val="00EB72FB"/>
    <w:rsid w:val="00EC1508"/>
    <w:rsid w:val="00EC2AB8"/>
    <w:rsid w:val="00EC4C1C"/>
    <w:rsid w:val="00EC66EF"/>
    <w:rsid w:val="00ED0639"/>
    <w:rsid w:val="00ED1A82"/>
    <w:rsid w:val="00ED2F87"/>
    <w:rsid w:val="00ED3A5C"/>
    <w:rsid w:val="00ED439A"/>
    <w:rsid w:val="00ED4673"/>
    <w:rsid w:val="00ED6786"/>
    <w:rsid w:val="00ED6939"/>
    <w:rsid w:val="00ED7269"/>
    <w:rsid w:val="00EE0F3B"/>
    <w:rsid w:val="00EE17F2"/>
    <w:rsid w:val="00EE1E74"/>
    <w:rsid w:val="00EE1FBA"/>
    <w:rsid w:val="00EE220E"/>
    <w:rsid w:val="00EE27CC"/>
    <w:rsid w:val="00EE42D7"/>
    <w:rsid w:val="00EE50BD"/>
    <w:rsid w:val="00EE544D"/>
    <w:rsid w:val="00EE57BD"/>
    <w:rsid w:val="00EE5ED2"/>
    <w:rsid w:val="00EE6BE1"/>
    <w:rsid w:val="00EF29F5"/>
    <w:rsid w:val="00EF4755"/>
    <w:rsid w:val="00EF52C2"/>
    <w:rsid w:val="00EF7135"/>
    <w:rsid w:val="00EF7710"/>
    <w:rsid w:val="00EF7D48"/>
    <w:rsid w:val="00F003EE"/>
    <w:rsid w:val="00F00C2F"/>
    <w:rsid w:val="00F00C32"/>
    <w:rsid w:val="00F012A7"/>
    <w:rsid w:val="00F01373"/>
    <w:rsid w:val="00F016E1"/>
    <w:rsid w:val="00F027DB"/>
    <w:rsid w:val="00F046D1"/>
    <w:rsid w:val="00F04D57"/>
    <w:rsid w:val="00F04F78"/>
    <w:rsid w:val="00F05491"/>
    <w:rsid w:val="00F11A38"/>
    <w:rsid w:val="00F127A0"/>
    <w:rsid w:val="00F12B2D"/>
    <w:rsid w:val="00F12B80"/>
    <w:rsid w:val="00F12BA8"/>
    <w:rsid w:val="00F141C0"/>
    <w:rsid w:val="00F14A7A"/>
    <w:rsid w:val="00F155CB"/>
    <w:rsid w:val="00F16106"/>
    <w:rsid w:val="00F16C56"/>
    <w:rsid w:val="00F207C8"/>
    <w:rsid w:val="00F21BD2"/>
    <w:rsid w:val="00F2213C"/>
    <w:rsid w:val="00F22446"/>
    <w:rsid w:val="00F22869"/>
    <w:rsid w:val="00F22985"/>
    <w:rsid w:val="00F22EB3"/>
    <w:rsid w:val="00F23734"/>
    <w:rsid w:val="00F23D65"/>
    <w:rsid w:val="00F25F30"/>
    <w:rsid w:val="00F26F0A"/>
    <w:rsid w:val="00F277C6"/>
    <w:rsid w:val="00F30983"/>
    <w:rsid w:val="00F33453"/>
    <w:rsid w:val="00F3383E"/>
    <w:rsid w:val="00F34073"/>
    <w:rsid w:val="00F34A36"/>
    <w:rsid w:val="00F359A2"/>
    <w:rsid w:val="00F36D9F"/>
    <w:rsid w:val="00F400FB"/>
    <w:rsid w:val="00F428E0"/>
    <w:rsid w:val="00F42CE2"/>
    <w:rsid w:val="00F446B2"/>
    <w:rsid w:val="00F45254"/>
    <w:rsid w:val="00F45EEF"/>
    <w:rsid w:val="00F45EFD"/>
    <w:rsid w:val="00F465A7"/>
    <w:rsid w:val="00F4719F"/>
    <w:rsid w:val="00F47250"/>
    <w:rsid w:val="00F50B7C"/>
    <w:rsid w:val="00F50EB5"/>
    <w:rsid w:val="00F5299F"/>
    <w:rsid w:val="00F53951"/>
    <w:rsid w:val="00F55026"/>
    <w:rsid w:val="00F550E6"/>
    <w:rsid w:val="00F558C2"/>
    <w:rsid w:val="00F60806"/>
    <w:rsid w:val="00F60852"/>
    <w:rsid w:val="00F61C2F"/>
    <w:rsid w:val="00F6333C"/>
    <w:rsid w:val="00F6382F"/>
    <w:rsid w:val="00F63A3D"/>
    <w:rsid w:val="00F6466E"/>
    <w:rsid w:val="00F64CD0"/>
    <w:rsid w:val="00F65079"/>
    <w:rsid w:val="00F6588C"/>
    <w:rsid w:val="00F65EBB"/>
    <w:rsid w:val="00F66022"/>
    <w:rsid w:val="00F66B65"/>
    <w:rsid w:val="00F7032A"/>
    <w:rsid w:val="00F71490"/>
    <w:rsid w:val="00F716B0"/>
    <w:rsid w:val="00F72DF7"/>
    <w:rsid w:val="00F74345"/>
    <w:rsid w:val="00F74624"/>
    <w:rsid w:val="00F74C7F"/>
    <w:rsid w:val="00F7697E"/>
    <w:rsid w:val="00F76E08"/>
    <w:rsid w:val="00F76E4C"/>
    <w:rsid w:val="00F771B4"/>
    <w:rsid w:val="00F7784D"/>
    <w:rsid w:val="00F77994"/>
    <w:rsid w:val="00F80A0A"/>
    <w:rsid w:val="00F825E7"/>
    <w:rsid w:val="00F82B19"/>
    <w:rsid w:val="00F82FDD"/>
    <w:rsid w:val="00F8458B"/>
    <w:rsid w:val="00F85003"/>
    <w:rsid w:val="00F85654"/>
    <w:rsid w:val="00F85724"/>
    <w:rsid w:val="00F86231"/>
    <w:rsid w:val="00F90248"/>
    <w:rsid w:val="00F9096F"/>
    <w:rsid w:val="00F9155B"/>
    <w:rsid w:val="00F9212D"/>
    <w:rsid w:val="00F957F4"/>
    <w:rsid w:val="00F95F46"/>
    <w:rsid w:val="00F965DA"/>
    <w:rsid w:val="00F9728E"/>
    <w:rsid w:val="00F97D90"/>
    <w:rsid w:val="00FA182B"/>
    <w:rsid w:val="00FA2089"/>
    <w:rsid w:val="00FA24B5"/>
    <w:rsid w:val="00FA2AEC"/>
    <w:rsid w:val="00FA2CA9"/>
    <w:rsid w:val="00FA3E19"/>
    <w:rsid w:val="00FA406A"/>
    <w:rsid w:val="00FA462E"/>
    <w:rsid w:val="00FA47BD"/>
    <w:rsid w:val="00FA5A1D"/>
    <w:rsid w:val="00FA6E50"/>
    <w:rsid w:val="00FA6FEC"/>
    <w:rsid w:val="00FA6FF8"/>
    <w:rsid w:val="00FB08ED"/>
    <w:rsid w:val="00FB1707"/>
    <w:rsid w:val="00FB1FAD"/>
    <w:rsid w:val="00FB2208"/>
    <w:rsid w:val="00FB2C9C"/>
    <w:rsid w:val="00FB336D"/>
    <w:rsid w:val="00FB450D"/>
    <w:rsid w:val="00FB503A"/>
    <w:rsid w:val="00FB5153"/>
    <w:rsid w:val="00FB516C"/>
    <w:rsid w:val="00FB77D4"/>
    <w:rsid w:val="00FC018B"/>
    <w:rsid w:val="00FC070E"/>
    <w:rsid w:val="00FC0793"/>
    <w:rsid w:val="00FC104F"/>
    <w:rsid w:val="00FC1563"/>
    <w:rsid w:val="00FC1715"/>
    <w:rsid w:val="00FC23CF"/>
    <w:rsid w:val="00FC25CA"/>
    <w:rsid w:val="00FC2977"/>
    <w:rsid w:val="00FC4684"/>
    <w:rsid w:val="00FC5119"/>
    <w:rsid w:val="00FC5383"/>
    <w:rsid w:val="00FC5CDB"/>
    <w:rsid w:val="00FC76B7"/>
    <w:rsid w:val="00FD0236"/>
    <w:rsid w:val="00FD17CC"/>
    <w:rsid w:val="00FD18F4"/>
    <w:rsid w:val="00FD200E"/>
    <w:rsid w:val="00FD2115"/>
    <w:rsid w:val="00FD2949"/>
    <w:rsid w:val="00FD4ADA"/>
    <w:rsid w:val="00FD4AE5"/>
    <w:rsid w:val="00FD54DB"/>
    <w:rsid w:val="00FD619F"/>
    <w:rsid w:val="00FD6CED"/>
    <w:rsid w:val="00FD77EA"/>
    <w:rsid w:val="00FE3B72"/>
    <w:rsid w:val="00FE3F20"/>
    <w:rsid w:val="00FE3FC7"/>
    <w:rsid w:val="00FE44C4"/>
    <w:rsid w:val="00FE5AE9"/>
    <w:rsid w:val="00FE5B9A"/>
    <w:rsid w:val="00FE68B6"/>
    <w:rsid w:val="00FE68F5"/>
    <w:rsid w:val="00FE790E"/>
    <w:rsid w:val="00FF0A68"/>
    <w:rsid w:val="00FF0E21"/>
    <w:rsid w:val="00FF0F0D"/>
    <w:rsid w:val="00FF26E9"/>
    <w:rsid w:val="00FF2F27"/>
    <w:rsid w:val="00FF30DF"/>
    <w:rsid w:val="00FF337C"/>
    <w:rsid w:val="00FF5A64"/>
    <w:rsid w:val="00FF5FCE"/>
    <w:rsid w:val="00FF6A46"/>
    <w:rsid w:val="00FF6A95"/>
    <w:rsid w:val="010847D8"/>
    <w:rsid w:val="01290F7E"/>
    <w:rsid w:val="015D1E09"/>
    <w:rsid w:val="01AF233D"/>
    <w:rsid w:val="01FB2325"/>
    <w:rsid w:val="02125228"/>
    <w:rsid w:val="022B1391"/>
    <w:rsid w:val="025457D4"/>
    <w:rsid w:val="025A12B2"/>
    <w:rsid w:val="02697903"/>
    <w:rsid w:val="026B2E7C"/>
    <w:rsid w:val="0273460D"/>
    <w:rsid w:val="02811C05"/>
    <w:rsid w:val="02892A34"/>
    <w:rsid w:val="02D7237F"/>
    <w:rsid w:val="02F96569"/>
    <w:rsid w:val="03125B78"/>
    <w:rsid w:val="032E1AC1"/>
    <w:rsid w:val="03573CB1"/>
    <w:rsid w:val="035E1B05"/>
    <w:rsid w:val="036269C1"/>
    <w:rsid w:val="03A7507A"/>
    <w:rsid w:val="03EA7B21"/>
    <w:rsid w:val="04266E8E"/>
    <w:rsid w:val="04825BC1"/>
    <w:rsid w:val="04A9658B"/>
    <w:rsid w:val="04B54A0D"/>
    <w:rsid w:val="04B5705D"/>
    <w:rsid w:val="05035BA5"/>
    <w:rsid w:val="053F1F59"/>
    <w:rsid w:val="05B253F0"/>
    <w:rsid w:val="05C651CE"/>
    <w:rsid w:val="05D05F97"/>
    <w:rsid w:val="05E87A8D"/>
    <w:rsid w:val="05ED31BF"/>
    <w:rsid w:val="05F83EAE"/>
    <w:rsid w:val="060C777C"/>
    <w:rsid w:val="063E7D85"/>
    <w:rsid w:val="065521DD"/>
    <w:rsid w:val="06760E53"/>
    <w:rsid w:val="06B558D4"/>
    <w:rsid w:val="06D360B6"/>
    <w:rsid w:val="06DF0E03"/>
    <w:rsid w:val="06E532F3"/>
    <w:rsid w:val="06F86B34"/>
    <w:rsid w:val="0708175D"/>
    <w:rsid w:val="07097F3B"/>
    <w:rsid w:val="07293586"/>
    <w:rsid w:val="07295285"/>
    <w:rsid w:val="074702DA"/>
    <w:rsid w:val="07611E19"/>
    <w:rsid w:val="07636392"/>
    <w:rsid w:val="07753195"/>
    <w:rsid w:val="07770C56"/>
    <w:rsid w:val="07AA782D"/>
    <w:rsid w:val="07CE0B90"/>
    <w:rsid w:val="07E42098"/>
    <w:rsid w:val="07F272CE"/>
    <w:rsid w:val="080D2C57"/>
    <w:rsid w:val="08394B0F"/>
    <w:rsid w:val="085977CC"/>
    <w:rsid w:val="086A1FB2"/>
    <w:rsid w:val="08800C5A"/>
    <w:rsid w:val="08805332"/>
    <w:rsid w:val="08BE5F34"/>
    <w:rsid w:val="08DC13F1"/>
    <w:rsid w:val="092217DD"/>
    <w:rsid w:val="093A7294"/>
    <w:rsid w:val="094E29E5"/>
    <w:rsid w:val="096864F2"/>
    <w:rsid w:val="097D1872"/>
    <w:rsid w:val="097E4EC5"/>
    <w:rsid w:val="099044C3"/>
    <w:rsid w:val="09AB1EA9"/>
    <w:rsid w:val="09B907EC"/>
    <w:rsid w:val="09D53620"/>
    <w:rsid w:val="09FF0D73"/>
    <w:rsid w:val="0A263993"/>
    <w:rsid w:val="0A2D3AC2"/>
    <w:rsid w:val="0A42027F"/>
    <w:rsid w:val="0A516F86"/>
    <w:rsid w:val="0AA755DF"/>
    <w:rsid w:val="0ABA5BFD"/>
    <w:rsid w:val="0AEC1D8A"/>
    <w:rsid w:val="0B120D44"/>
    <w:rsid w:val="0B1545E8"/>
    <w:rsid w:val="0B222133"/>
    <w:rsid w:val="0B277493"/>
    <w:rsid w:val="0B4D65BD"/>
    <w:rsid w:val="0B532529"/>
    <w:rsid w:val="0BD27BF6"/>
    <w:rsid w:val="0C056581"/>
    <w:rsid w:val="0C350F15"/>
    <w:rsid w:val="0C3B3C7D"/>
    <w:rsid w:val="0C47199E"/>
    <w:rsid w:val="0C5A380F"/>
    <w:rsid w:val="0C777F57"/>
    <w:rsid w:val="0CAB2EAE"/>
    <w:rsid w:val="0D1C2B31"/>
    <w:rsid w:val="0D224C0A"/>
    <w:rsid w:val="0D621C7D"/>
    <w:rsid w:val="0DBB0ACD"/>
    <w:rsid w:val="0E0A0374"/>
    <w:rsid w:val="0E0E5998"/>
    <w:rsid w:val="0E232C25"/>
    <w:rsid w:val="0E4A6AC5"/>
    <w:rsid w:val="0E4B6D10"/>
    <w:rsid w:val="0E73034D"/>
    <w:rsid w:val="0E854007"/>
    <w:rsid w:val="0E875C90"/>
    <w:rsid w:val="0EAF24CD"/>
    <w:rsid w:val="0EB60AB1"/>
    <w:rsid w:val="0F0447BA"/>
    <w:rsid w:val="0F1351C3"/>
    <w:rsid w:val="0F13775A"/>
    <w:rsid w:val="0F3E3314"/>
    <w:rsid w:val="0F5F45FE"/>
    <w:rsid w:val="0F876CA2"/>
    <w:rsid w:val="0F9A112B"/>
    <w:rsid w:val="0FB2682A"/>
    <w:rsid w:val="0FB26F65"/>
    <w:rsid w:val="0FD06B9F"/>
    <w:rsid w:val="0FD537FB"/>
    <w:rsid w:val="0FE351F3"/>
    <w:rsid w:val="10256926"/>
    <w:rsid w:val="103F2A58"/>
    <w:rsid w:val="10571DED"/>
    <w:rsid w:val="106D2F64"/>
    <w:rsid w:val="10B63710"/>
    <w:rsid w:val="10B92372"/>
    <w:rsid w:val="10C070CB"/>
    <w:rsid w:val="10E64643"/>
    <w:rsid w:val="10E658A4"/>
    <w:rsid w:val="10E741A0"/>
    <w:rsid w:val="10F10820"/>
    <w:rsid w:val="1110133B"/>
    <w:rsid w:val="111C2F7A"/>
    <w:rsid w:val="112C42A9"/>
    <w:rsid w:val="113C2749"/>
    <w:rsid w:val="113D64B6"/>
    <w:rsid w:val="1161594F"/>
    <w:rsid w:val="11665CA1"/>
    <w:rsid w:val="11932E6B"/>
    <w:rsid w:val="119A3908"/>
    <w:rsid w:val="11D34F09"/>
    <w:rsid w:val="123A7A38"/>
    <w:rsid w:val="1279742C"/>
    <w:rsid w:val="12AB7B69"/>
    <w:rsid w:val="12C23F6E"/>
    <w:rsid w:val="1303262F"/>
    <w:rsid w:val="13361554"/>
    <w:rsid w:val="133A2B5B"/>
    <w:rsid w:val="13654E02"/>
    <w:rsid w:val="139102D8"/>
    <w:rsid w:val="13951726"/>
    <w:rsid w:val="13D2003B"/>
    <w:rsid w:val="143376FC"/>
    <w:rsid w:val="14396509"/>
    <w:rsid w:val="148031C7"/>
    <w:rsid w:val="148363A0"/>
    <w:rsid w:val="148711A2"/>
    <w:rsid w:val="14DD2C3C"/>
    <w:rsid w:val="14ED5795"/>
    <w:rsid w:val="14F100E9"/>
    <w:rsid w:val="151310B1"/>
    <w:rsid w:val="15137569"/>
    <w:rsid w:val="15307768"/>
    <w:rsid w:val="15386DB7"/>
    <w:rsid w:val="15543DCE"/>
    <w:rsid w:val="15555EA5"/>
    <w:rsid w:val="159B37AB"/>
    <w:rsid w:val="15F00ED0"/>
    <w:rsid w:val="15F74E73"/>
    <w:rsid w:val="16087E1D"/>
    <w:rsid w:val="16455962"/>
    <w:rsid w:val="165D1A46"/>
    <w:rsid w:val="16C83EE6"/>
    <w:rsid w:val="16D94238"/>
    <w:rsid w:val="171657DF"/>
    <w:rsid w:val="175B7696"/>
    <w:rsid w:val="17701D14"/>
    <w:rsid w:val="17710A9C"/>
    <w:rsid w:val="17735226"/>
    <w:rsid w:val="17BA232D"/>
    <w:rsid w:val="1815677D"/>
    <w:rsid w:val="182A3F48"/>
    <w:rsid w:val="18310307"/>
    <w:rsid w:val="18383533"/>
    <w:rsid w:val="183E548F"/>
    <w:rsid w:val="185E605D"/>
    <w:rsid w:val="18893491"/>
    <w:rsid w:val="18982224"/>
    <w:rsid w:val="189F624C"/>
    <w:rsid w:val="191775ED"/>
    <w:rsid w:val="192C707C"/>
    <w:rsid w:val="19301179"/>
    <w:rsid w:val="193E408E"/>
    <w:rsid w:val="195A1417"/>
    <w:rsid w:val="19A54313"/>
    <w:rsid w:val="19E726F7"/>
    <w:rsid w:val="19F93A77"/>
    <w:rsid w:val="1A10703F"/>
    <w:rsid w:val="1A1C66C0"/>
    <w:rsid w:val="1A3D1756"/>
    <w:rsid w:val="1A42393B"/>
    <w:rsid w:val="1A8B5428"/>
    <w:rsid w:val="1A9C2577"/>
    <w:rsid w:val="1AAD45DE"/>
    <w:rsid w:val="1ABB3C75"/>
    <w:rsid w:val="1B046F80"/>
    <w:rsid w:val="1B3267B5"/>
    <w:rsid w:val="1B40161D"/>
    <w:rsid w:val="1B441859"/>
    <w:rsid w:val="1B6606B1"/>
    <w:rsid w:val="1B6E1E07"/>
    <w:rsid w:val="1B8A3C5A"/>
    <w:rsid w:val="1BCA3017"/>
    <w:rsid w:val="1BFE4ABD"/>
    <w:rsid w:val="1C145CC2"/>
    <w:rsid w:val="1C1C0CB7"/>
    <w:rsid w:val="1C310B7D"/>
    <w:rsid w:val="1C5E7925"/>
    <w:rsid w:val="1C7662BC"/>
    <w:rsid w:val="1CB34801"/>
    <w:rsid w:val="1CFD070F"/>
    <w:rsid w:val="1D215A98"/>
    <w:rsid w:val="1D2624F4"/>
    <w:rsid w:val="1D537616"/>
    <w:rsid w:val="1D5F6196"/>
    <w:rsid w:val="1D6132A5"/>
    <w:rsid w:val="1D7019C1"/>
    <w:rsid w:val="1D8E56D5"/>
    <w:rsid w:val="1DC70998"/>
    <w:rsid w:val="1DE75BD5"/>
    <w:rsid w:val="1DEB7E5C"/>
    <w:rsid w:val="1DF929C9"/>
    <w:rsid w:val="1E397EFB"/>
    <w:rsid w:val="1E70414B"/>
    <w:rsid w:val="1E7A43DA"/>
    <w:rsid w:val="1E7D4396"/>
    <w:rsid w:val="1E88775D"/>
    <w:rsid w:val="1E927C64"/>
    <w:rsid w:val="1EA0770A"/>
    <w:rsid w:val="1EBD3B62"/>
    <w:rsid w:val="1EF3636E"/>
    <w:rsid w:val="1F7F6670"/>
    <w:rsid w:val="1FBA5176"/>
    <w:rsid w:val="1FE7539E"/>
    <w:rsid w:val="20671BE0"/>
    <w:rsid w:val="20682CE7"/>
    <w:rsid w:val="2095704E"/>
    <w:rsid w:val="20963CB8"/>
    <w:rsid w:val="20A81A1B"/>
    <w:rsid w:val="20B07FB6"/>
    <w:rsid w:val="20B44EE1"/>
    <w:rsid w:val="20B646FB"/>
    <w:rsid w:val="20ED4E9C"/>
    <w:rsid w:val="20FB6774"/>
    <w:rsid w:val="213B74B1"/>
    <w:rsid w:val="213F2E41"/>
    <w:rsid w:val="215A2310"/>
    <w:rsid w:val="21C8770D"/>
    <w:rsid w:val="21DE318A"/>
    <w:rsid w:val="21EF5B80"/>
    <w:rsid w:val="224B352B"/>
    <w:rsid w:val="22576990"/>
    <w:rsid w:val="226E06B5"/>
    <w:rsid w:val="226F6968"/>
    <w:rsid w:val="229716F3"/>
    <w:rsid w:val="229E741D"/>
    <w:rsid w:val="22F47480"/>
    <w:rsid w:val="22F87EBB"/>
    <w:rsid w:val="23156D74"/>
    <w:rsid w:val="237B2604"/>
    <w:rsid w:val="238770E1"/>
    <w:rsid w:val="239C698F"/>
    <w:rsid w:val="239D3B40"/>
    <w:rsid w:val="23B7444C"/>
    <w:rsid w:val="23CC039A"/>
    <w:rsid w:val="23DE1C48"/>
    <w:rsid w:val="23FE1880"/>
    <w:rsid w:val="240210CD"/>
    <w:rsid w:val="240C6E8E"/>
    <w:rsid w:val="241A7DB3"/>
    <w:rsid w:val="241F2497"/>
    <w:rsid w:val="243948BB"/>
    <w:rsid w:val="24436C88"/>
    <w:rsid w:val="247D70EF"/>
    <w:rsid w:val="24B61F01"/>
    <w:rsid w:val="24BF09F7"/>
    <w:rsid w:val="24D96878"/>
    <w:rsid w:val="24DF5726"/>
    <w:rsid w:val="24F202DB"/>
    <w:rsid w:val="25265A9B"/>
    <w:rsid w:val="25266743"/>
    <w:rsid w:val="252D53FE"/>
    <w:rsid w:val="253A5B41"/>
    <w:rsid w:val="253C1E68"/>
    <w:rsid w:val="258A442B"/>
    <w:rsid w:val="259721E1"/>
    <w:rsid w:val="25AE7A4C"/>
    <w:rsid w:val="25EC2D81"/>
    <w:rsid w:val="260E4D6C"/>
    <w:rsid w:val="261104D2"/>
    <w:rsid w:val="26206E1D"/>
    <w:rsid w:val="26647BE9"/>
    <w:rsid w:val="269404CF"/>
    <w:rsid w:val="26B27167"/>
    <w:rsid w:val="26B66697"/>
    <w:rsid w:val="26C126AC"/>
    <w:rsid w:val="26DD5C4A"/>
    <w:rsid w:val="272E5980"/>
    <w:rsid w:val="273E3784"/>
    <w:rsid w:val="274053AB"/>
    <w:rsid w:val="2769195B"/>
    <w:rsid w:val="277057A2"/>
    <w:rsid w:val="27A90C6A"/>
    <w:rsid w:val="27BA54F2"/>
    <w:rsid w:val="288D3329"/>
    <w:rsid w:val="28C22E50"/>
    <w:rsid w:val="29206EB8"/>
    <w:rsid w:val="295428D4"/>
    <w:rsid w:val="29595666"/>
    <w:rsid w:val="2972697D"/>
    <w:rsid w:val="297E740E"/>
    <w:rsid w:val="29874881"/>
    <w:rsid w:val="29AA2CA3"/>
    <w:rsid w:val="29D86924"/>
    <w:rsid w:val="29D91E7C"/>
    <w:rsid w:val="29DC6F2C"/>
    <w:rsid w:val="29DE2E5D"/>
    <w:rsid w:val="29E325E0"/>
    <w:rsid w:val="2A373C04"/>
    <w:rsid w:val="2A452503"/>
    <w:rsid w:val="2A651184"/>
    <w:rsid w:val="2A682C1B"/>
    <w:rsid w:val="2AD14AA2"/>
    <w:rsid w:val="2B0D0E86"/>
    <w:rsid w:val="2B1F2CE1"/>
    <w:rsid w:val="2B4358E8"/>
    <w:rsid w:val="2B4A653E"/>
    <w:rsid w:val="2B6231FB"/>
    <w:rsid w:val="2B7E3A80"/>
    <w:rsid w:val="2BA936A8"/>
    <w:rsid w:val="2BB75D21"/>
    <w:rsid w:val="2BD37FAC"/>
    <w:rsid w:val="2BE31FE3"/>
    <w:rsid w:val="2C315A5A"/>
    <w:rsid w:val="2C4815FD"/>
    <w:rsid w:val="2C4B1C25"/>
    <w:rsid w:val="2C5F47D4"/>
    <w:rsid w:val="2C73502A"/>
    <w:rsid w:val="2C7A5741"/>
    <w:rsid w:val="2CD93FAC"/>
    <w:rsid w:val="2CE239E5"/>
    <w:rsid w:val="2D286060"/>
    <w:rsid w:val="2D3F0151"/>
    <w:rsid w:val="2D4C247D"/>
    <w:rsid w:val="2D9E56F5"/>
    <w:rsid w:val="2DC7693D"/>
    <w:rsid w:val="2DD115B4"/>
    <w:rsid w:val="2E114222"/>
    <w:rsid w:val="2E51637F"/>
    <w:rsid w:val="2E667F96"/>
    <w:rsid w:val="2E8226AB"/>
    <w:rsid w:val="2EA02455"/>
    <w:rsid w:val="2ECE0AFC"/>
    <w:rsid w:val="2EED10C4"/>
    <w:rsid w:val="2F1539E9"/>
    <w:rsid w:val="2F2B5748"/>
    <w:rsid w:val="2F5806D4"/>
    <w:rsid w:val="2F6D5572"/>
    <w:rsid w:val="2F7B047E"/>
    <w:rsid w:val="2F7E34A4"/>
    <w:rsid w:val="2FBB35F7"/>
    <w:rsid w:val="2FD065E6"/>
    <w:rsid w:val="2FD96870"/>
    <w:rsid w:val="30123C6D"/>
    <w:rsid w:val="30580BC9"/>
    <w:rsid w:val="307E4546"/>
    <w:rsid w:val="308B07B3"/>
    <w:rsid w:val="30913D27"/>
    <w:rsid w:val="309D08C8"/>
    <w:rsid w:val="30AF3454"/>
    <w:rsid w:val="30C47F3A"/>
    <w:rsid w:val="30FB6230"/>
    <w:rsid w:val="311E2ED7"/>
    <w:rsid w:val="31285FC9"/>
    <w:rsid w:val="31327714"/>
    <w:rsid w:val="315619EE"/>
    <w:rsid w:val="315C449C"/>
    <w:rsid w:val="31A8065E"/>
    <w:rsid w:val="31AB491E"/>
    <w:rsid w:val="31B82709"/>
    <w:rsid w:val="31D05482"/>
    <w:rsid w:val="3203475A"/>
    <w:rsid w:val="322206F9"/>
    <w:rsid w:val="32400B34"/>
    <w:rsid w:val="32572E17"/>
    <w:rsid w:val="32634648"/>
    <w:rsid w:val="328060BD"/>
    <w:rsid w:val="32884863"/>
    <w:rsid w:val="329E6876"/>
    <w:rsid w:val="32D0288E"/>
    <w:rsid w:val="33122EA7"/>
    <w:rsid w:val="33150BE9"/>
    <w:rsid w:val="333015F2"/>
    <w:rsid w:val="33302DF1"/>
    <w:rsid w:val="334B44F6"/>
    <w:rsid w:val="334B6320"/>
    <w:rsid w:val="33655F85"/>
    <w:rsid w:val="33A43E31"/>
    <w:rsid w:val="33AB2B6D"/>
    <w:rsid w:val="33CB6DEB"/>
    <w:rsid w:val="33D934D4"/>
    <w:rsid w:val="33EF6B27"/>
    <w:rsid w:val="33FE2F6A"/>
    <w:rsid w:val="340754CD"/>
    <w:rsid w:val="340E07E5"/>
    <w:rsid w:val="340E38F7"/>
    <w:rsid w:val="340F20FC"/>
    <w:rsid w:val="34165293"/>
    <w:rsid w:val="34235BF7"/>
    <w:rsid w:val="34715F87"/>
    <w:rsid w:val="34C644C3"/>
    <w:rsid w:val="34D670AE"/>
    <w:rsid w:val="34E01635"/>
    <w:rsid w:val="34F34F5A"/>
    <w:rsid w:val="3511543D"/>
    <w:rsid w:val="355248F2"/>
    <w:rsid w:val="357B28D6"/>
    <w:rsid w:val="358C5FA8"/>
    <w:rsid w:val="359B5263"/>
    <w:rsid w:val="359E04A8"/>
    <w:rsid w:val="35C15DF1"/>
    <w:rsid w:val="35E86E83"/>
    <w:rsid w:val="36074A7F"/>
    <w:rsid w:val="360D3378"/>
    <w:rsid w:val="36220344"/>
    <w:rsid w:val="366B02CE"/>
    <w:rsid w:val="36923549"/>
    <w:rsid w:val="36AD018A"/>
    <w:rsid w:val="36B6623F"/>
    <w:rsid w:val="36B75FBF"/>
    <w:rsid w:val="36BB1053"/>
    <w:rsid w:val="36BD0C45"/>
    <w:rsid w:val="36DB5CA6"/>
    <w:rsid w:val="36DE0F19"/>
    <w:rsid w:val="36DF427A"/>
    <w:rsid w:val="36EA7C97"/>
    <w:rsid w:val="36EB625B"/>
    <w:rsid w:val="372673F4"/>
    <w:rsid w:val="37A319DE"/>
    <w:rsid w:val="37E00298"/>
    <w:rsid w:val="38102FEB"/>
    <w:rsid w:val="38116A81"/>
    <w:rsid w:val="38197639"/>
    <w:rsid w:val="381D36B8"/>
    <w:rsid w:val="3821053C"/>
    <w:rsid w:val="38685AA8"/>
    <w:rsid w:val="38706743"/>
    <w:rsid w:val="387E29B4"/>
    <w:rsid w:val="38B302F9"/>
    <w:rsid w:val="38B30C88"/>
    <w:rsid w:val="38B44A00"/>
    <w:rsid w:val="38C16781"/>
    <w:rsid w:val="38E50ED6"/>
    <w:rsid w:val="38F117B0"/>
    <w:rsid w:val="38F12CD3"/>
    <w:rsid w:val="38F94775"/>
    <w:rsid w:val="39191EB9"/>
    <w:rsid w:val="392971ED"/>
    <w:rsid w:val="39325651"/>
    <w:rsid w:val="393A2BB4"/>
    <w:rsid w:val="39597EEE"/>
    <w:rsid w:val="39AA4E62"/>
    <w:rsid w:val="39AA6F95"/>
    <w:rsid w:val="39AB16E8"/>
    <w:rsid w:val="39C62C2E"/>
    <w:rsid w:val="39E14D9F"/>
    <w:rsid w:val="3A161FC8"/>
    <w:rsid w:val="3A23599A"/>
    <w:rsid w:val="3A3A4F27"/>
    <w:rsid w:val="3A5A34AC"/>
    <w:rsid w:val="3A637F1D"/>
    <w:rsid w:val="3A747FD3"/>
    <w:rsid w:val="3A762831"/>
    <w:rsid w:val="3A7A4C3A"/>
    <w:rsid w:val="3A872856"/>
    <w:rsid w:val="3AAE6B95"/>
    <w:rsid w:val="3ACA4790"/>
    <w:rsid w:val="3AE113B1"/>
    <w:rsid w:val="3B07619C"/>
    <w:rsid w:val="3B2C0886"/>
    <w:rsid w:val="3B3763D1"/>
    <w:rsid w:val="3B6F5B84"/>
    <w:rsid w:val="3BFD4C75"/>
    <w:rsid w:val="3C007D5C"/>
    <w:rsid w:val="3C232B8D"/>
    <w:rsid w:val="3C2F6E1E"/>
    <w:rsid w:val="3C3C3DAC"/>
    <w:rsid w:val="3C4643F0"/>
    <w:rsid w:val="3C4F64BA"/>
    <w:rsid w:val="3C636163"/>
    <w:rsid w:val="3C670B49"/>
    <w:rsid w:val="3C727817"/>
    <w:rsid w:val="3C96409F"/>
    <w:rsid w:val="3CC50F8A"/>
    <w:rsid w:val="3CDA245A"/>
    <w:rsid w:val="3CED228F"/>
    <w:rsid w:val="3CF25AF7"/>
    <w:rsid w:val="3CF30795"/>
    <w:rsid w:val="3D1E06B7"/>
    <w:rsid w:val="3D4C4D9D"/>
    <w:rsid w:val="3D910786"/>
    <w:rsid w:val="3E1950CB"/>
    <w:rsid w:val="3E293E30"/>
    <w:rsid w:val="3E42587F"/>
    <w:rsid w:val="3E5532DB"/>
    <w:rsid w:val="3E85618C"/>
    <w:rsid w:val="3E8D3D29"/>
    <w:rsid w:val="3E9C3582"/>
    <w:rsid w:val="3EA90890"/>
    <w:rsid w:val="3EB62B5C"/>
    <w:rsid w:val="3EC74B44"/>
    <w:rsid w:val="3EDA0523"/>
    <w:rsid w:val="3EE614C6"/>
    <w:rsid w:val="3F4A39C9"/>
    <w:rsid w:val="3F8073EA"/>
    <w:rsid w:val="3F816823"/>
    <w:rsid w:val="3F8D5C86"/>
    <w:rsid w:val="3FB367C5"/>
    <w:rsid w:val="40327422"/>
    <w:rsid w:val="404366E5"/>
    <w:rsid w:val="407A6407"/>
    <w:rsid w:val="40C20BC0"/>
    <w:rsid w:val="412B71C2"/>
    <w:rsid w:val="41CA0DF1"/>
    <w:rsid w:val="41DF7B4B"/>
    <w:rsid w:val="4200449D"/>
    <w:rsid w:val="423527A7"/>
    <w:rsid w:val="423A3BCC"/>
    <w:rsid w:val="424E57D2"/>
    <w:rsid w:val="42610A57"/>
    <w:rsid w:val="42957714"/>
    <w:rsid w:val="429C522C"/>
    <w:rsid w:val="42B063BF"/>
    <w:rsid w:val="42B26C49"/>
    <w:rsid w:val="42C046F4"/>
    <w:rsid w:val="42C60566"/>
    <w:rsid w:val="432905BF"/>
    <w:rsid w:val="433A6FE6"/>
    <w:rsid w:val="43424558"/>
    <w:rsid w:val="43480868"/>
    <w:rsid w:val="4350713C"/>
    <w:rsid w:val="436653E0"/>
    <w:rsid w:val="436F1C50"/>
    <w:rsid w:val="43804B69"/>
    <w:rsid w:val="43C4431A"/>
    <w:rsid w:val="449921DD"/>
    <w:rsid w:val="44B951CC"/>
    <w:rsid w:val="44C4222D"/>
    <w:rsid w:val="44CD14E0"/>
    <w:rsid w:val="44D53D34"/>
    <w:rsid w:val="44DE708D"/>
    <w:rsid w:val="44E7294E"/>
    <w:rsid w:val="44F20B0B"/>
    <w:rsid w:val="451D5ED6"/>
    <w:rsid w:val="45275047"/>
    <w:rsid w:val="452E5F4C"/>
    <w:rsid w:val="455A06A4"/>
    <w:rsid w:val="45612018"/>
    <w:rsid w:val="458946E9"/>
    <w:rsid w:val="458E1ADA"/>
    <w:rsid w:val="45A47C0E"/>
    <w:rsid w:val="45C87498"/>
    <w:rsid w:val="461F0C16"/>
    <w:rsid w:val="462F45DB"/>
    <w:rsid w:val="46462318"/>
    <w:rsid w:val="4650317F"/>
    <w:rsid w:val="46577FD6"/>
    <w:rsid w:val="466A568A"/>
    <w:rsid w:val="46805F22"/>
    <w:rsid w:val="46D31CF6"/>
    <w:rsid w:val="46D955A7"/>
    <w:rsid w:val="46F934B6"/>
    <w:rsid w:val="4701162A"/>
    <w:rsid w:val="47133957"/>
    <w:rsid w:val="476C5321"/>
    <w:rsid w:val="47745E81"/>
    <w:rsid w:val="47A07E0C"/>
    <w:rsid w:val="47A67C4B"/>
    <w:rsid w:val="47D7277B"/>
    <w:rsid w:val="47FB1B45"/>
    <w:rsid w:val="480A215E"/>
    <w:rsid w:val="480C32DB"/>
    <w:rsid w:val="481060B0"/>
    <w:rsid w:val="48112F2C"/>
    <w:rsid w:val="48623259"/>
    <w:rsid w:val="486439EF"/>
    <w:rsid w:val="4870272E"/>
    <w:rsid w:val="48804972"/>
    <w:rsid w:val="48A80A9E"/>
    <w:rsid w:val="48B40105"/>
    <w:rsid w:val="48C1307B"/>
    <w:rsid w:val="48D728B6"/>
    <w:rsid w:val="4919500F"/>
    <w:rsid w:val="491A6934"/>
    <w:rsid w:val="49322582"/>
    <w:rsid w:val="4933163B"/>
    <w:rsid w:val="49DC7715"/>
    <w:rsid w:val="49DD3E14"/>
    <w:rsid w:val="4A023139"/>
    <w:rsid w:val="4A156FCD"/>
    <w:rsid w:val="4A7B576F"/>
    <w:rsid w:val="4A811146"/>
    <w:rsid w:val="4AE163C9"/>
    <w:rsid w:val="4AEF3EAC"/>
    <w:rsid w:val="4AF561A9"/>
    <w:rsid w:val="4AF563E9"/>
    <w:rsid w:val="4AFA7C2E"/>
    <w:rsid w:val="4B1748EB"/>
    <w:rsid w:val="4B2221AC"/>
    <w:rsid w:val="4B272055"/>
    <w:rsid w:val="4BBB6443"/>
    <w:rsid w:val="4BD72482"/>
    <w:rsid w:val="4BE05A62"/>
    <w:rsid w:val="4C165745"/>
    <w:rsid w:val="4C24002F"/>
    <w:rsid w:val="4C4A0649"/>
    <w:rsid w:val="4C530D52"/>
    <w:rsid w:val="4C5B5835"/>
    <w:rsid w:val="4C5D5E93"/>
    <w:rsid w:val="4C725053"/>
    <w:rsid w:val="4C7E5ECA"/>
    <w:rsid w:val="4C876AA5"/>
    <w:rsid w:val="4CCF375F"/>
    <w:rsid w:val="4CD50F03"/>
    <w:rsid w:val="4D0C1546"/>
    <w:rsid w:val="4D0E00FB"/>
    <w:rsid w:val="4D141640"/>
    <w:rsid w:val="4D176606"/>
    <w:rsid w:val="4D1876E3"/>
    <w:rsid w:val="4D5B3AA5"/>
    <w:rsid w:val="4D8A1A23"/>
    <w:rsid w:val="4DBD0E41"/>
    <w:rsid w:val="4DE37CE5"/>
    <w:rsid w:val="4DEC4FB0"/>
    <w:rsid w:val="4E075D8A"/>
    <w:rsid w:val="4E0D2791"/>
    <w:rsid w:val="4E350CAD"/>
    <w:rsid w:val="4E616639"/>
    <w:rsid w:val="4EC00FAD"/>
    <w:rsid w:val="4EDE707E"/>
    <w:rsid w:val="4F09545C"/>
    <w:rsid w:val="4F195611"/>
    <w:rsid w:val="4F34504A"/>
    <w:rsid w:val="4F38623C"/>
    <w:rsid w:val="4F6B73B3"/>
    <w:rsid w:val="4F88591F"/>
    <w:rsid w:val="4F9843DC"/>
    <w:rsid w:val="4F994214"/>
    <w:rsid w:val="4F9E404E"/>
    <w:rsid w:val="4FC62A8C"/>
    <w:rsid w:val="4FCB61D8"/>
    <w:rsid w:val="4FE20F0D"/>
    <w:rsid w:val="4FE51552"/>
    <w:rsid w:val="50077692"/>
    <w:rsid w:val="50504C4B"/>
    <w:rsid w:val="5051711A"/>
    <w:rsid w:val="506E4EAC"/>
    <w:rsid w:val="509C6E7C"/>
    <w:rsid w:val="50DB26D2"/>
    <w:rsid w:val="50F54911"/>
    <w:rsid w:val="5162104E"/>
    <w:rsid w:val="516D17E1"/>
    <w:rsid w:val="51BA2C30"/>
    <w:rsid w:val="51C36A22"/>
    <w:rsid w:val="51D65E1F"/>
    <w:rsid w:val="520E6687"/>
    <w:rsid w:val="52BD054A"/>
    <w:rsid w:val="52D92C7B"/>
    <w:rsid w:val="52E67010"/>
    <w:rsid w:val="53143F58"/>
    <w:rsid w:val="53291D68"/>
    <w:rsid w:val="533F4FFF"/>
    <w:rsid w:val="534E6B9F"/>
    <w:rsid w:val="5358622B"/>
    <w:rsid w:val="535E583D"/>
    <w:rsid w:val="53821979"/>
    <w:rsid w:val="53A039CC"/>
    <w:rsid w:val="53A1505A"/>
    <w:rsid w:val="53DF4EC5"/>
    <w:rsid w:val="53EC5F46"/>
    <w:rsid w:val="540417CE"/>
    <w:rsid w:val="54063E08"/>
    <w:rsid w:val="54265F36"/>
    <w:rsid w:val="543437E8"/>
    <w:rsid w:val="5438002B"/>
    <w:rsid w:val="544063FF"/>
    <w:rsid w:val="544400ED"/>
    <w:rsid w:val="54441A0A"/>
    <w:rsid w:val="544E7B7F"/>
    <w:rsid w:val="54A442E9"/>
    <w:rsid w:val="54B35C81"/>
    <w:rsid w:val="54BC281B"/>
    <w:rsid w:val="54E23E45"/>
    <w:rsid w:val="54F73313"/>
    <w:rsid w:val="54F80955"/>
    <w:rsid w:val="55447E6E"/>
    <w:rsid w:val="554801CA"/>
    <w:rsid w:val="555170A7"/>
    <w:rsid w:val="5571359C"/>
    <w:rsid w:val="5587536D"/>
    <w:rsid w:val="559B174B"/>
    <w:rsid w:val="559D0A0C"/>
    <w:rsid w:val="559F2039"/>
    <w:rsid w:val="55A87E09"/>
    <w:rsid w:val="55CB01F9"/>
    <w:rsid w:val="55CE0CF4"/>
    <w:rsid w:val="55EA0545"/>
    <w:rsid w:val="55EE58CE"/>
    <w:rsid w:val="56066443"/>
    <w:rsid w:val="5669211A"/>
    <w:rsid w:val="56A426DE"/>
    <w:rsid w:val="56B22A9C"/>
    <w:rsid w:val="56C12737"/>
    <w:rsid w:val="570E6734"/>
    <w:rsid w:val="57250CC7"/>
    <w:rsid w:val="57312088"/>
    <w:rsid w:val="57495FF2"/>
    <w:rsid w:val="576445CC"/>
    <w:rsid w:val="57896DCE"/>
    <w:rsid w:val="5791144E"/>
    <w:rsid w:val="57B72A76"/>
    <w:rsid w:val="57C3426C"/>
    <w:rsid w:val="57CE1F93"/>
    <w:rsid w:val="57E24C8E"/>
    <w:rsid w:val="57F64296"/>
    <w:rsid w:val="581F37ED"/>
    <w:rsid w:val="582171BE"/>
    <w:rsid w:val="58610DFF"/>
    <w:rsid w:val="58636B36"/>
    <w:rsid w:val="588743D1"/>
    <w:rsid w:val="5887701A"/>
    <w:rsid w:val="592C6073"/>
    <w:rsid w:val="59422BFF"/>
    <w:rsid w:val="59660EE6"/>
    <w:rsid w:val="59787C96"/>
    <w:rsid w:val="59814033"/>
    <w:rsid w:val="599F789F"/>
    <w:rsid w:val="59B87093"/>
    <w:rsid w:val="59C0439F"/>
    <w:rsid w:val="59C62C8D"/>
    <w:rsid w:val="59EA7A76"/>
    <w:rsid w:val="5A076244"/>
    <w:rsid w:val="5A085A2E"/>
    <w:rsid w:val="5A2C39FC"/>
    <w:rsid w:val="5A5F13B3"/>
    <w:rsid w:val="5A645E65"/>
    <w:rsid w:val="5A7C1E97"/>
    <w:rsid w:val="5A970EEF"/>
    <w:rsid w:val="5AB718B0"/>
    <w:rsid w:val="5ABE2233"/>
    <w:rsid w:val="5B0A0701"/>
    <w:rsid w:val="5B10423C"/>
    <w:rsid w:val="5B1D2F3D"/>
    <w:rsid w:val="5B3B02AA"/>
    <w:rsid w:val="5BBB7C43"/>
    <w:rsid w:val="5BDF5D95"/>
    <w:rsid w:val="5BE81C22"/>
    <w:rsid w:val="5BF907F8"/>
    <w:rsid w:val="5BFE7528"/>
    <w:rsid w:val="5C043425"/>
    <w:rsid w:val="5C464F91"/>
    <w:rsid w:val="5C7342DA"/>
    <w:rsid w:val="5C7503C6"/>
    <w:rsid w:val="5C7C2BAD"/>
    <w:rsid w:val="5C930C88"/>
    <w:rsid w:val="5C9F4221"/>
    <w:rsid w:val="5CA035A1"/>
    <w:rsid w:val="5CB543EB"/>
    <w:rsid w:val="5CC05E7A"/>
    <w:rsid w:val="5CC901CB"/>
    <w:rsid w:val="5CDC3CA3"/>
    <w:rsid w:val="5CEC7043"/>
    <w:rsid w:val="5D116F70"/>
    <w:rsid w:val="5D771EAE"/>
    <w:rsid w:val="5D7F6605"/>
    <w:rsid w:val="5DA35419"/>
    <w:rsid w:val="5DB87C31"/>
    <w:rsid w:val="5DF55E1F"/>
    <w:rsid w:val="5E2467F1"/>
    <w:rsid w:val="5E6E3559"/>
    <w:rsid w:val="5EAB2CF7"/>
    <w:rsid w:val="5EAB4BF2"/>
    <w:rsid w:val="5F1A2B43"/>
    <w:rsid w:val="5F467607"/>
    <w:rsid w:val="5F6B5569"/>
    <w:rsid w:val="5F96115D"/>
    <w:rsid w:val="5FB43441"/>
    <w:rsid w:val="5FB837BB"/>
    <w:rsid w:val="5FBC07A2"/>
    <w:rsid w:val="60002EF1"/>
    <w:rsid w:val="6000725B"/>
    <w:rsid w:val="60331DBD"/>
    <w:rsid w:val="605C2188"/>
    <w:rsid w:val="60922193"/>
    <w:rsid w:val="60937008"/>
    <w:rsid w:val="60B625F6"/>
    <w:rsid w:val="60CC405A"/>
    <w:rsid w:val="61236233"/>
    <w:rsid w:val="6144423E"/>
    <w:rsid w:val="615C7589"/>
    <w:rsid w:val="616920E5"/>
    <w:rsid w:val="617050B9"/>
    <w:rsid w:val="6198016C"/>
    <w:rsid w:val="61D11EC3"/>
    <w:rsid w:val="61D92E25"/>
    <w:rsid w:val="61E215D8"/>
    <w:rsid w:val="621B3775"/>
    <w:rsid w:val="622A3F08"/>
    <w:rsid w:val="62364782"/>
    <w:rsid w:val="625C3684"/>
    <w:rsid w:val="6263543C"/>
    <w:rsid w:val="628E7BA8"/>
    <w:rsid w:val="62990058"/>
    <w:rsid w:val="629E7A04"/>
    <w:rsid w:val="62AE1E6E"/>
    <w:rsid w:val="62B14837"/>
    <w:rsid w:val="62C56183"/>
    <w:rsid w:val="62DC049D"/>
    <w:rsid w:val="63265163"/>
    <w:rsid w:val="63505807"/>
    <w:rsid w:val="6394356A"/>
    <w:rsid w:val="63A35A5C"/>
    <w:rsid w:val="63BC5BA7"/>
    <w:rsid w:val="63C61B2C"/>
    <w:rsid w:val="63CB3435"/>
    <w:rsid w:val="63D40BE9"/>
    <w:rsid w:val="63F93A89"/>
    <w:rsid w:val="64102431"/>
    <w:rsid w:val="647966DF"/>
    <w:rsid w:val="647C67ED"/>
    <w:rsid w:val="64A5243A"/>
    <w:rsid w:val="64AC2304"/>
    <w:rsid w:val="64AE56BF"/>
    <w:rsid w:val="64E22046"/>
    <w:rsid w:val="64F531DE"/>
    <w:rsid w:val="65255989"/>
    <w:rsid w:val="652D2EFD"/>
    <w:rsid w:val="65373578"/>
    <w:rsid w:val="6574175E"/>
    <w:rsid w:val="65B71E23"/>
    <w:rsid w:val="65F626DA"/>
    <w:rsid w:val="66514AB1"/>
    <w:rsid w:val="665705F5"/>
    <w:rsid w:val="66730F10"/>
    <w:rsid w:val="66A32AED"/>
    <w:rsid w:val="66AD2D82"/>
    <w:rsid w:val="66D57F36"/>
    <w:rsid w:val="66EB6440"/>
    <w:rsid w:val="67112E9A"/>
    <w:rsid w:val="671F124A"/>
    <w:rsid w:val="674A6224"/>
    <w:rsid w:val="67746F85"/>
    <w:rsid w:val="677A33C6"/>
    <w:rsid w:val="679A0CCA"/>
    <w:rsid w:val="68004FFF"/>
    <w:rsid w:val="68103152"/>
    <w:rsid w:val="681F6961"/>
    <w:rsid w:val="682D7860"/>
    <w:rsid w:val="685C6A4A"/>
    <w:rsid w:val="68610A2F"/>
    <w:rsid w:val="687E131F"/>
    <w:rsid w:val="68805514"/>
    <w:rsid w:val="68F95994"/>
    <w:rsid w:val="69316E2F"/>
    <w:rsid w:val="694E2071"/>
    <w:rsid w:val="695B024E"/>
    <w:rsid w:val="69766163"/>
    <w:rsid w:val="697A3B33"/>
    <w:rsid w:val="69BE16B1"/>
    <w:rsid w:val="69D44760"/>
    <w:rsid w:val="69D71F15"/>
    <w:rsid w:val="6A520EC7"/>
    <w:rsid w:val="6A737DD2"/>
    <w:rsid w:val="6A7D68D7"/>
    <w:rsid w:val="6A93494E"/>
    <w:rsid w:val="6AAC674B"/>
    <w:rsid w:val="6AB9525A"/>
    <w:rsid w:val="6AF87E20"/>
    <w:rsid w:val="6B322639"/>
    <w:rsid w:val="6B436531"/>
    <w:rsid w:val="6B661673"/>
    <w:rsid w:val="6B740E42"/>
    <w:rsid w:val="6B771370"/>
    <w:rsid w:val="6BAE515B"/>
    <w:rsid w:val="6BB35060"/>
    <w:rsid w:val="6BD0220A"/>
    <w:rsid w:val="6C1329AA"/>
    <w:rsid w:val="6C5C1940"/>
    <w:rsid w:val="6C636C38"/>
    <w:rsid w:val="6C857E74"/>
    <w:rsid w:val="6CCE544E"/>
    <w:rsid w:val="6CDC65FF"/>
    <w:rsid w:val="6D3F56AB"/>
    <w:rsid w:val="6D7E46BA"/>
    <w:rsid w:val="6DB34098"/>
    <w:rsid w:val="6DB545B6"/>
    <w:rsid w:val="6DE02FB4"/>
    <w:rsid w:val="6DF40D5C"/>
    <w:rsid w:val="6E2E3B4E"/>
    <w:rsid w:val="6E4C6FF2"/>
    <w:rsid w:val="6E514CED"/>
    <w:rsid w:val="6E7B2CF0"/>
    <w:rsid w:val="6E8220A9"/>
    <w:rsid w:val="6EA535FD"/>
    <w:rsid w:val="6EB563D5"/>
    <w:rsid w:val="6EC20F33"/>
    <w:rsid w:val="6ED92677"/>
    <w:rsid w:val="6EE669BA"/>
    <w:rsid w:val="6F0C405B"/>
    <w:rsid w:val="6F22046B"/>
    <w:rsid w:val="6F225983"/>
    <w:rsid w:val="6F4B1D9C"/>
    <w:rsid w:val="6F6155D3"/>
    <w:rsid w:val="6F667350"/>
    <w:rsid w:val="6FA4767D"/>
    <w:rsid w:val="6FAD5EF5"/>
    <w:rsid w:val="6FB72105"/>
    <w:rsid w:val="6FD26C57"/>
    <w:rsid w:val="6FFC5590"/>
    <w:rsid w:val="7015099C"/>
    <w:rsid w:val="701C11B4"/>
    <w:rsid w:val="70207AAC"/>
    <w:rsid w:val="702677FF"/>
    <w:rsid w:val="706D1DD0"/>
    <w:rsid w:val="70856B87"/>
    <w:rsid w:val="70BA072F"/>
    <w:rsid w:val="70BD6851"/>
    <w:rsid w:val="70D0347E"/>
    <w:rsid w:val="70D527EE"/>
    <w:rsid w:val="70D86B73"/>
    <w:rsid w:val="70FE08BF"/>
    <w:rsid w:val="71172BBC"/>
    <w:rsid w:val="71486AEC"/>
    <w:rsid w:val="715B5300"/>
    <w:rsid w:val="7172092D"/>
    <w:rsid w:val="71A702F5"/>
    <w:rsid w:val="71C51A6C"/>
    <w:rsid w:val="71C60D2A"/>
    <w:rsid w:val="71D27F8A"/>
    <w:rsid w:val="71FF7EFC"/>
    <w:rsid w:val="72333A3E"/>
    <w:rsid w:val="723F12D5"/>
    <w:rsid w:val="724A3704"/>
    <w:rsid w:val="72553024"/>
    <w:rsid w:val="727A4737"/>
    <w:rsid w:val="72AC2185"/>
    <w:rsid w:val="72D82927"/>
    <w:rsid w:val="72DD7793"/>
    <w:rsid w:val="73020D2D"/>
    <w:rsid w:val="73122968"/>
    <w:rsid w:val="731E245D"/>
    <w:rsid w:val="731F5D5E"/>
    <w:rsid w:val="73315CFA"/>
    <w:rsid w:val="73A74AE1"/>
    <w:rsid w:val="73AB4716"/>
    <w:rsid w:val="73B302F0"/>
    <w:rsid w:val="73C51AD5"/>
    <w:rsid w:val="73E90CE3"/>
    <w:rsid w:val="741C206C"/>
    <w:rsid w:val="741E793C"/>
    <w:rsid w:val="745043D3"/>
    <w:rsid w:val="74582108"/>
    <w:rsid w:val="745E3944"/>
    <w:rsid w:val="747D5833"/>
    <w:rsid w:val="749F26AA"/>
    <w:rsid w:val="74D119F4"/>
    <w:rsid w:val="752F4EEC"/>
    <w:rsid w:val="75304859"/>
    <w:rsid w:val="754D28C7"/>
    <w:rsid w:val="75506F63"/>
    <w:rsid w:val="757F046F"/>
    <w:rsid w:val="758C7639"/>
    <w:rsid w:val="75B115B9"/>
    <w:rsid w:val="75B275F6"/>
    <w:rsid w:val="75F035A5"/>
    <w:rsid w:val="760569FC"/>
    <w:rsid w:val="76246A48"/>
    <w:rsid w:val="7635099D"/>
    <w:rsid w:val="763F3982"/>
    <w:rsid w:val="76615C0D"/>
    <w:rsid w:val="767370CA"/>
    <w:rsid w:val="76B772DD"/>
    <w:rsid w:val="773A4B45"/>
    <w:rsid w:val="77407E24"/>
    <w:rsid w:val="77762421"/>
    <w:rsid w:val="77822914"/>
    <w:rsid w:val="778669EA"/>
    <w:rsid w:val="7798250B"/>
    <w:rsid w:val="779B3265"/>
    <w:rsid w:val="77A83872"/>
    <w:rsid w:val="77B56B1F"/>
    <w:rsid w:val="77C35F30"/>
    <w:rsid w:val="77C377B3"/>
    <w:rsid w:val="77C9214B"/>
    <w:rsid w:val="77DD2683"/>
    <w:rsid w:val="77E23E14"/>
    <w:rsid w:val="77FC53DF"/>
    <w:rsid w:val="7800634C"/>
    <w:rsid w:val="780F09F4"/>
    <w:rsid w:val="78166FA2"/>
    <w:rsid w:val="783F71B5"/>
    <w:rsid w:val="78665AAD"/>
    <w:rsid w:val="78A90480"/>
    <w:rsid w:val="78F01FAB"/>
    <w:rsid w:val="799A75CB"/>
    <w:rsid w:val="79CF0ECF"/>
    <w:rsid w:val="79D910FF"/>
    <w:rsid w:val="7A364017"/>
    <w:rsid w:val="7A5117F3"/>
    <w:rsid w:val="7A8265E1"/>
    <w:rsid w:val="7A837EDE"/>
    <w:rsid w:val="7A9A7C65"/>
    <w:rsid w:val="7AAF1452"/>
    <w:rsid w:val="7AD346A0"/>
    <w:rsid w:val="7B2E3B8F"/>
    <w:rsid w:val="7B392AF3"/>
    <w:rsid w:val="7B437B4E"/>
    <w:rsid w:val="7B686D42"/>
    <w:rsid w:val="7B841746"/>
    <w:rsid w:val="7B98712C"/>
    <w:rsid w:val="7BB40092"/>
    <w:rsid w:val="7BC147A0"/>
    <w:rsid w:val="7C66113B"/>
    <w:rsid w:val="7C6C5AC7"/>
    <w:rsid w:val="7C8F53D1"/>
    <w:rsid w:val="7CC6544B"/>
    <w:rsid w:val="7CDA1733"/>
    <w:rsid w:val="7CF14EA8"/>
    <w:rsid w:val="7D0239FF"/>
    <w:rsid w:val="7D2E70AA"/>
    <w:rsid w:val="7D5E40CD"/>
    <w:rsid w:val="7DBF2F8E"/>
    <w:rsid w:val="7DCD56F2"/>
    <w:rsid w:val="7DE467BB"/>
    <w:rsid w:val="7DF033B2"/>
    <w:rsid w:val="7E0460C6"/>
    <w:rsid w:val="7E17093E"/>
    <w:rsid w:val="7E974C28"/>
    <w:rsid w:val="7EAE4A96"/>
    <w:rsid w:val="7ED613A6"/>
    <w:rsid w:val="7ED93E88"/>
    <w:rsid w:val="7EDE145C"/>
    <w:rsid w:val="7F001CE7"/>
    <w:rsid w:val="7F04261A"/>
    <w:rsid w:val="7F4310EE"/>
    <w:rsid w:val="7F5A7C02"/>
    <w:rsid w:val="7F5E2937"/>
    <w:rsid w:val="7F7C3459"/>
    <w:rsid w:val="7F990A94"/>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39" w:semiHidden="0" w:name="toc 1" w:locked="1"/>
    <w:lsdException w:qFormat="1" w:uiPriority="39" w:semiHidden="0" w:name="toc 2" w:locked="1"/>
    <w:lsdException w:qFormat="1" w:uiPriority="39"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iPriority="0" w:semiHidden="0" w:name="Normal Indent" w:locked="1"/>
    <w:lsdException w:uiPriority="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nhideWhenUsed="0" w:uiPriority="0" w:semiHidden="0" w:name="table of authorities" w:locked="1"/>
    <w:lsdException w:uiPriority="0" w:name="macro" w:locked="1"/>
    <w:lsdException w:qFormat="1" w:uiPriority="99" w:semiHidden="0" w:name="toa heading" w:locked="1"/>
    <w:lsdException w:qFormat="1" w:unhideWhenUsed="0" w:uiPriority="0" w:semiHidden="0" w:name="List" w:locked="1"/>
    <w:lsdException w:unhideWhenUsed="0" w:uiPriority="0" w:semiHidden="0" w:name="List Bullet" w:locked="1"/>
    <w:lsdException w:qFormat="1" w:uiPriority="0" w:name="List Number" w:locked="1"/>
    <w:lsdException w:uiPriority="0" w:name="List 2" w:locked="1"/>
    <w:lsdException w:uiPriority="0" w:name="List 3" w:locked="1"/>
    <w:lsdException w:uiPriority="0" w:name="List 4" w:locked="1"/>
    <w:lsdException w:uiPriority="0" w:name="List 5" w:locked="1"/>
    <w:lsdException w:qFormat="1" w:uiPriority="0" w:name="List Bullet 2" w:locked="1"/>
    <w:lsdException w:uiPriority="0" w:name="List Bullet 3" w:locked="1"/>
    <w:lsdException w:uiPriority="0" w:name="List Bullet 4" w:locked="1"/>
    <w:lsdException w:qFormat="1"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iPriority="0" w:name="Message Header" w:locked="1"/>
    <w:lsdException w:qFormat="1" w:unhideWhenUsed="0" w:uiPriority="0" w:semiHidden="0" w:name="Subtitle" w:locked="1"/>
    <w:lsdException w:uiPriority="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uiPriority="0" w:name="Body Text 2" w:locked="1"/>
    <w:lsdException w:uiPriority="0" w:name="Body Text 3" w:locked="1"/>
    <w:lsdException w:uiPriority="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uiPriority="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qFormat="1" w:uiPriority="99" w:semiHidden="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1"/>
    <w:next w:val="1"/>
    <w:qFormat/>
    <w:locked/>
    <w:uiPriority w:val="0"/>
    <w:pPr>
      <w:keepNext/>
      <w:keepLines/>
      <w:spacing w:before="260" w:after="260" w:line="413" w:lineRule="auto"/>
      <w:outlineLvl w:val="1"/>
    </w:pPr>
    <w:rPr>
      <w:rFonts w:ascii="Arial" w:hAnsi="Arial"/>
      <w:sz w:val="24"/>
    </w:rPr>
  </w:style>
  <w:style w:type="paragraph" w:styleId="4">
    <w:name w:val="heading 3"/>
    <w:basedOn w:val="1"/>
    <w:next w:val="1"/>
    <w:link w:val="55"/>
    <w:qFormat/>
    <w:locked/>
    <w:uiPriority w:val="0"/>
    <w:pPr>
      <w:keepNext/>
      <w:keepLines/>
      <w:spacing w:before="260" w:after="260" w:line="416" w:lineRule="auto"/>
      <w:outlineLvl w:val="2"/>
    </w:pPr>
    <w:rPr>
      <w:b/>
      <w:bCs/>
      <w:sz w:val="32"/>
      <w:szCs w:val="32"/>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5">
    <w:name w:val="E-mail Signature"/>
    <w:basedOn w:val="1"/>
    <w:next w:val="6"/>
    <w:unhideWhenUsed/>
    <w:qFormat/>
    <w:locked/>
    <w:uiPriority w:val="99"/>
    <w:pPr>
      <w:spacing w:line="460" w:lineRule="exact"/>
      <w:ind w:firstLine="200"/>
    </w:pPr>
  </w:style>
  <w:style w:type="paragraph" w:customStyle="1" w:styleId="6">
    <w:name w:val="文章"/>
    <w:basedOn w:val="7"/>
    <w:next w:val="9"/>
    <w:qFormat/>
    <w:uiPriority w:val="0"/>
    <w:pPr>
      <w:ind w:firstLine="480"/>
      <w:jc w:val="center"/>
    </w:pPr>
    <w:rPr>
      <w:kern w:val="2"/>
      <w:sz w:val="26"/>
      <w:szCs w:val="22"/>
    </w:rPr>
  </w:style>
  <w:style w:type="paragraph" w:styleId="7">
    <w:name w:val="Body Text Indent"/>
    <w:basedOn w:val="1"/>
    <w:next w:val="8"/>
    <w:link w:val="54"/>
    <w:qFormat/>
    <w:uiPriority w:val="0"/>
    <w:pPr>
      <w:spacing w:after="120"/>
      <w:ind w:left="420" w:leftChars="200"/>
    </w:pPr>
    <w:rPr>
      <w:kern w:val="0"/>
      <w:sz w:val="24"/>
      <w:szCs w:val="20"/>
    </w:rPr>
  </w:style>
  <w:style w:type="paragraph" w:styleId="8">
    <w:name w:val="Normal Indent"/>
    <w:basedOn w:val="1"/>
    <w:next w:val="1"/>
    <w:unhideWhenUsed/>
    <w:qFormat/>
    <w:locked/>
    <w:uiPriority w:val="0"/>
    <w:pPr>
      <w:widowControl/>
      <w:ind w:firstLine="420" w:firstLineChars="200"/>
      <w:jc w:val="left"/>
    </w:pPr>
    <w:rPr>
      <w:rFonts w:ascii="宋体" w:hAnsi="宋体" w:cs="宋体"/>
      <w:kern w:val="0"/>
      <w:sz w:val="24"/>
    </w:rPr>
  </w:style>
  <w:style w:type="paragraph" w:styleId="9">
    <w:name w:val="List"/>
    <w:basedOn w:val="1"/>
    <w:next w:val="10"/>
    <w:qFormat/>
    <w:locked/>
    <w:uiPriority w:val="0"/>
    <w:pPr>
      <w:widowControl/>
      <w:spacing w:line="360" w:lineRule="exact"/>
      <w:jc w:val="center"/>
    </w:pPr>
    <w:rPr>
      <w:rFonts w:ascii="仿宋_GB2312" w:hAnsi="Calibri" w:eastAsia="仿宋_GB2312"/>
      <w:szCs w:val="22"/>
    </w:rPr>
  </w:style>
  <w:style w:type="paragraph" w:styleId="10">
    <w:name w:val="List Bullet 2"/>
    <w:basedOn w:val="1"/>
    <w:next w:val="11"/>
    <w:semiHidden/>
    <w:unhideWhenUsed/>
    <w:qFormat/>
    <w:locked/>
    <w:uiPriority w:val="0"/>
    <w:pPr>
      <w:numPr>
        <w:ilvl w:val="0"/>
        <w:numId w:val="1"/>
      </w:numPr>
    </w:pPr>
  </w:style>
  <w:style w:type="paragraph" w:customStyle="1" w:styleId="11">
    <w:name w:val="xl70"/>
    <w:basedOn w:val="1"/>
    <w:next w:val="12"/>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sz w:val="20"/>
      <w:szCs w:val="20"/>
    </w:rPr>
  </w:style>
  <w:style w:type="paragraph" w:customStyle="1" w:styleId="12">
    <w:name w:val="正文缩进1"/>
    <w:basedOn w:val="1"/>
    <w:next w:val="13"/>
    <w:qFormat/>
    <w:uiPriority w:val="0"/>
    <w:pPr>
      <w:spacing w:before="156" w:beforeLines="50" w:after="156" w:afterLines="50"/>
      <w:ind w:firstLine="1048" w:firstLineChars="435"/>
      <w:jc w:val="center"/>
    </w:pPr>
    <w:rPr>
      <w:rFonts w:ascii="宋体" w:hAnsi="宋体"/>
      <w:b/>
      <w:bCs/>
      <w:color w:val="000000"/>
      <w:kern w:val="24"/>
      <w:sz w:val="24"/>
    </w:rPr>
  </w:style>
  <w:style w:type="paragraph" w:customStyle="1" w:styleId="13">
    <w:name w:val="td1"/>
    <w:basedOn w:val="1"/>
    <w:next w:val="1"/>
    <w:qFormat/>
    <w:uiPriority w:val="0"/>
    <w:pPr>
      <w:widowControl/>
      <w:spacing w:before="280" w:after="280" w:line="300" w:lineRule="atLeast"/>
      <w:ind w:firstLine="200"/>
    </w:pPr>
    <w:rPr>
      <w:color w:val="000000"/>
      <w:sz w:val="18"/>
    </w:rPr>
  </w:style>
  <w:style w:type="paragraph" w:styleId="14">
    <w:name w:val="List Number"/>
    <w:basedOn w:val="1"/>
    <w:semiHidden/>
    <w:unhideWhenUsed/>
    <w:qFormat/>
    <w:locked/>
    <w:uiPriority w:val="0"/>
    <w:pPr>
      <w:numPr>
        <w:ilvl w:val="0"/>
        <w:numId w:val="2"/>
      </w:numPr>
    </w:pPr>
  </w:style>
  <w:style w:type="paragraph" w:styleId="15">
    <w:name w:val="caption"/>
    <w:basedOn w:val="1"/>
    <w:next w:val="1"/>
    <w:qFormat/>
    <w:locked/>
    <w:uiPriority w:val="0"/>
    <w:pPr>
      <w:jc w:val="center"/>
    </w:pPr>
    <w:rPr>
      <w:rFonts w:eastAsia="仿宋_GB2312"/>
      <w:b/>
      <w:szCs w:val="20"/>
    </w:rPr>
  </w:style>
  <w:style w:type="paragraph" w:styleId="16">
    <w:name w:val="Document Map"/>
    <w:basedOn w:val="1"/>
    <w:link w:val="67"/>
    <w:qFormat/>
    <w:locked/>
    <w:uiPriority w:val="0"/>
    <w:rPr>
      <w:rFonts w:ascii="宋体"/>
      <w:sz w:val="18"/>
      <w:szCs w:val="18"/>
    </w:rPr>
  </w:style>
  <w:style w:type="paragraph" w:styleId="17">
    <w:name w:val="toa heading"/>
    <w:basedOn w:val="1"/>
    <w:next w:val="1"/>
    <w:unhideWhenUsed/>
    <w:qFormat/>
    <w:locked/>
    <w:uiPriority w:val="99"/>
    <w:pPr>
      <w:spacing w:before="120" w:after="100" w:afterAutospacing="1"/>
    </w:pPr>
    <w:rPr>
      <w:rFonts w:ascii="Arial" w:hAnsi="Arial" w:cs="Arial"/>
      <w:sz w:val="24"/>
    </w:rPr>
  </w:style>
  <w:style w:type="paragraph" w:styleId="18">
    <w:name w:val="annotation text"/>
    <w:basedOn w:val="1"/>
    <w:link w:val="53"/>
    <w:qFormat/>
    <w:uiPriority w:val="0"/>
    <w:pPr>
      <w:jc w:val="left"/>
    </w:pPr>
    <w:rPr>
      <w:kern w:val="0"/>
      <w:sz w:val="24"/>
      <w:szCs w:val="20"/>
    </w:rPr>
  </w:style>
  <w:style w:type="paragraph" w:styleId="19">
    <w:name w:val="Body Text"/>
    <w:basedOn w:val="1"/>
    <w:link w:val="52"/>
    <w:qFormat/>
    <w:uiPriority w:val="0"/>
    <w:pPr>
      <w:widowControl/>
      <w:snapToGrid w:val="0"/>
      <w:spacing w:before="60" w:after="160" w:line="259" w:lineRule="auto"/>
      <w:ind w:right="113"/>
    </w:pPr>
    <w:rPr>
      <w:kern w:val="0"/>
      <w:sz w:val="18"/>
      <w:szCs w:val="20"/>
    </w:rPr>
  </w:style>
  <w:style w:type="paragraph" w:styleId="20">
    <w:name w:val="Block Text"/>
    <w:basedOn w:val="1"/>
    <w:qFormat/>
    <w:locked/>
    <w:uiPriority w:val="0"/>
    <w:pPr>
      <w:spacing w:after="120"/>
      <w:ind w:left="1440" w:leftChars="700" w:right="1440" w:rightChars="700"/>
    </w:pPr>
    <w:rPr>
      <w:szCs w:val="21"/>
    </w:rPr>
  </w:style>
  <w:style w:type="paragraph" w:styleId="21">
    <w:name w:val="toc 3"/>
    <w:basedOn w:val="1"/>
    <w:next w:val="1"/>
    <w:semiHidden/>
    <w:unhideWhenUsed/>
    <w:qFormat/>
    <w:locked/>
    <w:uiPriority w:val="39"/>
    <w:pPr>
      <w:ind w:left="840" w:leftChars="400"/>
    </w:pPr>
  </w:style>
  <w:style w:type="paragraph" w:styleId="22">
    <w:name w:val="Plain Text"/>
    <w:basedOn w:val="1"/>
    <w:qFormat/>
    <w:locked/>
    <w:uiPriority w:val="0"/>
    <w:pPr>
      <w:widowControl/>
      <w:jc w:val="left"/>
    </w:pPr>
    <w:rPr>
      <w:rFonts w:ascii="宋体" w:hAnsi="Courier New"/>
      <w:kern w:val="0"/>
      <w:szCs w:val="20"/>
    </w:rPr>
  </w:style>
  <w:style w:type="paragraph" w:styleId="23">
    <w:name w:val="List Bullet 5"/>
    <w:basedOn w:val="1"/>
    <w:semiHidden/>
    <w:unhideWhenUsed/>
    <w:qFormat/>
    <w:locked/>
    <w:uiPriority w:val="0"/>
    <w:pPr>
      <w:numPr>
        <w:ilvl w:val="0"/>
        <w:numId w:val="3"/>
      </w:numPr>
    </w:pPr>
  </w:style>
  <w:style w:type="paragraph" w:styleId="24">
    <w:name w:val="Date"/>
    <w:basedOn w:val="1"/>
    <w:next w:val="1"/>
    <w:link w:val="65"/>
    <w:qFormat/>
    <w:uiPriority w:val="0"/>
    <w:pPr>
      <w:ind w:left="100" w:leftChars="2500"/>
    </w:pPr>
    <w:rPr>
      <w:kern w:val="0"/>
      <w:sz w:val="24"/>
      <w:szCs w:val="20"/>
    </w:rPr>
  </w:style>
  <w:style w:type="paragraph" w:styleId="25">
    <w:name w:val="Balloon Text"/>
    <w:basedOn w:val="1"/>
    <w:link w:val="56"/>
    <w:semiHidden/>
    <w:qFormat/>
    <w:uiPriority w:val="0"/>
    <w:rPr>
      <w:kern w:val="0"/>
      <w:sz w:val="18"/>
      <w:szCs w:val="20"/>
    </w:rPr>
  </w:style>
  <w:style w:type="paragraph" w:styleId="26">
    <w:name w:val="footer"/>
    <w:basedOn w:val="1"/>
    <w:link w:val="69"/>
    <w:qFormat/>
    <w:uiPriority w:val="99"/>
    <w:pPr>
      <w:tabs>
        <w:tab w:val="center" w:pos="4153"/>
        <w:tab w:val="right" w:pos="8306"/>
      </w:tabs>
      <w:snapToGrid w:val="0"/>
      <w:jc w:val="left"/>
    </w:pPr>
    <w:rPr>
      <w:kern w:val="0"/>
      <w:sz w:val="18"/>
      <w:szCs w:val="20"/>
    </w:rPr>
  </w:style>
  <w:style w:type="paragraph" w:styleId="27">
    <w:name w:val="header"/>
    <w:basedOn w:val="1"/>
    <w:next w:val="1"/>
    <w:link w:val="51"/>
    <w:qFormat/>
    <w:uiPriority w:val="0"/>
    <w:pPr>
      <w:pBdr>
        <w:bottom w:val="single" w:color="auto" w:sz="6" w:space="1"/>
      </w:pBdr>
      <w:tabs>
        <w:tab w:val="center" w:pos="4153"/>
        <w:tab w:val="right" w:pos="8306"/>
      </w:tabs>
      <w:snapToGrid w:val="0"/>
      <w:jc w:val="center"/>
    </w:pPr>
    <w:rPr>
      <w:kern w:val="0"/>
      <w:sz w:val="18"/>
      <w:szCs w:val="20"/>
    </w:rPr>
  </w:style>
  <w:style w:type="paragraph" w:styleId="28">
    <w:name w:val="toc 1"/>
    <w:basedOn w:val="1"/>
    <w:next w:val="1"/>
    <w:qFormat/>
    <w:locked/>
    <w:uiPriority w:val="39"/>
  </w:style>
  <w:style w:type="paragraph" w:styleId="29">
    <w:name w:val="index heading"/>
    <w:basedOn w:val="1"/>
    <w:next w:val="30"/>
    <w:qFormat/>
    <w:locked/>
    <w:uiPriority w:val="0"/>
    <w:pPr>
      <w:pBdr>
        <w:top w:val="single" w:color="auto" w:sz="12" w:space="0"/>
      </w:pBdr>
      <w:spacing w:before="360" w:after="240"/>
      <w:jc w:val="left"/>
    </w:pPr>
    <w:rPr>
      <w:b/>
      <w:bCs/>
      <w:i/>
      <w:iCs/>
      <w:szCs w:val="31"/>
    </w:rPr>
  </w:style>
  <w:style w:type="paragraph" w:styleId="30">
    <w:name w:val="index 1"/>
    <w:basedOn w:val="1"/>
    <w:next w:val="1"/>
    <w:qFormat/>
    <w:locked/>
    <w:uiPriority w:val="0"/>
    <w:pPr>
      <w:widowControl/>
      <w:jc w:val="left"/>
    </w:pPr>
    <w:rPr>
      <w:rFonts w:ascii="宋体" w:hAnsi="宋体" w:cs="宋体"/>
      <w:kern w:val="0"/>
      <w:sz w:val="28"/>
      <w:szCs w:val="20"/>
    </w:rPr>
  </w:style>
  <w:style w:type="paragraph" w:styleId="31">
    <w:name w:val="Body Text Indent 3"/>
    <w:basedOn w:val="1"/>
    <w:link w:val="74"/>
    <w:qFormat/>
    <w:locked/>
    <w:uiPriority w:val="0"/>
    <w:pPr>
      <w:spacing w:after="120"/>
      <w:ind w:left="420" w:leftChars="200"/>
    </w:pPr>
    <w:rPr>
      <w:sz w:val="16"/>
      <w:szCs w:val="16"/>
    </w:rPr>
  </w:style>
  <w:style w:type="paragraph" w:styleId="32">
    <w:name w:val="toc 2"/>
    <w:basedOn w:val="1"/>
    <w:next w:val="5"/>
    <w:unhideWhenUsed/>
    <w:qFormat/>
    <w:locked/>
    <w:uiPriority w:val="39"/>
    <w:pPr>
      <w:ind w:left="420" w:leftChars="200"/>
    </w:pPr>
  </w:style>
  <w:style w:type="paragraph" w:styleId="33">
    <w:name w:val="Normal (Web)"/>
    <w:basedOn w:val="1"/>
    <w:link w:val="59"/>
    <w:qFormat/>
    <w:uiPriority w:val="0"/>
    <w:pPr>
      <w:widowControl/>
      <w:spacing w:before="100" w:beforeAutospacing="1" w:after="100" w:afterAutospacing="1"/>
      <w:jc w:val="left"/>
    </w:pPr>
    <w:rPr>
      <w:rFonts w:ascii="宋体" w:hAnsi="宋体"/>
      <w:kern w:val="0"/>
      <w:sz w:val="24"/>
      <w:szCs w:val="20"/>
    </w:rPr>
  </w:style>
  <w:style w:type="paragraph" w:styleId="34">
    <w:name w:val="annotation subject"/>
    <w:basedOn w:val="18"/>
    <w:next w:val="18"/>
    <w:link w:val="57"/>
    <w:semiHidden/>
    <w:qFormat/>
    <w:uiPriority w:val="0"/>
    <w:rPr>
      <w:b/>
      <w:kern w:val="2"/>
    </w:rPr>
  </w:style>
  <w:style w:type="paragraph" w:styleId="35">
    <w:name w:val="Body Text First Indent"/>
    <w:basedOn w:val="19"/>
    <w:next w:val="1"/>
    <w:qFormat/>
    <w:locked/>
    <w:uiPriority w:val="0"/>
    <w:pPr>
      <w:spacing w:after="120"/>
      <w:ind w:firstLine="420" w:firstLineChars="100"/>
    </w:pPr>
    <w:rPr>
      <w:sz w:val="21"/>
      <w:szCs w:val="20"/>
    </w:rPr>
  </w:style>
  <w:style w:type="paragraph" w:styleId="36">
    <w:name w:val="Body Text First Indent 2"/>
    <w:basedOn w:val="7"/>
    <w:next w:val="35"/>
    <w:qFormat/>
    <w:locked/>
    <w:uiPriority w:val="0"/>
    <w:pPr>
      <w:tabs>
        <w:tab w:val="left" w:pos="1733"/>
      </w:tabs>
      <w:spacing w:before="60"/>
      <w:ind w:firstLine="210"/>
    </w:pPr>
    <w:rPr>
      <w:sz w:val="18"/>
      <w:szCs w:val="24"/>
    </w:rPr>
  </w:style>
  <w:style w:type="table" w:styleId="38">
    <w:name w:val="Table Grid"/>
    <w:basedOn w:val="3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page number"/>
    <w:basedOn w:val="39"/>
    <w:qFormat/>
    <w:locked/>
    <w:uiPriority w:val="0"/>
  </w:style>
  <w:style w:type="character" w:styleId="41">
    <w:name w:val="Hyperlink"/>
    <w:basedOn w:val="39"/>
    <w:unhideWhenUsed/>
    <w:qFormat/>
    <w:locked/>
    <w:uiPriority w:val="99"/>
    <w:rPr>
      <w:color w:val="0000FF" w:themeColor="hyperlink"/>
      <w:u w:val="single"/>
      <w14:textFill>
        <w14:solidFill>
          <w14:schemeClr w14:val="hlink"/>
        </w14:solidFill>
      </w14:textFill>
    </w:rPr>
  </w:style>
  <w:style w:type="character" w:styleId="42">
    <w:name w:val="annotation reference"/>
    <w:basedOn w:val="39"/>
    <w:semiHidden/>
    <w:qFormat/>
    <w:uiPriority w:val="0"/>
    <w:rPr>
      <w:sz w:val="21"/>
    </w:rPr>
  </w:style>
  <w:style w:type="paragraph" w:customStyle="1" w:styleId="43">
    <w:name w:val="样式 样式 样式 四号 左侧:  1.53 厘米 + 首行缩进:  2 字符 + 居中 左侧:  2 字符 首行缩进:  2..."/>
    <w:basedOn w:val="44"/>
    <w:qFormat/>
    <w:uiPriority w:val="0"/>
    <w:pPr>
      <w:ind w:firstLine="0" w:firstLineChars="0"/>
      <w:jc w:val="center"/>
    </w:pPr>
  </w:style>
  <w:style w:type="paragraph" w:customStyle="1" w:styleId="44">
    <w:name w:val="样式 样式 四号 左侧:  1.53 厘米 + 首行缩进:  2 字符"/>
    <w:basedOn w:val="45"/>
    <w:qFormat/>
    <w:uiPriority w:val="0"/>
    <w:pPr>
      <w:ind w:left="200" w:leftChars="200"/>
    </w:pPr>
    <w:rPr>
      <w:szCs w:val="20"/>
    </w:rPr>
  </w:style>
  <w:style w:type="paragraph" w:customStyle="1" w:styleId="45">
    <w:name w:val="样式 四号 左侧:  1.53 厘米"/>
    <w:basedOn w:val="1"/>
    <w:qFormat/>
    <w:uiPriority w:val="0"/>
    <w:pPr>
      <w:adjustRightInd w:val="0"/>
    </w:pPr>
    <w:rPr>
      <w:w w:val="90"/>
      <w:sz w:val="28"/>
      <w:szCs w:val="28"/>
    </w:rPr>
  </w:style>
  <w:style w:type="paragraph" w:customStyle="1" w:styleId="46">
    <w:name w:val="样式 正文缩进正文（首行缩进两字） + 宋体 行距: 1.5 倍行距"/>
    <w:basedOn w:val="8"/>
    <w:qFormat/>
    <w:uiPriority w:val="0"/>
    <w:pPr>
      <w:adjustRightInd w:val="0"/>
      <w:spacing w:line="300" w:lineRule="auto"/>
      <w:ind w:firstLine="482"/>
      <w:jc w:val="left"/>
      <w:textAlignment w:val="baseline"/>
    </w:pPr>
    <w:rPr>
      <w:rFonts w:ascii="宋体" w:hAnsi="宋体"/>
      <w:sz w:val="24"/>
    </w:rPr>
  </w:style>
  <w:style w:type="paragraph" w:customStyle="1" w:styleId="47">
    <w:name w:val="Default"/>
    <w:basedOn w:val="48"/>
    <w:next w:val="49"/>
    <w:qFormat/>
    <w:uiPriority w:val="0"/>
    <w:pPr>
      <w:autoSpaceDE w:val="0"/>
      <w:autoSpaceDN w:val="0"/>
      <w:spacing w:line="240" w:lineRule="exact"/>
    </w:pPr>
    <w:rPr>
      <w:rFonts w:hAnsi="宋体"/>
      <w:color w:val="000000"/>
      <w:sz w:val="24"/>
    </w:rPr>
  </w:style>
  <w:style w:type="paragraph" w:customStyle="1" w:styleId="48">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49">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50">
    <w:name w:val="纯文本1"/>
    <w:basedOn w:val="1"/>
    <w:qFormat/>
    <w:uiPriority w:val="0"/>
    <w:pPr>
      <w:adjustRightInd w:val="0"/>
    </w:pPr>
    <w:rPr>
      <w:rFonts w:ascii="宋体" w:hAnsi="Courier New"/>
      <w:szCs w:val="20"/>
    </w:rPr>
  </w:style>
  <w:style w:type="character" w:customStyle="1" w:styleId="51">
    <w:name w:val="页眉 Char"/>
    <w:link w:val="27"/>
    <w:qFormat/>
    <w:locked/>
    <w:uiPriority w:val="0"/>
    <w:rPr>
      <w:sz w:val="18"/>
    </w:rPr>
  </w:style>
  <w:style w:type="character" w:customStyle="1" w:styleId="52">
    <w:name w:val="正文文本 Char"/>
    <w:link w:val="19"/>
    <w:qFormat/>
    <w:locked/>
    <w:uiPriority w:val="0"/>
    <w:rPr>
      <w:sz w:val="18"/>
    </w:rPr>
  </w:style>
  <w:style w:type="character" w:customStyle="1" w:styleId="53">
    <w:name w:val="批注文字 Char"/>
    <w:link w:val="18"/>
    <w:qFormat/>
    <w:locked/>
    <w:uiPriority w:val="0"/>
    <w:rPr>
      <w:rFonts w:ascii="Times New Roman" w:hAnsi="Times New Roman" w:eastAsia="宋体"/>
      <w:sz w:val="24"/>
    </w:rPr>
  </w:style>
  <w:style w:type="character" w:customStyle="1" w:styleId="54">
    <w:name w:val="正文文本缩进 Char"/>
    <w:link w:val="7"/>
    <w:semiHidden/>
    <w:qFormat/>
    <w:locked/>
    <w:uiPriority w:val="0"/>
    <w:rPr>
      <w:rFonts w:ascii="Times New Roman" w:hAnsi="Times New Roman" w:eastAsia="宋体"/>
      <w:sz w:val="24"/>
    </w:rPr>
  </w:style>
  <w:style w:type="character" w:customStyle="1" w:styleId="55">
    <w:name w:val="标题 3 Char"/>
    <w:basedOn w:val="39"/>
    <w:link w:val="4"/>
    <w:qFormat/>
    <w:uiPriority w:val="0"/>
    <w:rPr>
      <w:b/>
      <w:bCs/>
      <w:kern w:val="2"/>
      <w:sz w:val="32"/>
      <w:szCs w:val="32"/>
    </w:rPr>
  </w:style>
  <w:style w:type="character" w:customStyle="1" w:styleId="56">
    <w:name w:val="批注框文本 Char"/>
    <w:link w:val="25"/>
    <w:semiHidden/>
    <w:qFormat/>
    <w:locked/>
    <w:uiPriority w:val="0"/>
    <w:rPr>
      <w:rFonts w:ascii="Times New Roman" w:hAnsi="Times New Roman" w:eastAsia="宋体"/>
      <w:sz w:val="18"/>
    </w:rPr>
  </w:style>
  <w:style w:type="character" w:customStyle="1" w:styleId="57">
    <w:name w:val="批注主题 Char"/>
    <w:link w:val="34"/>
    <w:semiHidden/>
    <w:qFormat/>
    <w:locked/>
    <w:uiPriority w:val="0"/>
    <w:rPr>
      <w:rFonts w:ascii="Times New Roman" w:hAnsi="Times New Roman" w:eastAsia="宋体"/>
      <w:b/>
      <w:kern w:val="2"/>
      <w:sz w:val="24"/>
    </w:rPr>
  </w:style>
  <w:style w:type="character" w:customStyle="1" w:styleId="58">
    <w:name w:val="批注文字 字符1"/>
    <w:semiHidden/>
    <w:qFormat/>
    <w:uiPriority w:val="0"/>
    <w:rPr>
      <w:rFonts w:ascii="Times New Roman" w:hAnsi="Times New Roman" w:eastAsia="宋体"/>
      <w:sz w:val="24"/>
    </w:rPr>
  </w:style>
  <w:style w:type="character" w:customStyle="1" w:styleId="59">
    <w:name w:val="普通(网站) Char"/>
    <w:link w:val="33"/>
    <w:qFormat/>
    <w:locked/>
    <w:uiPriority w:val="0"/>
    <w:rPr>
      <w:rFonts w:ascii="宋体" w:hAnsi="宋体" w:eastAsia="宋体"/>
      <w:sz w:val="24"/>
    </w:rPr>
  </w:style>
  <w:style w:type="character" w:customStyle="1" w:styleId="60">
    <w:name w:val="页脚 字符"/>
    <w:basedOn w:val="39"/>
    <w:qFormat/>
    <w:uiPriority w:val="99"/>
  </w:style>
  <w:style w:type="character" w:customStyle="1" w:styleId="61">
    <w:name w:val="表格 Char"/>
    <w:link w:val="62"/>
    <w:qFormat/>
    <w:locked/>
    <w:uiPriority w:val="0"/>
    <w:rPr>
      <w:rFonts w:ascii="宋体"/>
      <w:sz w:val="21"/>
    </w:rPr>
  </w:style>
  <w:style w:type="paragraph" w:customStyle="1" w:styleId="62">
    <w:name w:val="表格"/>
    <w:basedOn w:val="63"/>
    <w:next w:val="1"/>
    <w:link w:val="61"/>
    <w:qFormat/>
    <w:uiPriority w:val="0"/>
    <w:pPr>
      <w:adjustRightInd w:val="0"/>
      <w:snapToGrid w:val="0"/>
      <w:spacing w:beforeLines="17" w:afterLines="17" w:line="259" w:lineRule="auto"/>
      <w:jc w:val="center"/>
    </w:pPr>
    <w:rPr>
      <w:rFonts w:ascii="宋体"/>
      <w:kern w:val="0"/>
      <w:szCs w:val="20"/>
    </w:rPr>
  </w:style>
  <w:style w:type="paragraph" w:customStyle="1" w:styleId="63">
    <w:name w:val="表头"/>
    <w:basedOn w:val="64"/>
    <w:next w:val="1"/>
    <w:qFormat/>
    <w:uiPriority w:val="0"/>
    <w:pPr>
      <w:spacing w:before="240" w:line="480" w:lineRule="exact"/>
      <w:ind w:firstLine="0" w:firstLineChars="0"/>
      <w:jc w:val="center"/>
    </w:pPr>
    <w:rPr>
      <w:rFonts w:ascii="宋体" w:eastAsia="黑体"/>
      <w:spacing w:val="6"/>
      <w:position w:val="10"/>
      <w:sz w:val="21"/>
    </w:rPr>
  </w:style>
  <w:style w:type="paragraph" w:customStyle="1" w:styleId="64">
    <w:name w:val="文本"/>
    <w:basedOn w:val="1"/>
    <w:qFormat/>
    <w:uiPriority w:val="0"/>
    <w:pPr>
      <w:adjustRightInd w:val="0"/>
      <w:snapToGrid w:val="0"/>
      <w:spacing w:line="360" w:lineRule="auto"/>
      <w:ind w:firstLine="1446" w:firstLineChars="200"/>
    </w:pPr>
    <w:rPr>
      <w:rFonts w:ascii="Times New Roman" w:hAnsi="Times New Roman"/>
      <w:sz w:val="24"/>
      <w:szCs w:val="24"/>
    </w:rPr>
  </w:style>
  <w:style w:type="character" w:customStyle="1" w:styleId="65">
    <w:name w:val="日期 Char"/>
    <w:link w:val="24"/>
    <w:qFormat/>
    <w:locked/>
    <w:uiPriority w:val="0"/>
    <w:rPr>
      <w:rFonts w:ascii="Times New Roman" w:hAnsi="Times New Roman" w:eastAsia="宋体"/>
      <w:sz w:val="24"/>
    </w:rPr>
  </w:style>
  <w:style w:type="character" w:customStyle="1" w:styleId="66">
    <w:name w:val="日期 字符"/>
    <w:semiHidden/>
    <w:qFormat/>
    <w:uiPriority w:val="0"/>
    <w:rPr>
      <w:rFonts w:ascii="Times New Roman" w:hAnsi="Times New Roman" w:eastAsia="宋体"/>
      <w:sz w:val="24"/>
    </w:rPr>
  </w:style>
  <w:style w:type="character" w:customStyle="1" w:styleId="67">
    <w:name w:val="文档结构图 Char"/>
    <w:basedOn w:val="39"/>
    <w:link w:val="16"/>
    <w:qFormat/>
    <w:uiPriority w:val="0"/>
    <w:rPr>
      <w:rFonts w:ascii="宋体"/>
      <w:kern w:val="2"/>
      <w:sz w:val="18"/>
      <w:szCs w:val="18"/>
    </w:rPr>
  </w:style>
  <w:style w:type="character" w:customStyle="1" w:styleId="68">
    <w:name w:val="正文文本 字符1"/>
    <w:semiHidden/>
    <w:qFormat/>
    <w:uiPriority w:val="0"/>
    <w:rPr>
      <w:rFonts w:ascii="Times New Roman" w:hAnsi="Times New Roman" w:eastAsia="宋体"/>
      <w:sz w:val="24"/>
    </w:rPr>
  </w:style>
  <w:style w:type="character" w:customStyle="1" w:styleId="69">
    <w:name w:val="页脚 Char"/>
    <w:link w:val="26"/>
    <w:qFormat/>
    <w:locked/>
    <w:uiPriority w:val="99"/>
    <w:rPr>
      <w:sz w:val="18"/>
    </w:rPr>
  </w:style>
  <w:style w:type="paragraph" w:customStyle="1" w:styleId="70">
    <w:name w:val="Table Paragraph"/>
    <w:basedOn w:val="1"/>
    <w:qFormat/>
    <w:uiPriority w:val="1"/>
    <w:rPr>
      <w:rFonts w:ascii="宋体" w:hAnsi="宋体" w:cs="宋体"/>
      <w:szCs w:val="20"/>
      <w:lang w:val="zh-CN" w:bidi="zh-CN"/>
    </w:rPr>
  </w:style>
  <w:style w:type="paragraph" w:customStyle="1" w:styleId="7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3">
    <w:name w:val="Body Text 21"/>
    <w:basedOn w:val="1"/>
    <w:qFormat/>
    <w:uiPriority w:val="99"/>
    <w:pPr>
      <w:adjustRightInd w:val="0"/>
      <w:textAlignment w:val="baseline"/>
    </w:pPr>
    <w:rPr>
      <w:rFonts w:ascii="仿宋_GB2312" w:eastAsia="义启仿宋体"/>
      <w:sz w:val="24"/>
    </w:rPr>
  </w:style>
  <w:style w:type="character" w:customStyle="1" w:styleId="74">
    <w:name w:val="正文文本缩进 3 Char"/>
    <w:basedOn w:val="39"/>
    <w:link w:val="31"/>
    <w:qFormat/>
    <w:uiPriority w:val="0"/>
    <w:rPr>
      <w:kern w:val="2"/>
      <w:sz w:val="16"/>
      <w:szCs w:val="16"/>
    </w:rPr>
  </w:style>
  <w:style w:type="paragraph" w:styleId="75">
    <w:name w:val="List Paragraph"/>
    <w:basedOn w:val="1"/>
    <w:qFormat/>
    <w:uiPriority w:val="34"/>
    <w:pPr>
      <w:widowControl/>
      <w:ind w:firstLine="420" w:firstLineChars="200"/>
      <w:jc w:val="left"/>
    </w:pPr>
    <w:rPr>
      <w:kern w:val="0"/>
      <w:sz w:val="24"/>
      <w:szCs w:val="20"/>
    </w:rPr>
  </w:style>
  <w:style w:type="character" w:customStyle="1" w:styleId="76">
    <w:name w:val="font11"/>
    <w:qFormat/>
    <w:uiPriority w:val="0"/>
    <w:rPr>
      <w:rFonts w:hint="eastAsia" w:ascii="宋体" w:hAnsi="宋体" w:eastAsia="宋体" w:cs="宋体"/>
      <w:color w:val="000000"/>
      <w:sz w:val="21"/>
      <w:szCs w:val="21"/>
      <w:u w:val="none"/>
    </w:rPr>
  </w:style>
  <w:style w:type="character" w:customStyle="1" w:styleId="77">
    <w:name w:val="font21"/>
    <w:qFormat/>
    <w:uiPriority w:val="0"/>
    <w:rPr>
      <w:rFonts w:hint="default" w:ascii="Times New Roman" w:hAnsi="Times New Roman" w:cs="Times New Roman"/>
      <w:color w:val="000000"/>
      <w:sz w:val="21"/>
      <w:szCs w:val="21"/>
      <w:u w:val="none"/>
    </w:rPr>
  </w:style>
  <w:style w:type="paragraph" w:customStyle="1" w:styleId="78">
    <w:name w:val="表格文字"/>
    <w:basedOn w:val="1"/>
    <w:next w:val="1"/>
    <w:qFormat/>
    <w:uiPriority w:val="0"/>
    <w:pPr>
      <w:jc w:val="center"/>
    </w:pPr>
    <w:rPr>
      <w:rFonts w:ascii="仿宋_GB2312" w:hAnsi="Arial Black" w:eastAsia="仿宋_GB2312"/>
      <w:kern w:val="44"/>
      <w:szCs w:val="20"/>
    </w:rPr>
  </w:style>
  <w:style w:type="character" w:customStyle="1" w:styleId="79">
    <w:name w:val="font31"/>
    <w:basedOn w:val="39"/>
    <w:qFormat/>
    <w:uiPriority w:val="0"/>
    <w:rPr>
      <w:rFonts w:hint="eastAsia" w:ascii="宋体" w:hAnsi="宋体" w:eastAsia="宋体" w:cs="宋体"/>
      <w:b/>
      <w:color w:val="000000"/>
      <w:sz w:val="18"/>
      <w:szCs w:val="18"/>
      <w:u w:val="none"/>
    </w:rPr>
  </w:style>
  <w:style w:type="character" w:customStyle="1" w:styleId="80">
    <w:name w:val="font51"/>
    <w:qFormat/>
    <w:uiPriority w:val="0"/>
    <w:rPr>
      <w:rFonts w:hint="default" w:ascii="Times New Roman" w:hAnsi="Times New Roman" w:cs="Times New Roman"/>
      <w:b/>
      <w:color w:val="000000"/>
      <w:sz w:val="18"/>
      <w:szCs w:val="18"/>
      <w:u w:val="none"/>
    </w:rPr>
  </w:style>
  <w:style w:type="paragraph" w:customStyle="1" w:styleId="81">
    <w:name w:val="表格内容"/>
    <w:basedOn w:val="1"/>
    <w:qFormat/>
    <w:uiPriority w:val="0"/>
    <w:pPr>
      <w:overflowPunct w:val="0"/>
      <w:adjustRightInd w:val="0"/>
      <w:snapToGrid w:val="0"/>
      <w:spacing w:line="300" w:lineRule="auto"/>
      <w:jc w:val="center"/>
      <w:textAlignment w:val="baseline"/>
    </w:pPr>
    <w:rPr>
      <w:rFonts w:cs="宋体"/>
      <w:color w:val="000000"/>
      <w:kern w:val="0"/>
      <w:sz w:val="20"/>
      <w:szCs w:val="21"/>
      <w:lang w:val="zh-CN"/>
    </w:rPr>
  </w:style>
  <w:style w:type="paragraph" w:customStyle="1" w:styleId="82">
    <w:name w:val="p0"/>
    <w:basedOn w:val="1"/>
    <w:qFormat/>
    <w:uiPriority w:val="0"/>
    <w:rPr>
      <w:kern w:val="0"/>
      <w:szCs w:val="21"/>
    </w:rPr>
  </w:style>
  <w:style w:type="paragraph" w:customStyle="1" w:styleId="83">
    <w:name w:val="表内"/>
    <w:basedOn w:val="1"/>
    <w:qFormat/>
    <w:uiPriority w:val="0"/>
    <w:pPr>
      <w:adjustRightInd w:val="0"/>
      <w:snapToGrid w:val="0"/>
      <w:spacing w:line="360" w:lineRule="auto"/>
      <w:ind w:firstLine="482"/>
    </w:pPr>
  </w:style>
  <w:style w:type="paragraph" w:customStyle="1" w:styleId="84">
    <w:name w:val="表头1"/>
    <w:basedOn w:val="22"/>
    <w:qFormat/>
    <w:uiPriority w:val="0"/>
    <w:pPr>
      <w:widowControl w:val="0"/>
      <w:jc w:val="center"/>
    </w:pPr>
    <w:rPr>
      <w:rFonts w:ascii="Calibri" w:hAnsi="Calibri"/>
      <w:b/>
      <w:color w:val="000000"/>
      <w:kern w:val="2"/>
      <w:sz w:val="24"/>
      <w:szCs w:val="22"/>
    </w:rPr>
  </w:style>
  <w:style w:type="paragraph" w:customStyle="1" w:styleId="85">
    <w:name w:val="aurona"/>
    <w:basedOn w:val="1"/>
    <w:qFormat/>
    <w:uiPriority w:val="0"/>
    <w:pPr>
      <w:framePr w:hSpace="180" w:wrap="around" w:vAnchor="text" w:hAnchor="margin" w:y="64"/>
      <w:autoSpaceDE w:val="0"/>
      <w:autoSpaceDN w:val="0"/>
      <w:adjustRightInd w:val="0"/>
      <w:snapToGrid w:val="0"/>
      <w:jc w:val="center"/>
    </w:pPr>
    <w:rPr>
      <w:bCs/>
      <w:snapToGrid w:val="0"/>
      <w:color w:val="000000"/>
      <w:kern w:val="0"/>
      <w:szCs w:val="21"/>
      <w:lang w:val="zh-CN"/>
    </w:rPr>
  </w:style>
  <w:style w:type="paragraph" w:customStyle="1" w:styleId="86">
    <w:name w:val="表图"/>
    <w:basedOn w:val="1"/>
    <w:next w:val="1"/>
    <w:qFormat/>
    <w:uiPriority w:val="0"/>
    <w:pPr>
      <w:widowControl/>
      <w:jc w:val="center"/>
    </w:pPr>
    <w:rPr>
      <w:kern w:val="0"/>
      <w:sz w:val="24"/>
    </w:rPr>
  </w:style>
  <w:style w:type="paragraph" w:customStyle="1" w:styleId="87">
    <w:name w:val="图表文字"/>
    <w:basedOn w:val="1"/>
    <w:qFormat/>
    <w:uiPriority w:val="0"/>
    <w:pPr>
      <w:widowControl/>
      <w:spacing w:line="300" w:lineRule="exact"/>
      <w:jc w:val="center"/>
    </w:pPr>
    <w:rPr>
      <w:rFonts w:ascii="宋体" w:hAnsi="宋体" w:cs="宋体"/>
      <w:bCs/>
      <w:kern w:val="0"/>
      <w:sz w:val="24"/>
      <w:szCs w:val="20"/>
    </w:rPr>
  </w:style>
  <w:style w:type="paragraph" w:customStyle="1" w:styleId="88">
    <w:name w:val="表格 居中"/>
    <w:basedOn w:val="1"/>
    <w:qFormat/>
    <w:uiPriority w:val="0"/>
    <w:pPr>
      <w:adjustRightInd w:val="0"/>
      <w:snapToGrid w:val="0"/>
      <w:jc w:val="center"/>
    </w:pPr>
    <w:rPr>
      <w:rFonts w:eastAsia="仿宋_GB2312"/>
      <w:szCs w:val="21"/>
    </w:rPr>
  </w:style>
  <w:style w:type="character" w:customStyle="1" w:styleId="89">
    <w:name w:val="NormalCharacter"/>
    <w:semiHidden/>
    <w:qFormat/>
    <w:uiPriority w:val="0"/>
    <w:rPr>
      <w:kern w:val="2"/>
      <w:sz w:val="21"/>
      <w:szCs w:val="24"/>
      <w:lang w:val="en-US" w:eastAsia="zh-CN" w:bidi="ar-SA"/>
    </w:rPr>
  </w:style>
  <w:style w:type="paragraph" w:customStyle="1" w:styleId="90">
    <w:name w:val="表格 内容"/>
    <w:qFormat/>
    <w:uiPriority w:val="0"/>
    <w:pPr>
      <w:jc w:val="center"/>
    </w:pPr>
    <w:rPr>
      <w:rFonts w:ascii="Times New Roman" w:hAnsi="Times New Roman" w:eastAsia="宋体" w:cs="Times New Roman"/>
      <w:color w:val="000000"/>
      <w:sz w:val="21"/>
      <w:szCs w:val="21"/>
      <w:lang w:val="en-US" w:eastAsia="zh-CN" w:bidi="ar-SA"/>
    </w:rPr>
  </w:style>
  <w:style w:type="paragraph" w:customStyle="1" w:styleId="91">
    <w:name w:val="表格文字2"/>
    <w:basedOn w:val="1"/>
    <w:qFormat/>
    <w:uiPriority w:val="0"/>
    <w:pPr>
      <w:tabs>
        <w:tab w:val="left" w:pos="277"/>
        <w:tab w:val="left" w:pos="600"/>
        <w:tab w:val="left" w:pos="780"/>
        <w:tab w:val="left" w:pos="2517"/>
      </w:tabs>
      <w:adjustRightInd w:val="0"/>
      <w:snapToGrid w:val="0"/>
      <w:jc w:val="center"/>
      <w:textAlignment w:val="baseline"/>
    </w:pPr>
    <w:rPr>
      <w:kern w:val="0"/>
      <w:szCs w:val="21"/>
      <w:lang w:val="zh-CN"/>
    </w:rPr>
  </w:style>
  <w:style w:type="paragraph" w:customStyle="1" w:styleId="92">
    <w:name w:val="表内表"/>
    <w:basedOn w:val="1"/>
    <w:qFormat/>
    <w:uiPriority w:val="0"/>
    <w:pPr>
      <w:spacing w:line="240" w:lineRule="atLeast"/>
      <w:jc w:val="center"/>
    </w:pPr>
    <w:rPr>
      <w:bCs/>
      <w:sz w:val="18"/>
      <w:szCs w:val="21"/>
      <w:lang w:val="zh-CN"/>
    </w:rPr>
  </w:style>
  <w:style w:type="paragraph" w:customStyle="1" w:styleId="93">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94">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95">
    <w:name w:val="正文文本首行缩进 21"/>
    <w:basedOn w:val="1"/>
    <w:qFormat/>
    <w:uiPriority w:val="0"/>
  </w:style>
  <w:style w:type="paragraph" w:customStyle="1" w:styleId="96">
    <w:name w:val="表格标题"/>
    <w:basedOn w:val="97"/>
    <w:qFormat/>
    <w:uiPriority w:val="0"/>
    <w:pPr>
      <w:spacing w:before="20" w:beforeLines="20" w:after="20" w:afterLines="20" w:line="240" w:lineRule="auto"/>
    </w:pPr>
    <w:rPr>
      <w:rFonts w:ascii="Times New Roman" w:hAnsi="Times New Roman"/>
      <w:b/>
      <w:szCs w:val="24"/>
    </w:rPr>
  </w:style>
  <w:style w:type="paragraph" w:customStyle="1" w:styleId="97">
    <w:name w:val="列表1"/>
    <w:basedOn w:val="1"/>
    <w:qFormat/>
    <w:uiPriority w:val="30"/>
    <w:pPr>
      <w:spacing w:line="400" w:lineRule="exact"/>
      <w:jc w:val="center"/>
    </w:pPr>
    <w:rPr>
      <w:rFonts w:ascii="宋体" w:hAnsi="宋体" w:eastAsia="仿宋_GB2312"/>
      <w:sz w:val="24"/>
      <w:szCs w:val="20"/>
    </w:rPr>
  </w:style>
  <w:style w:type="paragraph" w:customStyle="1" w:styleId="98">
    <w:name w:val="列表段落1"/>
    <w:basedOn w:val="1"/>
    <w:qFormat/>
    <w:uiPriority w:val="0"/>
    <w:pPr>
      <w:widowControl/>
      <w:adjustRightInd w:val="0"/>
      <w:snapToGrid w:val="0"/>
      <w:spacing w:after="200"/>
      <w:ind w:firstLine="420" w:firstLineChars="200"/>
      <w:jc w:val="left"/>
    </w:pPr>
    <w:rPr>
      <w:rFonts w:ascii="Tahoma" w:hAnsi="Tahoma" w:eastAsia="微软雅黑"/>
      <w:kern w:val="0"/>
      <w:sz w:val="22"/>
    </w:rPr>
  </w:style>
  <w:style w:type="paragraph" w:customStyle="1" w:styleId="99">
    <w:name w:val="列出段落1"/>
    <w:basedOn w:val="1"/>
    <w:qFormat/>
    <w:uiPriority w:val="34"/>
    <w:pPr>
      <w:ind w:firstLine="420" w:firstLineChars="200"/>
    </w:pPr>
  </w:style>
  <w:style w:type="paragraph" w:customStyle="1" w:styleId="100">
    <w:name w:val="报告表正文"/>
    <w:basedOn w:val="97"/>
    <w:qFormat/>
    <w:uiPriority w:val="0"/>
    <w:pPr>
      <w:ind w:firstLine="200" w:firstLineChars="200"/>
      <w:jc w:val="left"/>
    </w:pPr>
    <w:rPr>
      <w:rFonts w:ascii="Times New Roman" w:hAnsi="Times New Roman"/>
      <w:szCs w:val="24"/>
    </w:rPr>
  </w:style>
  <w:style w:type="paragraph" w:customStyle="1" w:styleId="101">
    <w:name w:val="报告正文"/>
    <w:next w:val="102"/>
    <w:qFormat/>
    <w:uiPriority w:val="0"/>
    <w:pPr>
      <w:widowControl w:val="0"/>
      <w:adjustRightInd w:val="0"/>
      <w:snapToGrid w:val="0"/>
      <w:spacing w:line="480" w:lineRule="exact"/>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02">
    <w:name w:val="样式 目录 3 + 首行缩进:  2 字符"/>
    <w:basedOn w:val="21"/>
    <w:qFormat/>
    <w:uiPriority w:val="0"/>
    <w:pPr>
      <w:tabs>
        <w:tab w:val="left" w:pos="1920"/>
        <w:tab w:val="right" w:leader="dot" w:pos="9062"/>
      </w:tabs>
      <w:spacing w:line="360" w:lineRule="auto"/>
      <w:ind w:left="0" w:leftChars="0" w:firstLine="600" w:firstLineChars="600"/>
      <w:jc w:val="left"/>
    </w:pPr>
    <w:rPr>
      <w:rFonts w:cs="宋体"/>
      <w:snapToGrid w:val="0"/>
      <w:spacing w:val="10"/>
      <w:kern w:val="0"/>
      <w:sz w:val="24"/>
      <w:szCs w:val="20"/>
    </w:rPr>
  </w:style>
  <w:style w:type="paragraph" w:customStyle="1" w:styleId="103">
    <w:name w:val="1图表标题"/>
    <w:basedOn w:val="1"/>
    <w:next w:val="104"/>
    <w:qFormat/>
    <w:uiPriority w:val="0"/>
    <w:pPr>
      <w:snapToGrid w:val="0"/>
      <w:jc w:val="center"/>
    </w:pPr>
    <w:rPr>
      <w:bCs/>
      <w:szCs w:val="20"/>
    </w:rPr>
  </w:style>
  <w:style w:type="paragraph" w:customStyle="1" w:styleId="104">
    <w:name w:val="1正文--使用此"/>
    <w:basedOn w:val="1"/>
    <w:qFormat/>
    <w:uiPriority w:val="0"/>
    <w:pPr>
      <w:spacing w:line="360" w:lineRule="auto"/>
      <w:ind w:firstLine="720" w:firstLineChars="200"/>
    </w:pPr>
  </w:style>
  <w:style w:type="paragraph" w:customStyle="1" w:styleId="105">
    <w:name w:val="1表格内字体"/>
    <w:basedOn w:val="1"/>
    <w:qFormat/>
    <w:uiPriority w:val="0"/>
    <w:pPr>
      <w:snapToGrid w:val="0"/>
      <w:spacing w:line="240" w:lineRule="auto"/>
      <w:jc w:val="center"/>
    </w:pPr>
    <w:rPr>
      <w:rFonts w:ascii="Times New Roman" w:hAnsi="Times New Roman"/>
      <w:szCs w:val="21"/>
    </w:rPr>
  </w:style>
  <w:style w:type="table" w:customStyle="1" w:styleId="106">
    <w:name w:val="网格型1"/>
    <w:basedOn w:val="37"/>
    <w:qFormat/>
    <w:uiPriority w:val="99"/>
    <w:pPr>
      <w:adjustRightInd w:val="0"/>
      <w:snapToGrid w:val="0"/>
      <w:jc w:val="center"/>
    </w:p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tblStylePr w:type="firstRow">
      <w:rPr>
        <w:rFonts w:ascii="Times New Roman" w:hAnsi="Times New Roman" w:eastAsia="宋体"/>
        <w:b/>
        <w:sz w:val="21"/>
      </w:rPr>
      <w:tcPr>
        <w:tcBorders>
          <w:top w:val="single" w:color="auto" w:sz="4" w:space="0"/>
          <w:left w:val="nil"/>
          <w:bottom w:val="single" w:color="auto" w:sz="4" w:space="0"/>
          <w:right w:val="nil"/>
          <w:insideH w:val="nil"/>
          <w:insideV w:val="nil"/>
          <w:tl2br w:val="nil"/>
          <w:tr2bl w:val="nil"/>
        </w:tcBorders>
      </w:tcPr>
    </w:tblStylePr>
  </w:style>
  <w:style w:type="table" w:customStyle="1" w:styleId="107">
    <w:name w:val="Table Normal"/>
    <w:semiHidden/>
    <w:unhideWhenUsed/>
    <w:qFormat/>
    <w:uiPriority w:val="0"/>
    <w:tblPr>
      <w:tblCellMar>
        <w:top w:w="0" w:type="dxa"/>
        <w:left w:w="0" w:type="dxa"/>
        <w:bottom w:w="0" w:type="dxa"/>
        <w:right w:w="0" w:type="dxa"/>
      </w:tblCellMar>
    </w:tblPr>
  </w:style>
  <w:style w:type="paragraph" w:customStyle="1" w:styleId="108">
    <w:name w:val="图表"/>
    <w:basedOn w:val="62"/>
    <w:qFormat/>
    <w:uiPriority w:val="0"/>
    <w:pPr>
      <w:adjustRightInd w:val="0"/>
      <w:snapToGrid w:val="0"/>
    </w:pPr>
    <w:rPr>
      <w:color w:val="000000"/>
      <w:sz w:val="21"/>
      <w:szCs w:val="21"/>
      <w:lang w:val="zh-CN"/>
    </w:rPr>
  </w:style>
  <w:style w:type="paragraph" w:customStyle="1" w:styleId="109">
    <w:name w:val="小表格正文"/>
    <w:basedOn w:val="1"/>
    <w:qFormat/>
    <w:uiPriority w:val="34"/>
    <w:pPr>
      <w:spacing w:line="240" w:lineRule="auto"/>
      <w:ind w:firstLine="0" w:firstLineChars="0"/>
      <w:jc w:val="center"/>
    </w:pPr>
    <w:rPr>
      <w:sz w:val="21"/>
    </w:rPr>
  </w:style>
  <w:style w:type="paragraph" w:customStyle="1" w:styleId="110">
    <w:name w:val="图表名"/>
    <w:basedOn w:val="1"/>
    <w:qFormat/>
    <w:uiPriority w:val="0"/>
    <w:pPr>
      <w:spacing w:before="50" w:beforeLines="50" w:after="50" w:afterLines="50" w:line="240" w:lineRule="auto"/>
      <w:ind w:firstLine="0" w:firstLineChars="0"/>
      <w:jc w:val="center"/>
    </w:pPr>
    <w:rPr>
      <w:b/>
    </w:rPr>
  </w:style>
  <w:style w:type="paragraph" w:customStyle="1" w:styleId="111">
    <w:name w:val="样式35"/>
    <w:basedOn w:val="112"/>
    <w:next w:val="117"/>
    <w:qFormat/>
    <w:uiPriority w:val="0"/>
    <w:pPr>
      <w:tabs>
        <w:tab w:val="left" w:pos="360"/>
        <w:tab w:val="left" w:pos="567"/>
        <w:tab w:val="left" w:pos="900"/>
        <w:tab w:val="left" w:pos="960"/>
        <w:tab w:val="left" w:pos="1320"/>
        <w:tab w:val="left" w:pos="4140"/>
        <w:tab w:val="left" w:pos="8715"/>
      </w:tabs>
      <w:spacing w:line="312" w:lineRule="auto"/>
      <w:ind w:firstLine="567"/>
      <w:jc w:val="both"/>
    </w:pPr>
    <w:rPr>
      <w:rFonts w:ascii="宋体" w:hAnsi="Times New Roman" w:eastAsia="宋体"/>
      <w:kern w:val="2"/>
      <w:sz w:val="21"/>
      <w:szCs w:val="22"/>
    </w:rPr>
  </w:style>
  <w:style w:type="paragraph" w:customStyle="1" w:styleId="112">
    <w:name w:val="样式26"/>
    <w:basedOn w:val="113"/>
    <w:qFormat/>
    <w:uiPriority w:val="0"/>
    <w:pPr>
      <w:tabs>
        <w:tab w:val="left" w:pos="360"/>
        <w:tab w:val="left" w:pos="567"/>
        <w:tab w:val="left" w:pos="900"/>
        <w:tab w:val="left" w:pos="960"/>
        <w:tab w:val="left" w:pos="1320"/>
        <w:tab w:val="left" w:pos="4140"/>
        <w:tab w:val="left" w:pos="8715"/>
      </w:tabs>
      <w:spacing w:beforeLines="50" w:afterLines="50"/>
      <w:ind w:left="900" w:hanging="360"/>
      <w:outlineLvl w:val="0"/>
    </w:pPr>
    <w:rPr>
      <w:kern w:val="44"/>
      <w:sz w:val="30"/>
      <w:szCs w:val="44"/>
    </w:rPr>
  </w:style>
  <w:style w:type="paragraph" w:customStyle="1" w:styleId="113">
    <w:name w:val="样式21"/>
    <w:basedOn w:val="114"/>
    <w:qFormat/>
    <w:uiPriority w:val="0"/>
    <w:pPr>
      <w:tabs>
        <w:tab w:val="left" w:pos="360"/>
        <w:tab w:val="left" w:pos="567"/>
        <w:tab w:val="left" w:pos="960"/>
        <w:tab w:val="left" w:pos="1320"/>
        <w:tab w:val="left" w:pos="4140"/>
        <w:tab w:val="left" w:pos="8715"/>
      </w:tabs>
      <w:spacing w:before="120" w:beforeLines="0" w:after="120" w:afterLines="0"/>
      <w:ind w:hanging="992"/>
    </w:pPr>
  </w:style>
  <w:style w:type="paragraph" w:customStyle="1" w:styleId="114">
    <w:name w:val="样式5"/>
    <w:basedOn w:val="115"/>
    <w:qFormat/>
    <w:uiPriority w:val="0"/>
    <w:pPr>
      <w:tabs>
        <w:tab w:val="left" w:pos="360"/>
        <w:tab w:val="left" w:pos="960"/>
        <w:tab w:val="left" w:pos="1320"/>
        <w:tab w:val="left" w:pos="4140"/>
        <w:tab w:val="left" w:pos="8715"/>
      </w:tabs>
      <w:spacing w:before="335" w:beforeLines="100" w:after="167"/>
      <w:ind w:left="1320" w:hanging="420"/>
      <w:jc w:val="left"/>
    </w:pPr>
    <w:rPr>
      <w:rFonts w:ascii="Arial" w:hAnsi="Arial" w:eastAsia="黑体"/>
      <w:szCs w:val="32"/>
    </w:rPr>
  </w:style>
  <w:style w:type="paragraph" w:customStyle="1" w:styleId="115">
    <w:name w:val="样式12"/>
    <w:basedOn w:val="116"/>
    <w:qFormat/>
    <w:uiPriority w:val="0"/>
    <w:pPr>
      <w:tabs>
        <w:tab w:val="left" w:pos="360"/>
        <w:tab w:val="left" w:pos="4140"/>
      </w:tabs>
      <w:spacing w:before="156" w:beforeLines="50" w:after="156" w:afterLines="50" w:line="360" w:lineRule="auto"/>
      <w:ind w:left="567" w:hanging="567"/>
      <w:outlineLvl w:val="1"/>
    </w:pPr>
    <w:rPr>
      <w:rFonts w:eastAsia="MS Mincho"/>
      <w:szCs w:val="28"/>
    </w:rPr>
  </w:style>
  <w:style w:type="paragraph" w:customStyle="1" w:styleId="116">
    <w:name w:val="样式 标题 3标题 3 Char标题3H3h33rd level第二层条三级标题ReHead 3 WSA头..."/>
    <w:basedOn w:val="4"/>
    <w:qFormat/>
    <w:uiPriority w:val="0"/>
    <w:pPr>
      <w:numPr>
        <w:ilvl w:val="0"/>
        <w:numId w:val="0"/>
      </w:numPr>
      <w:tabs>
        <w:tab w:val="left" w:pos="4140"/>
      </w:tabs>
      <w:spacing w:before="260" w:after="260" w:line="416" w:lineRule="auto"/>
      <w:ind w:left="4140" w:hanging="720"/>
    </w:pPr>
    <w:rPr>
      <w:rFonts w:eastAsia="黑体"/>
      <w:color w:val="FF0000"/>
    </w:rPr>
  </w:style>
  <w:style w:type="paragraph" w:customStyle="1" w:styleId="117">
    <w:name w:val="font6"/>
    <w:basedOn w:val="1"/>
    <w:next w:val="32"/>
    <w:qFormat/>
    <w:uiPriority w:val="0"/>
    <w:pPr>
      <w:widowControl/>
      <w:spacing w:before="100" w:beforeAutospacing="1" w:after="100" w:afterAutospacing="1"/>
      <w:jc w:val="left"/>
    </w:pPr>
    <w:rPr>
      <w:rFonts w:hint="eastAsia" w:ascii="宋体" w:hAnsi="宋体" w:cs="Arial Unicode MS"/>
      <w:sz w:val="18"/>
      <w:szCs w:val="18"/>
    </w:rPr>
  </w:style>
  <w:style w:type="character" w:customStyle="1" w:styleId="118">
    <w:name w:val="font71"/>
    <w:basedOn w:val="39"/>
    <w:qFormat/>
    <w:uiPriority w:val="0"/>
    <w:rPr>
      <w:rFonts w:ascii="宋体" w:hAnsi="宋体" w:eastAsia="宋体" w:cs="宋体"/>
      <w:b/>
      <w:bCs/>
      <w:color w:val="000000"/>
      <w:sz w:val="20"/>
      <w:szCs w:val="20"/>
      <w:u w:val="none"/>
    </w:rPr>
  </w:style>
  <w:style w:type="character" w:customStyle="1" w:styleId="119">
    <w:name w:val="font81"/>
    <w:basedOn w:val="39"/>
    <w:qFormat/>
    <w:uiPriority w:val="0"/>
    <w:rPr>
      <w:rFonts w:ascii="宋体" w:hAnsi="宋体" w:eastAsia="宋体" w:cs="宋体"/>
      <w:b/>
      <w:bCs/>
      <w:color w:val="000000"/>
      <w:sz w:val="16"/>
      <w:szCs w:val="16"/>
      <w:u w:val="none"/>
    </w:rPr>
  </w:style>
  <w:style w:type="character" w:customStyle="1" w:styleId="120">
    <w:name w:val="font91"/>
    <w:basedOn w:val="39"/>
    <w:qFormat/>
    <w:uiPriority w:val="0"/>
    <w:rPr>
      <w:rFonts w:ascii="宋体" w:hAnsi="宋体" w:eastAsia="宋体" w:cs="宋体"/>
      <w:color w:val="000000"/>
      <w:sz w:val="16"/>
      <w:szCs w:val="16"/>
      <w:u w:val="none"/>
    </w:rPr>
  </w:style>
  <w:style w:type="character" w:customStyle="1" w:styleId="121">
    <w:name w:val="font101"/>
    <w:basedOn w:val="39"/>
    <w:qFormat/>
    <w:uiPriority w:val="0"/>
    <w:rPr>
      <w:rFonts w:hint="default" w:ascii="Calibri" w:hAnsi="Calibri" w:cs="Calibri"/>
      <w:color w:val="000000"/>
      <w:sz w:val="16"/>
      <w:szCs w:val="16"/>
      <w:u w:val="none"/>
    </w:rPr>
  </w:style>
  <w:style w:type="character" w:customStyle="1" w:styleId="122">
    <w:name w:val="font41"/>
    <w:basedOn w:val="39"/>
    <w:qFormat/>
    <w:uiPriority w:val="0"/>
    <w:rPr>
      <w:rFonts w:ascii="宋体" w:hAnsi="宋体" w:eastAsia="宋体" w:cs="宋体"/>
      <w:color w:val="912200"/>
      <w:sz w:val="16"/>
      <w:szCs w:val="16"/>
      <w:u w:val="none"/>
    </w:rPr>
  </w:style>
  <w:style w:type="character" w:customStyle="1" w:styleId="123">
    <w:name w:val="font61"/>
    <w:basedOn w:val="39"/>
    <w:qFormat/>
    <w:uiPriority w:val="0"/>
    <w:rPr>
      <w:rFonts w:ascii="宋体" w:hAnsi="宋体" w:eastAsia="宋体" w:cs="宋体"/>
      <w:color w:val="932200"/>
      <w:sz w:val="16"/>
      <w:szCs w:val="16"/>
      <w:u w:val="none"/>
    </w:rPr>
  </w:style>
  <w:style w:type="paragraph" w:customStyle="1" w:styleId="124">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1" Type="http://schemas.microsoft.com/office/2011/relationships/people" Target="people.xml"/><Relationship Id="rId30" Type="http://schemas.openxmlformats.org/officeDocument/2006/relationships/fontTable" Target="fontTable.xml"/><Relationship Id="rId3" Type="http://schemas.openxmlformats.org/officeDocument/2006/relationships/comments" Target="comment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image" Target="media/image5.png"/><Relationship Id="rId17" Type="http://schemas.openxmlformats.org/officeDocument/2006/relationships/image" Target="media/image4.wmf"/><Relationship Id="rId16" Type="http://schemas.openxmlformats.org/officeDocument/2006/relationships/oleObject" Target="embeddings/oleObject3.bin"/><Relationship Id="rId15" Type="http://schemas.openxmlformats.org/officeDocument/2006/relationships/image" Target="media/image3.emf"/><Relationship Id="rId14" Type="http://schemas.openxmlformats.org/officeDocument/2006/relationships/oleObject" Target="embeddings/oleObject2.bin"/><Relationship Id="rId13" Type="http://schemas.openxmlformats.org/officeDocument/2006/relationships/image" Target="media/image2.emf"/><Relationship Id="rId12" Type="http://schemas.openxmlformats.org/officeDocument/2006/relationships/oleObject" Target="embeddings/oleObject1.bin"/><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2E111B-49EF-49A3-AC95-64E9A537C2B5}">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78</Pages>
  <Words>109</Words>
  <Characters>139</Characters>
  <Lines>483</Lines>
  <Paragraphs>136</Paragraphs>
  <TotalTime>1</TotalTime>
  <ScaleCrop>false</ScaleCrop>
  <LinksUpToDate>false</LinksUpToDate>
  <CharactersWithSpaces>208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2021-05-07T13:35:00Z</dcterms:created>
  <dc:creator>lhj</dc:creator>
  <cp:lastModifiedBy>YXM</cp:lastModifiedBy>
  <cp:lastPrinted>2021-10-27T07:57:00Z</cp:lastPrinted>
  <dcterms:modified xsi:type="dcterms:W3CDTF">2025-07-08T09:33:25Z</dcterms:modified>
  <dc:title>附件2</dc:title>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3C4B8D06210D409AB06DAF118B0B46E1_13</vt:lpwstr>
  </property>
  <property fmtid="{D5CDD505-2E9C-101B-9397-08002B2CF9AE}" pid="4" name="KSOSaveFontToCloudKey">
    <vt:lpwstr>446406654_cloud</vt:lpwstr>
  </property>
  <property fmtid="{D5CDD505-2E9C-101B-9397-08002B2CF9AE}" pid="5" name="KSOTemplateDocerSaveRecord">
    <vt:lpwstr>eyJoZGlkIjoiYzI4NTdiMGQwYjY2ZTc2NWZhYjk1YzE5NGExZGQzY2EiLCJ1c2VySWQiOiI0MDU2NzU2OTYifQ==</vt:lpwstr>
  </property>
</Properties>
</file>