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仿宋_GBK" w:hAnsi="方正仿宋_GBK" w:eastAsia="方正黑体_GBK" w:cs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>
      <w:pPr>
        <w:tabs>
          <w:tab w:val="left" w:pos="9193"/>
          <w:tab w:val="left" w:pos="9827"/>
        </w:tabs>
        <w:autoSpaceDE w:val="0"/>
        <w:autoSpaceDN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句容市机关服务中心2021年政府</w:t>
      </w:r>
    </w:p>
    <w:p>
      <w:pPr>
        <w:tabs>
          <w:tab w:val="left" w:pos="9193"/>
          <w:tab w:val="left" w:pos="9827"/>
        </w:tabs>
        <w:autoSpaceDE w:val="0"/>
        <w:autoSpaceDN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信息公开工作年度报告</w:t>
      </w:r>
    </w:p>
    <w:p>
      <w:pPr>
        <w:tabs>
          <w:tab w:val="left" w:pos="9193"/>
          <w:tab w:val="left" w:pos="9827"/>
        </w:tabs>
        <w:autoSpaceDE w:val="0"/>
        <w:autoSpaceDN w:val="0"/>
        <w:snapToGrid w:val="0"/>
        <w:spacing w:line="560" w:lineRule="exact"/>
        <w:jc w:val="left"/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eastAsia="zh-CN"/>
        </w:rPr>
      </w:pPr>
      <w:bookmarkStart w:id="0" w:name="_GoBack"/>
      <w:bookmarkEnd w:id="0"/>
    </w:p>
    <w:p>
      <w:pPr>
        <w:spacing w:line="560" w:lineRule="exact"/>
        <w:ind w:firstLine="630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依托句容市机关政府门户网站，主动发布政府信息公开制度1条、领导分工信息1条、人事任免2条，部门文件2条。及时在江苏省预决算公开统一平台发布预算公开、决算公开、资产信息公开、绩效信息公开。</w:t>
      </w:r>
    </w:p>
    <w:p>
      <w:pPr>
        <w:spacing w:line="560" w:lineRule="exact"/>
        <w:ind w:firstLine="630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二、主动公开政府信息情况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4"/>
          </w:tcPr>
          <w:p>
            <w:pPr>
              <w:spacing w:line="560" w:lineRule="exact"/>
              <w:jc w:val="center"/>
              <w:rPr>
                <w:rFonts w:hint="eastAsia" w:ascii="方正楷体_GBK" w:hAnsi="宋体" w:eastAsia="方正楷体_GBK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第二十条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信息内容</w:t>
            </w:r>
          </w:p>
        </w:tc>
        <w:tc>
          <w:tcPr>
            <w:tcW w:w="2265" w:type="dxa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本年制发件数</w:t>
            </w:r>
          </w:p>
        </w:tc>
        <w:tc>
          <w:tcPr>
            <w:tcW w:w="2265" w:type="dxa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本年废止件数</w:t>
            </w:r>
          </w:p>
        </w:tc>
        <w:tc>
          <w:tcPr>
            <w:tcW w:w="2265" w:type="dxa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规章</w:t>
            </w:r>
          </w:p>
        </w:tc>
        <w:tc>
          <w:tcPr>
            <w:tcW w:w="2265" w:type="dxa"/>
          </w:tcPr>
          <w:p>
            <w:pPr>
              <w:spacing w:line="560" w:lineRule="exact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265" w:type="dxa"/>
          </w:tcPr>
          <w:p>
            <w:pPr>
              <w:spacing w:line="560" w:lineRule="exact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265" w:type="dxa"/>
          </w:tcPr>
          <w:p>
            <w:pPr>
              <w:spacing w:line="560" w:lineRule="exact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行政规范性文件</w:t>
            </w:r>
          </w:p>
        </w:tc>
        <w:tc>
          <w:tcPr>
            <w:tcW w:w="2265" w:type="dxa"/>
          </w:tcPr>
          <w:p>
            <w:pPr>
              <w:spacing w:line="560" w:lineRule="exact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265" w:type="dxa"/>
          </w:tcPr>
          <w:p>
            <w:pPr>
              <w:spacing w:line="560" w:lineRule="exact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265" w:type="dxa"/>
          </w:tcPr>
          <w:p>
            <w:pPr>
              <w:spacing w:line="560" w:lineRule="exact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4"/>
          </w:tcPr>
          <w:p>
            <w:pPr>
              <w:spacing w:line="560" w:lineRule="exact"/>
              <w:jc w:val="center"/>
              <w:rPr>
                <w:rFonts w:hint="default" w:ascii="方正楷体_GBK" w:hAnsi="宋体" w:eastAsia="方正楷体_GBK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第二十条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 xml:space="preserve">  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信息内容</w:t>
            </w:r>
          </w:p>
        </w:tc>
        <w:tc>
          <w:tcPr>
            <w:tcW w:w="6795" w:type="dxa"/>
            <w:gridSpan w:val="3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行政许可</w:t>
            </w:r>
          </w:p>
        </w:tc>
        <w:tc>
          <w:tcPr>
            <w:tcW w:w="6795" w:type="dxa"/>
            <w:gridSpan w:val="3"/>
          </w:tcPr>
          <w:p>
            <w:pPr>
              <w:spacing w:line="560" w:lineRule="exact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4"/>
          </w:tcPr>
          <w:p>
            <w:pPr>
              <w:spacing w:line="560" w:lineRule="exact"/>
              <w:jc w:val="center"/>
              <w:rPr>
                <w:rFonts w:hint="eastAsia" w:ascii="方正楷体_GBK" w:hAnsi="宋体" w:eastAsia="方正楷体_GBK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第二十条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 xml:space="preserve">  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信息内容</w:t>
            </w:r>
          </w:p>
        </w:tc>
        <w:tc>
          <w:tcPr>
            <w:tcW w:w="6795" w:type="dxa"/>
            <w:gridSpan w:val="3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行政处罚</w:t>
            </w:r>
          </w:p>
        </w:tc>
        <w:tc>
          <w:tcPr>
            <w:tcW w:w="2265" w:type="dxa"/>
          </w:tcPr>
          <w:p>
            <w:pPr>
              <w:spacing w:line="560" w:lineRule="exact"/>
              <w:rPr>
                <w:rFonts w:hint="default" w:ascii="方正楷体_GBK" w:hAnsi="宋体" w:eastAsia="方正楷体_GBK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宋体" w:eastAsia="方正楷体_GBK" w:cs="宋体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2265" w:type="dxa"/>
          </w:tcPr>
          <w:p>
            <w:pPr>
              <w:spacing w:line="560" w:lineRule="exact"/>
              <w:rPr>
                <w:rFonts w:hint="default" w:ascii="方正楷体_GBK" w:hAnsi="宋体" w:eastAsia="方正楷体_GBK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spacing w:line="560" w:lineRule="exact"/>
              <w:rPr>
                <w:rFonts w:hint="eastAsia" w:ascii="方正楷体_GBK" w:hAnsi="宋体" w:eastAsia="方正楷体_GBK" w:cs="宋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行政强制</w:t>
            </w:r>
          </w:p>
        </w:tc>
        <w:tc>
          <w:tcPr>
            <w:tcW w:w="2265" w:type="dxa"/>
          </w:tcPr>
          <w:p>
            <w:pPr>
              <w:spacing w:line="560" w:lineRule="exact"/>
              <w:rPr>
                <w:rFonts w:hint="default" w:ascii="方正楷体_GBK" w:hAnsi="宋体" w:eastAsia="方正楷体_GBK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宋体" w:eastAsia="方正楷体_GBK" w:cs="宋体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2265" w:type="dxa"/>
          </w:tcPr>
          <w:p>
            <w:pPr>
              <w:spacing w:line="560" w:lineRule="exact"/>
              <w:rPr>
                <w:rFonts w:hint="eastAsia" w:ascii="方正楷体_GBK" w:hAnsi="宋体" w:eastAsia="方正楷体_GBK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65" w:type="dxa"/>
          </w:tcPr>
          <w:p>
            <w:pPr>
              <w:spacing w:line="560" w:lineRule="exact"/>
              <w:rPr>
                <w:rFonts w:hint="eastAsia" w:ascii="方正楷体_GBK" w:hAnsi="宋体" w:eastAsia="方正楷体_GBK" w:cs="宋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4"/>
          </w:tcPr>
          <w:p>
            <w:pPr>
              <w:spacing w:line="560" w:lineRule="exact"/>
              <w:jc w:val="center"/>
              <w:rPr>
                <w:rFonts w:hint="eastAsia" w:ascii="方正楷体_GBK" w:hAnsi="宋体" w:eastAsia="方正楷体_GBK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第二十条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 xml:space="preserve">  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spacing w:line="560" w:lineRule="exact"/>
              <w:jc w:val="center"/>
              <w:rPr>
                <w:rFonts w:hint="eastAsia" w:ascii="方正楷体_GBK" w:hAnsi="宋体" w:eastAsia="方正楷体_GBK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信息内容</w:t>
            </w:r>
          </w:p>
        </w:tc>
        <w:tc>
          <w:tcPr>
            <w:tcW w:w="6795" w:type="dxa"/>
            <w:gridSpan w:val="3"/>
          </w:tcPr>
          <w:p>
            <w:pPr>
              <w:spacing w:line="560" w:lineRule="exact"/>
              <w:jc w:val="center"/>
              <w:rPr>
                <w:rFonts w:hint="eastAsia" w:ascii="方正楷体_GBK" w:hAnsi="宋体" w:eastAsia="方正楷体_GBK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spacing w:line="560" w:lineRule="exact"/>
              <w:rPr>
                <w:rFonts w:hint="eastAsia" w:ascii="方正楷体_GBK" w:hAnsi="宋体" w:eastAsia="方正楷体_GBK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行政事业性收费</w:t>
            </w:r>
          </w:p>
        </w:tc>
        <w:tc>
          <w:tcPr>
            <w:tcW w:w="6795" w:type="dxa"/>
            <w:gridSpan w:val="3"/>
          </w:tcPr>
          <w:p>
            <w:pPr>
              <w:spacing w:line="560" w:lineRule="exact"/>
              <w:rPr>
                <w:rFonts w:hint="default" w:ascii="方正楷体_GBK" w:hAnsi="宋体" w:eastAsia="方正楷体_GBK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宋体" w:eastAsia="方正楷体_GBK" w:cs="宋体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</w:tbl>
    <w:p>
      <w:pPr>
        <w:spacing w:line="560" w:lineRule="exact"/>
        <w:ind w:firstLine="630"/>
        <w:rPr>
          <w:rFonts w:hint="eastAsia" w:ascii="方正楷体_GBK" w:hAnsi="宋体" w:eastAsia="方正楷体_GBK" w:cs="宋体"/>
          <w:sz w:val="32"/>
          <w:szCs w:val="32"/>
          <w:lang w:eastAsia="zh-CN"/>
        </w:rPr>
      </w:pPr>
    </w:p>
    <w:p>
      <w:pPr>
        <w:spacing w:line="560" w:lineRule="exact"/>
        <w:ind w:firstLine="630"/>
        <w:rPr>
          <w:rFonts w:hint="eastAsia" w:ascii="方正楷体_GBK" w:hAnsi="宋体" w:eastAsia="方正楷体_GBK" w:cs="宋体"/>
          <w:sz w:val="24"/>
        </w:rPr>
      </w:pPr>
    </w:p>
    <w:p>
      <w:pPr>
        <w:spacing w:line="560" w:lineRule="exact"/>
        <w:ind w:firstLine="63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三、收到和处理政府信息公开申请情况</w:t>
      </w:r>
    </w:p>
    <w:tbl>
      <w:tblPr>
        <w:tblStyle w:val="2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846"/>
        <w:gridCol w:w="2364"/>
        <w:gridCol w:w="509"/>
        <w:gridCol w:w="617"/>
        <w:gridCol w:w="671"/>
        <w:gridCol w:w="683"/>
        <w:gridCol w:w="635"/>
        <w:gridCol w:w="508"/>
        <w:gridCol w:w="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575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2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575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自然人</w:t>
            </w:r>
          </w:p>
        </w:tc>
        <w:tc>
          <w:tcPr>
            <w:tcW w:w="182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法人或其他组织</w:t>
            </w:r>
          </w:p>
        </w:tc>
        <w:tc>
          <w:tcPr>
            <w:tcW w:w="2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575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社会公益组织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法律服务机构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7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7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三、本年度办理结果</w:t>
            </w:r>
          </w:p>
        </w:tc>
        <w:tc>
          <w:tcPr>
            <w:tcW w:w="18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（一）予以公开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(三）不予公开</w:t>
            </w: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1.属于国家秘密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2.其他法律行政法规禁止公开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3.危及“三安全一稳定”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4.保护第三方合法权益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5.属于三类内部事务信息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6.属于四类过程性信息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7.属于行政执法案卷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8.属于行政查询事项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（四）无法提供</w:t>
            </w: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1.本机关不掌握相关政府信息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2.没有现成信息需要另行制作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3.补正后申请内容仍不明确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（五）不予处理</w:t>
            </w: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1.信访举报投诉类申请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2.重复申请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3.要求提供公开出版物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4.无正当理由大量反复申请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（六）其他处理</w:t>
            </w: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3.其他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（七）总计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7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四、结转下年度继续办理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</w:tbl>
    <w:p>
      <w:pPr>
        <w:adjustRightInd w:val="0"/>
        <w:spacing w:line="560" w:lineRule="exact"/>
        <w:ind w:firstLine="548" w:firstLineChars="196"/>
        <w:rPr>
          <w:rFonts w:hint="eastAsia" w:ascii="方正楷体_GBK" w:hAnsi="Calibri" w:eastAsia="方正楷体_GBK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四、政府信息公开行政复议、行政诉讼</w:t>
      </w:r>
    </w:p>
    <w:tbl>
      <w:tblPr>
        <w:tblStyle w:val="2"/>
        <w:tblW w:w="90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行政复议</w:t>
            </w:r>
          </w:p>
        </w:tc>
        <w:tc>
          <w:tcPr>
            <w:tcW w:w="601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结果维持</w:t>
            </w:r>
          </w:p>
        </w:tc>
        <w:tc>
          <w:tcPr>
            <w:tcW w:w="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结果纠正</w:t>
            </w:r>
          </w:p>
        </w:tc>
        <w:tc>
          <w:tcPr>
            <w:tcW w:w="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其他结果</w:t>
            </w:r>
          </w:p>
        </w:tc>
        <w:tc>
          <w:tcPr>
            <w:tcW w:w="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尚未审结</w:t>
            </w:r>
          </w:p>
        </w:tc>
        <w:tc>
          <w:tcPr>
            <w:tcW w:w="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30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未经复议直接起诉</w:t>
            </w:r>
          </w:p>
        </w:tc>
        <w:tc>
          <w:tcPr>
            <w:tcW w:w="30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结果维持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结果纠正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其他结果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尚未审结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结果维持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结果纠正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其他结果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尚未审结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adjustRightInd w:val="0"/>
        <w:spacing w:line="560" w:lineRule="exact"/>
        <w:rPr>
          <w:rFonts w:hint="eastAsia" w:ascii="方正楷体_GBK" w:hAnsi="Calibri" w:eastAsia="方正楷体_GBK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存在的主要问题有：一是受机构职能所限，可面向市民群众公开的政务信息比较少，主动公开的深度广度有待进一步拓展，从公众视角开展政务公开工作的意识还不够强。二是政策解读的水平有待进一步提升，在丰富解读形式和方式、拓宽政策解读发布渠道等方面需加强。针对专业性较强的政策，在有针对性地开展深度解读和延伸解读，提升解读效果方面需下功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下一步将重点从以下三方面改进提升：一是提升政务公开质量效果。主动公开方面，以政府信息公开平台为依托，推动公开内容进一步聚焦重点政务信息，进一步聚焦经济社会发展需要和人民群众关注关切，以公开促落实、以公开促规范、以公开促服务。依申请公开方面，进一步规范办理流程，落实各环节责任，严格遵守办理程序和办理时限，提升政府信息公开申请办理工作质量，依法保障公众合理信息需求。二是加强网站与政务新媒体建设。认真高效做好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中心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门户网站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常态化管理，及时发布政务信息，确保信息及时、准确、规范的对外公开。提高政策解读能力，更多采用政策简明问答和事例、数据、图表图解、音频视频等方式解读，拓宽政策解读发布渠道。强化网络安全责任，抓好网站和政务新媒体安全防护。三是提高政务公开工作水平。严格按照条例要求，提升政务公开意识和能力。强化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室（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中心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）主动公开意识，健全完善政策解读、政务舆情回应等工作制度。强化保障机制，加强监督、检查和指导工作，改善政务公开不主动、不积极、不及时等问题。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六、其他需要报告的事项</w:t>
      </w:r>
    </w:p>
    <w:p>
      <w:pPr>
        <w:ind w:firstLine="640" w:firstLineChars="200"/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无其他需要报告事项。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C602ED"/>
    <w:rsid w:val="11925A35"/>
    <w:rsid w:val="35115C82"/>
    <w:rsid w:val="3C9F0792"/>
    <w:rsid w:val="7DC6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样式1"/>
    <w:basedOn w:val="1"/>
    <w:qFormat/>
    <w:uiPriority w:val="0"/>
    <w:rPr>
      <w:rFonts w:hint="eastAsia" w:ascii="方正楷体_GBK" w:hAnsi="方正楷体_GBK" w:eastAsia="方正楷体_GBK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2022-01-20T07:40:00Z</dcterms:created>
  <dc:creator>燕子一嘉庆广告</dc:creator>
  <cp:lastModifiedBy>燕子一嘉庆广告</cp:lastModifiedBy>
  <dcterms:modified xsi:type="dcterms:W3CDTF">2022-01-20T07:52:49Z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342E639645AD4325B76FB890C22F1B8B</vt:lpwstr>
  </property>
</Properties>
</file>