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创新型中小企业评价标准</w:t>
      </w:r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一、公告条件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评价得分达到60分以上（其中创新能力指标得分不低于20分、成长性指标及专业化指标得分均不低于15分），或满足下列条件之一：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（一）近三年内获得过国家级、省级科技奖励。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（三）拥有经认定的省部级以上研发机构。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（四）近三年新增股权融资总额（合格机构投资者的实缴额）500万元以上。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二、评价指标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包括创新能力、成长性、专业化三类六个指标，评价结果依分值计算，满分为100分。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（一）创新能力指标（满分40分）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1.与企业主导产品相关的有效知识产权数量（满分20分）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</w:t>
      </w:r>
      <w:r>
        <w:rPr>
          <w:rFonts w:hint="eastAsia" w:ascii="宋体" w:hAnsi="宋体" w:cs="宋体"/>
          <w:sz w:val="32"/>
          <w:szCs w:val="32"/>
        </w:rPr>
        <w:t>Ⅰ</w:t>
      </w:r>
      <w:r>
        <w:rPr>
          <w:rFonts w:ascii="Times New Roman" w:hAnsi="Times New Roman" w:eastAsia="方正仿宋_GBK" w:cs="Times New Roman"/>
          <w:sz w:val="32"/>
          <w:szCs w:val="32"/>
        </w:rPr>
        <w:t>类高价值知识产权1项以上（20分）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B.自主研发的</w:t>
      </w:r>
      <w:r>
        <w:rPr>
          <w:rFonts w:hint="eastAsia" w:ascii="宋体" w:hAnsi="宋体" w:cs="宋体"/>
          <w:sz w:val="32"/>
          <w:szCs w:val="32"/>
        </w:rPr>
        <w:t>Ⅰ</w:t>
      </w:r>
      <w:r>
        <w:rPr>
          <w:rFonts w:ascii="Times New Roman" w:hAnsi="Times New Roman" w:eastAsia="方正仿宋_GBK" w:cs="Times New Roman"/>
          <w:sz w:val="32"/>
          <w:szCs w:val="32"/>
        </w:rPr>
        <w:t>类知识产权1项以上（15分）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C.</w:t>
      </w:r>
      <w:r>
        <w:rPr>
          <w:rFonts w:hint="eastAsia" w:ascii="宋体" w:hAnsi="宋体" w:cs="宋体"/>
          <w:sz w:val="32"/>
          <w:szCs w:val="32"/>
        </w:rPr>
        <w:t>Ⅰ</w:t>
      </w:r>
      <w:r>
        <w:rPr>
          <w:rFonts w:ascii="Times New Roman" w:hAnsi="Times New Roman" w:eastAsia="方正仿宋_GBK" w:cs="Times New Roman"/>
          <w:sz w:val="32"/>
          <w:szCs w:val="32"/>
        </w:rPr>
        <w:t>类知识产权1项以上（10分）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D.</w:t>
      </w:r>
      <w:r>
        <w:rPr>
          <w:rFonts w:hint="eastAsia" w:ascii="宋体" w:hAnsi="宋体" w:cs="宋体"/>
          <w:sz w:val="32"/>
          <w:szCs w:val="32"/>
        </w:rPr>
        <w:t>Ⅱ</w:t>
      </w:r>
      <w:r>
        <w:rPr>
          <w:rFonts w:ascii="Times New Roman" w:hAnsi="Times New Roman" w:eastAsia="方正仿宋_GBK" w:cs="Times New Roman"/>
          <w:sz w:val="32"/>
          <w:szCs w:val="32"/>
        </w:rPr>
        <w:t>类知识产权1项以上（5分）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E.无（0分）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2.上年度研发费用总额占营业收入总额比重（满分20分）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A.5%以上（20分）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B.3%-5%（15分）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C.2%-3%（10分）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D.1%-2%（5分）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E.1%以下（0分）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（二）成长性指标（满分30分）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3.上年度主营业务收入增长率（满分20分）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A.15%以上（20分）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B.10%-15%（15分）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C.5%-10%（10分）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D.0%-5%（5分）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E.0%以下（0分）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4.上年度资产负债率（满分10分）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A.55%以下（10分）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B.55%-75%（5分）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D.75%以上（0分）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（三）专业化指标（满分30分）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5.主导产品所属领域情况（满分10分）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A.属于《战略性新兴产业分类》（10分）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B.属于其他领域（5分）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6.上年度主营业务收入总额占营业收入总额比重（满分20分）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A.70%以上（20分）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B.60%-70%（15分）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C.55%-60%（10分）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D.50%-55%（5分）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E.50%以下（0分）</w:t>
      </w:r>
    </w:p>
    <w:p>
      <w:pPr>
        <w:widowControl/>
        <w:adjustRightInd w:val="0"/>
        <w:snapToGrid w:val="0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jVmMjJhNDVhNmRhNmFjZWJhNmZjNTVlZTkxZTkifQ=="/>
  </w:docVars>
  <w:rsids>
    <w:rsidRoot w:val="28CE7D66"/>
    <w:rsid w:val="28C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2024-03-12T07:00:00Z</dcterms:created>
  <dc:creator>泽林</dc:creator>
  <cp:lastModifiedBy>泽林</cp:lastModifiedBy>
  <dcterms:modified xsi:type="dcterms:W3CDTF">2024-03-12T07:02:13Z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A5C8655B4BFD4D228999B72A45058C8D_11</vt:lpwstr>
  </property>
</Properties>
</file>